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drawings/drawing1.xml" ContentType="application/vnd.openxmlformats-officedocument.drawingml.chartshapes+xml"/>
  <Override PartName="/word/charts/chart15.xml" ContentType="application/vnd.openxmlformats-officedocument.drawingml.chart+xml"/>
  <Override PartName="/word/drawings/drawing2.xml" ContentType="application/vnd.openxmlformats-officedocument.drawingml.chartshapes+xml"/>
  <Override PartName="/word/charts/chart16.xml" ContentType="application/vnd.openxmlformats-officedocument.drawingml.chart+xml"/>
  <Override PartName="/word/drawings/drawing3.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drawings/drawing4.xml" ContentType="application/vnd.openxmlformats-officedocument.drawingml.chartshapes+xml"/>
  <Override PartName="/word/charts/chart19.xml" ContentType="application/vnd.openxmlformats-officedocument.drawingml.chart+xml"/>
  <Override PartName="/word/drawings/drawing5.xml" ContentType="application/vnd.openxmlformats-officedocument.drawingml.chartshapes+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F4" w:rsidRDefault="00022BDD" w:rsidP="008D74D7">
      <w:pPr>
        <w:spacing w:line="276" w:lineRule="auto"/>
        <w:jc w:val="both"/>
        <w:rPr>
          <w:rFonts w:cs="Arial"/>
          <w:u w:val="single"/>
        </w:rPr>
      </w:pPr>
      <w:r>
        <w:rPr>
          <w:rFonts w:cs="Arial"/>
          <w:u w:val="single"/>
        </w:rPr>
        <w:t xml:space="preserve"> </w:t>
      </w:r>
    </w:p>
    <w:p w:rsidR="00B43746" w:rsidRPr="003171F9" w:rsidRDefault="00880B5C" w:rsidP="008D74D7">
      <w:pPr>
        <w:spacing w:line="276" w:lineRule="auto"/>
        <w:jc w:val="both"/>
        <w:rPr>
          <w:rFonts w:cs="Arial"/>
          <w:u w:val="single"/>
        </w:rPr>
      </w:pPr>
      <w:r w:rsidRPr="003171F9">
        <w:rPr>
          <w:noProof/>
          <w:lang w:val="es-ES" w:eastAsia="es-ES"/>
        </w:rPr>
        <mc:AlternateContent>
          <mc:Choice Requires="wps">
            <w:drawing>
              <wp:anchor distT="0" distB="0" distL="114300" distR="114300" simplePos="0" relativeHeight="251658240" behindDoc="0" locked="0" layoutInCell="1" allowOverlap="1" wp14:anchorId="7FCA543C" wp14:editId="100E85D3">
                <wp:simplePos x="0" y="0"/>
                <wp:positionH relativeFrom="column">
                  <wp:posOffset>66040</wp:posOffset>
                </wp:positionH>
                <wp:positionV relativeFrom="paragraph">
                  <wp:posOffset>-179705</wp:posOffset>
                </wp:positionV>
                <wp:extent cx="228600" cy="8134350"/>
                <wp:effectExtent l="0" t="0" r="0" b="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134350"/>
                        </a:xfrm>
                        <a:prstGeom prst="rect">
                          <a:avLst/>
                        </a:prstGeom>
                        <a:solidFill>
                          <a:srgbClr val="C1002B"/>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2pt;margin-top:-14.15pt;width:18pt;height: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" fillcolor="#c1002b" stroked="f"/>
            </w:pict>
          </mc:Fallback>
        </mc:AlternateContent>
      </w:r>
      <w:r w:rsidR="00B43746" w:rsidRPr="003171F9">
        <w:rPr>
          <w:rFonts w:cs="Arial"/>
          <w:u w:val="single"/>
        </w:rPr>
        <w:t xml:space="preserve">    </w:t>
      </w:r>
    </w:p>
    <w:p w:rsidR="00B43746" w:rsidRPr="003171F9" w:rsidRDefault="00B43746" w:rsidP="008D74D7">
      <w:pPr>
        <w:spacing w:line="276" w:lineRule="auto"/>
        <w:jc w:val="both"/>
        <w:rPr>
          <w:rFonts w:cs="Arial"/>
          <w:u w:val="single"/>
        </w:rPr>
      </w:pPr>
    </w:p>
    <w:p w:rsidR="00B43746" w:rsidRPr="003171F9" w:rsidRDefault="00B43746" w:rsidP="008D74D7">
      <w:pPr>
        <w:spacing w:line="276" w:lineRule="auto"/>
        <w:jc w:val="both"/>
        <w:rPr>
          <w:rFonts w:cs="Arial"/>
          <w:u w:val="single"/>
        </w:rPr>
      </w:pPr>
    </w:p>
    <w:p w:rsidR="00B43746" w:rsidRPr="003171F9" w:rsidRDefault="00880B5C" w:rsidP="008D74D7">
      <w:pPr>
        <w:spacing w:line="276" w:lineRule="auto"/>
        <w:jc w:val="both"/>
        <w:rPr>
          <w:rFonts w:ascii="Rotis Sans Serif Std ExtraBold" w:hAnsi="Rotis Sans Serif Std ExtraBold"/>
          <w:b/>
          <w:color w:val="C1002B"/>
          <w:sz w:val="40"/>
          <w:szCs w:val="40"/>
        </w:rPr>
      </w:pPr>
      <w:r w:rsidRPr="003171F9">
        <w:rPr>
          <w:noProof/>
          <w:lang w:val="es-ES" w:eastAsia="es-ES"/>
        </w:rPr>
        <w:drawing>
          <wp:anchor distT="0" distB="0" distL="114300" distR="114300" simplePos="0" relativeHeight="251659264" behindDoc="1" locked="0" layoutInCell="0" allowOverlap="1" wp14:anchorId="1830A514" wp14:editId="1D39B74D">
            <wp:simplePos x="0" y="0"/>
            <wp:positionH relativeFrom="margin">
              <wp:posOffset>1610995</wp:posOffset>
            </wp:positionH>
            <wp:positionV relativeFrom="margin">
              <wp:posOffset>716915</wp:posOffset>
            </wp:positionV>
            <wp:extent cx="2784475" cy="1668780"/>
            <wp:effectExtent l="0" t="0" r="0" b="7620"/>
            <wp:wrapNone/>
            <wp:docPr id="37" name="Imagen 8" descr="F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Foment"/>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2784475" cy="1668780"/>
                    </a:xfrm>
                    <a:prstGeom prst="rect">
                      <a:avLst/>
                    </a:prstGeom>
                    <a:noFill/>
                  </pic:spPr>
                </pic:pic>
              </a:graphicData>
            </a:graphic>
            <wp14:sizeRelH relativeFrom="page">
              <wp14:pctWidth>0</wp14:pctWidth>
            </wp14:sizeRelH>
            <wp14:sizeRelV relativeFrom="page">
              <wp14:pctHeight>0</wp14:pctHeight>
            </wp14:sizeRelV>
          </wp:anchor>
        </w:drawing>
      </w:r>
    </w:p>
    <w:p w:rsidR="00B43746" w:rsidRPr="003171F9" w:rsidRDefault="00B43746" w:rsidP="008D74D7">
      <w:pPr>
        <w:spacing w:line="276" w:lineRule="auto"/>
        <w:jc w:val="both"/>
        <w:rPr>
          <w:rFonts w:ascii="Rotis Sans Serif Std ExtraBold" w:hAnsi="Rotis Sans Serif Std ExtraBold"/>
          <w:b/>
          <w:color w:val="C1002B"/>
          <w:sz w:val="56"/>
          <w:szCs w:val="56"/>
        </w:rPr>
      </w:pPr>
    </w:p>
    <w:p w:rsidR="00B43746" w:rsidRPr="003171F9" w:rsidRDefault="00B43746" w:rsidP="008D74D7">
      <w:pPr>
        <w:spacing w:line="276" w:lineRule="auto"/>
        <w:jc w:val="both"/>
        <w:rPr>
          <w:rFonts w:ascii="Rotis Sans Serif Std ExtraBold" w:hAnsi="Rotis Sans Serif Std ExtraBold"/>
          <w:b/>
          <w:color w:val="C1002B"/>
          <w:sz w:val="56"/>
          <w:szCs w:val="56"/>
        </w:rPr>
      </w:pPr>
    </w:p>
    <w:p w:rsidR="00B43746" w:rsidRPr="003171F9" w:rsidRDefault="00B43746" w:rsidP="008D74D7">
      <w:pPr>
        <w:spacing w:line="276" w:lineRule="auto"/>
        <w:jc w:val="both"/>
        <w:rPr>
          <w:rFonts w:ascii="Rotis Sans Serif Std ExtraBold" w:hAnsi="Rotis Sans Serif Std ExtraBold"/>
          <w:b/>
          <w:color w:val="C1002B"/>
          <w:sz w:val="56"/>
          <w:szCs w:val="56"/>
        </w:rPr>
      </w:pPr>
    </w:p>
    <w:p w:rsidR="00B43746" w:rsidRPr="003171F9" w:rsidRDefault="00B43746" w:rsidP="008D74D7">
      <w:pPr>
        <w:spacing w:line="276" w:lineRule="auto"/>
        <w:jc w:val="both"/>
        <w:rPr>
          <w:rFonts w:ascii="Rotis Sans Serif Std ExtraBold" w:hAnsi="Rotis Sans Serif Std ExtraBold"/>
          <w:b/>
          <w:color w:val="C1002B"/>
          <w:sz w:val="56"/>
          <w:szCs w:val="56"/>
        </w:rPr>
      </w:pPr>
    </w:p>
    <w:p w:rsidR="00B43746" w:rsidRPr="003171F9" w:rsidRDefault="00B43746" w:rsidP="008D74D7">
      <w:pPr>
        <w:spacing w:line="276" w:lineRule="auto"/>
        <w:jc w:val="center"/>
        <w:rPr>
          <w:rFonts w:ascii="Rotis Sans Serif Std ExtraBold" w:hAnsi="Rotis Sans Serif Std ExtraBold"/>
          <w:b/>
          <w:color w:val="C1002B"/>
          <w:sz w:val="56"/>
          <w:szCs w:val="56"/>
        </w:rPr>
      </w:pPr>
    </w:p>
    <w:p w:rsidR="00B43746" w:rsidRPr="003171F9" w:rsidRDefault="00B43746" w:rsidP="008D74D7">
      <w:pPr>
        <w:spacing w:line="276" w:lineRule="auto"/>
        <w:jc w:val="center"/>
        <w:rPr>
          <w:rFonts w:ascii="Rotis Sans Serif Std" w:hAnsi="Rotis Sans Serif Std"/>
          <w:b/>
          <w:color w:val="C1002B"/>
          <w:sz w:val="52"/>
          <w:szCs w:val="52"/>
        </w:rPr>
      </w:pPr>
    </w:p>
    <w:p w:rsidR="00B43746" w:rsidRPr="003171F9" w:rsidRDefault="00617A8C" w:rsidP="008D74D7">
      <w:pPr>
        <w:spacing w:line="276" w:lineRule="auto"/>
        <w:jc w:val="center"/>
        <w:rPr>
          <w:rFonts w:ascii="Rotis Sans Serif Std" w:hAnsi="Rotis Sans Serif Std"/>
          <w:b/>
          <w:color w:val="C1002B"/>
          <w:sz w:val="52"/>
          <w:szCs w:val="52"/>
        </w:rPr>
      </w:pPr>
      <w:r>
        <w:rPr>
          <w:rFonts w:ascii="Rotis Sans Serif Std" w:hAnsi="Rotis Sans Serif Std"/>
          <w:b/>
          <w:color w:val="C1002B"/>
          <w:sz w:val="52"/>
          <w:szCs w:val="52"/>
        </w:rPr>
        <w:t>X</w:t>
      </w:r>
      <w:r w:rsidR="00E126B0">
        <w:rPr>
          <w:rFonts w:ascii="Rotis Sans Serif Std" w:hAnsi="Rotis Sans Serif Std"/>
          <w:b/>
          <w:color w:val="C1002B"/>
          <w:sz w:val="52"/>
          <w:szCs w:val="52"/>
        </w:rPr>
        <w:t>I</w:t>
      </w:r>
      <w:r w:rsidR="00B43746" w:rsidRPr="003171F9">
        <w:rPr>
          <w:rFonts w:ascii="Rotis Sans Serif Std" w:hAnsi="Rotis Sans Serif Std"/>
          <w:b/>
          <w:color w:val="C1002B"/>
          <w:sz w:val="52"/>
          <w:szCs w:val="52"/>
        </w:rPr>
        <w:t xml:space="preserve"> Informe del Mercat Laboral</w:t>
      </w:r>
    </w:p>
    <w:p w:rsidR="00B43746" w:rsidRPr="003171F9" w:rsidRDefault="00B43746" w:rsidP="008D74D7">
      <w:pPr>
        <w:spacing w:line="276" w:lineRule="auto"/>
        <w:jc w:val="center"/>
        <w:rPr>
          <w:rFonts w:ascii="Rotis Sans Serif Std" w:hAnsi="Rotis Sans Serif Std"/>
          <w:b/>
          <w:color w:val="C1002B"/>
          <w:sz w:val="52"/>
          <w:szCs w:val="52"/>
        </w:rPr>
      </w:pPr>
      <w:r w:rsidRPr="003171F9">
        <w:rPr>
          <w:rFonts w:ascii="Rotis Sans Serif Std" w:hAnsi="Rotis Sans Serif Std"/>
          <w:b/>
          <w:color w:val="C1002B"/>
          <w:sz w:val="52"/>
          <w:szCs w:val="52"/>
        </w:rPr>
        <w:t>I</w:t>
      </w:r>
    </w:p>
    <w:p w:rsidR="00B43746" w:rsidRPr="003171F9" w:rsidRDefault="00B43746" w:rsidP="008D74D7">
      <w:pPr>
        <w:spacing w:line="276" w:lineRule="auto"/>
        <w:jc w:val="center"/>
        <w:rPr>
          <w:rFonts w:ascii="Rotis Sans Serif Std" w:hAnsi="Rotis Sans Serif Std"/>
          <w:b/>
          <w:color w:val="C1002B"/>
          <w:sz w:val="52"/>
          <w:szCs w:val="52"/>
        </w:rPr>
      </w:pPr>
      <w:r w:rsidRPr="003171F9">
        <w:rPr>
          <w:rFonts w:ascii="Rotis Sans Serif Std" w:hAnsi="Rotis Sans Serif Std"/>
          <w:b/>
          <w:color w:val="C1002B"/>
          <w:sz w:val="52"/>
          <w:szCs w:val="52"/>
        </w:rPr>
        <w:t>Negociació Col·lectiva</w:t>
      </w:r>
    </w:p>
    <w:p w:rsidR="00B43746" w:rsidRPr="003171F9" w:rsidRDefault="00B43746" w:rsidP="008D74D7">
      <w:pPr>
        <w:spacing w:line="276" w:lineRule="auto"/>
        <w:jc w:val="center"/>
        <w:rPr>
          <w:rFonts w:ascii="Rotis Sans Serif Std" w:hAnsi="Rotis Sans Serif Std"/>
          <w:b/>
          <w:color w:val="C1002B"/>
          <w:sz w:val="52"/>
          <w:szCs w:val="52"/>
        </w:rPr>
      </w:pPr>
      <w:r w:rsidRPr="003171F9">
        <w:rPr>
          <w:rFonts w:ascii="Rotis Sans Serif Std" w:hAnsi="Rotis Sans Serif Std"/>
          <w:b/>
          <w:color w:val="C1002B"/>
        </w:rPr>
        <w:t xml:space="preserve">Barcelona, </w:t>
      </w:r>
      <w:r w:rsidR="008F30AB">
        <w:rPr>
          <w:rFonts w:ascii="Rotis Sans Serif Std" w:hAnsi="Rotis Sans Serif Std"/>
          <w:b/>
          <w:color w:val="C1002B"/>
        </w:rPr>
        <w:t>8</w:t>
      </w:r>
      <w:r w:rsidR="00617A8C">
        <w:rPr>
          <w:rFonts w:ascii="Rotis Sans Serif Std" w:hAnsi="Rotis Sans Serif Std"/>
          <w:b/>
          <w:color w:val="C1002B"/>
        </w:rPr>
        <w:t xml:space="preserve"> d</w:t>
      </w:r>
      <w:r w:rsidR="00E126B0">
        <w:rPr>
          <w:rFonts w:ascii="Rotis Sans Serif Std" w:hAnsi="Rotis Sans Serif Std"/>
          <w:b/>
          <w:color w:val="C1002B"/>
        </w:rPr>
        <w:t>’octubre</w:t>
      </w:r>
    </w:p>
    <w:p w:rsidR="00B43746" w:rsidRPr="003171F9" w:rsidRDefault="00B43746" w:rsidP="008D74D7">
      <w:pPr>
        <w:spacing w:line="276" w:lineRule="auto"/>
        <w:jc w:val="both"/>
        <w:rPr>
          <w:rFonts w:ascii="Rotis Sans Serif Std ExtraBold" w:hAnsi="Rotis Sans Serif Std ExtraBold"/>
          <w:b/>
          <w:color w:val="C1002B"/>
          <w:sz w:val="28"/>
          <w:szCs w:val="28"/>
        </w:rPr>
      </w:pPr>
    </w:p>
    <w:p w:rsidR="00B43746" w:rsidRPr="003171F9" w:rsidRDefault="00B43746" w:rsidP="008D74D7">
      <w:pPr>
        <w:spacing w:line="276" w:lineRule="auto"/>
        <w:rPr>
          <w:rFonts w:ascii="Rotis Sans Serif Std" w:hAnsi="Rotis Sans Serif Std"/>
          <w:b/>
          <w:color w:val="C1002B"/>
        </w:rPr>
      </w:pPr>
      <w:r w:rsidRPr="003171F9">
        <w:rPr>
          <w:rFonts w:ascii="Rotis Sans Serif Std" w:hAnsi="Rotis Sans Serif Std"/>
          <w:b/>
          <w:color w:val="C1002B"/>
        </w:rPr>
        <w:br w:type="page"/>
      </w:r>
    </w:p>
    <w:p w:rsidR="00B43746" w:rsidRPr="003171F9" w:rsidRDefault="00B43746" w:rsidP="008D74D7">
      <w:pPr>
        <w:spacing w:line="276" w:lineRule="auto"/>
        <w:jc w:val="both"/>
        <w:rPr>
          <w:rFonts w:ascii="Rotis Sans Serif Std" w:hAnsi="Rotis Sans Serif Std"/>
          <w:b/>
          <w:color w:val="C1002B"/>
        </w:rPr>
      </w:pPr>
    </w:p>
    <w:p w:rsidR="00B43746" w:rsidRPr="003171F9" w:rsidRDefault="00B43746" w:rsidP="008D74D7">
      <w:pPr>
        <w:spacing w:line="276" w:lineRule="auto"/>
        <w:jc w:val="both"/>
        <w:rPr>
          <w:rFonts w:ascii="Rotis Sans Serif Std" w:hAnsi="Rotis Sans Serif Std"/>
          <w:b/>
          <w:color w:val="C1002B"/>
        </w:rPr>
      </w:pPr>
      <w:r w:rsidRPr="003171F9">
        <w:rPr>
          <w:rFonts w:ascii="Rotis Sans Serif Std" w:hAnsi="Rotis Sans Serif Std"/>
          <w:b/>
          <w:color w:val="C1002B"/>
        </w:rPr>
        <w:t>TAULA DE CONTINGUT</w:t>
      </w:r>
    </w:p>
    <w:p w:rsidR="00B43746" w:rsidRPr="003171F9" w:rsidRDefault="00B43746" w:rsidP="008D74D7">
      <w:pPr>
        <w:spacing w:line="276" w:lineRule="auto"/>
        <w:jc w:val="both"/>
        <w:rPr>
          <w:rFonts w:ascii="Rotis Sans Serif Std ExtraBold" w:hAnsi="Rotis Sans Serif Std ExtraBold"/>
          <w:color w:val="FF0000"/>
        </w:rPr>
      </w:pPr>
    </w:p>
    <w:p w:rsidR="00B43746" w:rsidRPr="000444D8" w:rsidRDefault="004213C1" w:rsidP="003E2B63">
      <w:pPr>
        <w:pStyle w:val="TDC1"/>
        <w:tabs>
          <w:tab w:val="right" w:leader="dot" w:pos="9497"/>
        </w:tabs>
        <w:rPr>
          <w:rFonts w:ascii="Rotis Sans Serif Std" w:hAnsi="Rotis Sans Serif Std"/>
          <w:sz w:val="24"/>
          <w:szCs w:val="24"/>
          <w:lang w:val="ca-ES"/>
        </w:rPr>
      </w:pPr>
      <w:hyperlink w:anchor="Resum" w:history="1">
        <w:r w:rsidR="000444D8">
          <w:rPr>
            <w:rStyle w:val="Hipervnculo"/>
            <w:rFonts w:ascii="Rotis Sans Serif Std" w:hAnsi="Rotis Sans Serif Std"/>
            <w:bCs/>
            <w:color w:val="auto"/>
            <w:sz w:val="24"/>
            <w:szCs w:val="24"/>
            <w:u w:val="none"/>
            <w:lang w:val="ca-ES"/>
          </w:rPr>
          <w:t>1. R</w:t>
        </w:r>
        <w:r w:rsidR="00B43746" w:rsidRPr="000444D8">
          <w:rPr>
            <w:rStyle w:val="Hipervnculo"/>
            <w:rFonts w:ascii="Rotis Sans Serif Std" w:hAnsi="Rotis Sans Serif Std"/>
            <w:bCs/>
            <w:color w:val="auto"/>
            <w:sz w:val="24"/>
            <w:szCs w:val="24"/>
            <w:u w:val="none"/>
            <w:lang w:val="ca-ES"/>
          </w:rPr>
          <w:t>ESUM EXECUTIU</w:t>
        </w:r>
      </w:hyperlink>
      <w:r w:rsidR="00B43746" w:rsidRPr="000444D8">
        <w:rPr>
          <w:rFonts w:ascii="Rotis Sans Serif Std" w:hAnsi="Rotis Sans Serif Std"/>
          <w:bCs/>
          <w:sz w:val="24"/>
          <w:szCs w:val="24"/>
          <w:lang w:val="ca-ES"/>
        </w:rPr>
        <w:tab/>
        <w:t>3</w:t>
      </w:r>
    </w:p>
    <w:p w:rsidR="00B43746" w:rsidRPr="000444D8" w:rsidRDefault="004213C1" w:rsidP="003E2B63">
      <w:pPr>
        <w:pStyle w:val="TDC1"/>
        <w:tabs>
          <w:tab w:val="right" w:leader="dot" w:pos="9497"/>
        </w:tabs>
        <w:rPr>
          <w:rFonts w:ascii="Rotis Sans Serif Std" w:hAnsi="Rotis Sans Serif Std"/>
          <w:sz w:val="24"/>
          <w:szCs w:val="24"/>
          <w:lang w:val="ca-ES"/>
        </w:rPr>
      </w:pPr>
      <w:hyperlink w:anchor="dades" w:history="1">
        <w:r w:rsidR="00B43746" w:rsidRPr="000444D8">
          <w:rPr>
            <w:rStyle w:val="Hipervnculo"/>
            <w:rFonts w:ascii="Rotis Sans Serif Std" w:hAnsi="Rotis Sans Serif Std"/>
            <w:bCs/>
            <w:color w:val="auto"/>
            <w:sz w:val="24"/>
            <w:szCs w:val="24"/>
            <w:u w:val="none"/>
            <w:lang w:val="ca-ES"/>
          </w:rPr>
          <w:t>2. DADES ESTADÍSTIQUES DEL MERCAT DE TREBALL I N</w:t>
        </w:r>
        <w:r w:rsidR="009F201C" w:rsidRPr="000444D8">
          <w:rPr>
            <w:rStyle w:val="Hipervnculo"/>
            <w:rFonts w:ascii="Rotis Sans Serif Std" w:hAnsi="Rotis Sans Serif Std"/>
            <w:bCs/>
            <w:color w:val="auto"/>
            <w:sz w:val="24"/>
            <w:szCs w:val="24"/>
            <w:u w:val="none"/>
            <w:lang w:val="ca-ES"/>
          </w:rPr>
          <w:t>EGOCIACIÓ COL·LECTIVA</w:t>
        </w:r>
      </w:hyperlink>
      <w:r w:rsidR="00B43746" w:rsidRPr="000444D8">
        <w:rPr>
          <w:rFonts w:ascii="Rotis Sans Serif Std" w:hAnsi="Rotis Sans Serif Std"/>
          <w:sz w:val="24"/>
          <w:szCs w:val="24"/>
          <w:lang w:val="ca-ES"/>
        </w:rPr>
        <w:tab/>
      </w:r>
      <w:r w:rsidR="00B12791" w:rsidRPr="000444D8">
        <w:rPr>
          <w:rFonts w:ascii="Rotis Sans Serif Std" w:hAnsi="Rotis Sans Serif Std"/>
          <w:sz w:val="24"/>
          <w:szCs w:val="24"/>
          <w:lang w:val="ca-ES"/>
        </w:rPr>
        <w:t>1</w:t>
      </w:r>
      <w:r w:rsidR="00733001">
        <w:rPr>
          <w:rFonts w:ascii="Rotis Sans Serif Std" w:hAnsi="Rotis Sans Serif Std"/>
          <w:sz w:val="24"/>
          <w:szCs w:val="24"/>
          <w:lang w:val="ca-ES"/>
        </w:rPr>
        <w:t>5</w:t>
      </w:r>
    </w:p>
    <w:p w:rsidR="00B43746" w:rsidRPr="000444D8" w:rsidRDefault="004213C1" w:rsidP="003E2B63">
      <w:pPr>
        <w:pStyle w:val="TDC1"/>
        <w:tabs>
          <w:tab w:val="right" w:leader="dot" w:pos="9497"/>
        </w:tabs>
        <w:spacing w:after="0"/>
        <w:ind w:left="284"/>
        <w:rPr>
          <w:rFonts w:ascii="Rotis Sans Serif Std" w:hAnsi="Rotis Sans Serif Std"/>
          <w:sz w:val="24"/>
          <w:szCs w:val="24"/>
          <w:lang w:val="ca-ES"/>
        </w:rPr>
      </w:pPr>
      <w:hyperlink w:anchor="ocupacio" w:history="1">
        <w:r w:rsidR="00B43746" w:rsidRPr="000444D8">
          <w:rPr>
            <w:rStyle w:val="Hipervnculo"/>
            <w:rFonts w:ascii="Rotis Sans Serif Std" w:hAnsi="Rotis Sans Serif Std"/>
            <w:bCs/>
            <w:color w:val="auto"/>
            <w:sz w:val="24"/>
            <w:szCs w:val="24"/>
            <w:u w:val="none"/>
            <w:lang w:val="ca-ES"/>
          </w:rPr>
          <w:t>2.1. OCUPACIÓ.</w:t>
        </w:r>
      </w:hyperlink>
      <w:r w:rsidR="00B43746" w:rsidRPr="000444D8">
        <w:rPr>
          <w:rFonts w:ascii="Rotis Sans Serif Std" w:hAnsi="Rotis Sans Serif Std"/>
          <w:sz w:val="24"/>
          <w:szCs w:val="24"/>
          <w:lang w:val="ca-ES"/>
        </w:rPr>
        <w:tab/>
      </w:r>
      <w:r w:rsidR="00563700" w:rsidRPr="000444D8">
        <w:rPr>
          <w:rFonts w:ascii="Rotis Sans Serif Std" w:hAnsi="Rotis Sans Serif Std"/>
          <w:sz w:val="24"/>
          <w:szCs w:val="24"/>
          <w:lang w:val="ca-ES"/>
        </w:rPr>
        <w:t>..1</w:t>
      </w:r>
      <w:r w:rsidR="00733001">
        <w:rPr>
          <w:rFonts w:ascii="Rotis Sans Serif Std" w:hAnsi="Rotis Sans Serif Std"/>
          <w:sz w:val="24"/>
          <w:szCs w:val="24"/>
          <w:lang w:val="ca-ES"/>
        </w:rPr>
        <w:t>5</w:t>
      </w:r>
    </w:p>
    <w:p w:rsidR="00B43746" w:rsidRPr="000444D8" w:rsidRDefault="00B43746" w:rsidP="00F76D04">
      <w:pPr>
        <w:spacing w:line="276" w:lineRule="auto"/>
        <w:ind w:left="284"/>
        <w:rPr>
          <w:rFonts w:ascii="Rotis Sans Serif Std" w:hAnsi="Rotis Sans Serif Std"/>
          <w:bCs/>
        </w:rPr>
      </w:pPr>
      <w:r w:rsidRPr="000444D8">
        <w:tab/>
      </w:r>
      <w:hyperlink w:anchor="Atur" w:history="1">
        <w:r w:rsidRPr="000444D8">
          <w:rPr>
            <w:rStyle w:val="Hipervnculo"/>
            <w:rFonts w:ascii="Rotis Sans Serif Std" w:hAnsi="Rotis Sans Serif Std"/>
            <w:bCs/>
            <w:color w:val="auto"/>
            <w:u w:val="none"/>
          </w:rPr>
          <w:t>2.1.1.</w:t>
        </w:r>
        <w:r w:rsidRPr="000444D8">
          <w:rPr>
            <w:rStyle w:val="Hipervnculo"/>
            <w:color w:val="auto"/>
            <w:u w:val="none"/>
          </w:rPr>
          <w:t xml:space="preserve"> </w:t>
        </w:r>
        <w:r w:rsidRPr="000444D8">
          <w:rPr>
            <w:rStyle w:val="Hipervnculo"/>
            <w:rFonts w:ascii="Rotis Sans Serif Std" w:hAnsi="Rotis Sans Serif Std"/>
            <w:bCs/>
            <w:color w:val="auto"/>
            <w:u w:val="none"/>
          </w:rPr>
          <w:t>ATUR REGISTRAT</w:t>
        </w:r>
      </w:hyperlink>
      <w:r w:rsidRPr="000444D8">
        <w:rPr>
          <w:rFonts w:ascii="Rotis Sans Serif Std" w:hAnsi="Rotis Sans Serif Std"/>
          <w:bCs/>
        </w:rPr>
        <w:t>...</w:t>
      </w:r>
      <w:r w:rsidR="000444D8">
        <w:rPr>
          <w:rFonts w:ascii="Rotis Sans Serif Std" w:hAnsi="Rotis Sans Serif Std"/>
          <w:bCs/>
        </w:rPr>
        <w:t>.</w:t>
      </w:r>
      <w:r w:rsidRPr="000444D8">
        <w:rPr>
          <w:rFonts w:ascii="Rotis Sans Serif Std" w:hAnsi="Rotis Sans Serif Std"/>
          <w:bCs/>
        </w:rPr>
        <w:t>...................................................................................................</w:t>
      </w:r>
      <w:r w:rsidR="006046F1" w:rsidRPr="000444D8">
        <w:rPr>
          <w:rFonts w:ascii="Rotis Sans Serif Std" w:hAnsi="Rotis Sans Serif Std"/>
          <w:bCs/>
        </w:rPr>
        <w:t>..........................</w:t>
      </w:r>
      <w:r w:rsidR="001E7713" w:rsidRPr="000444D8">
        <w:rPr>
          <w:rFonts w:ascii="Rotis Sans Serif Std" w:hAnsi="Rotis Sans Serif Std"/>
          <w:bCs/>
        </w:rPr>
        <w:t>1</w:t>
      </w:r>
      <w:r w:rsidR="00733001">
        <w:rPr>
          <w:rFonts w:ascii="Rotis Sans Serif Std" w:hAnsi="Rotis Sans Serif Std"/>
          <w:bCs/>
        </w:rPr>
        <w:t>5</w:t>
      </w:r>
    </w:p>
    <w:p w:rsidR="00B43746" w:rsidRPr="000444D8" w:rsidRDefault="00B43746" w:rsidP="00F76D04">
      <w:pPr>
        <w:spacing w:line="276" w:lineRule="auto"/>
        <w:ind w:left="284"/>
        <w:rPr>
          <w:rFonts w:ascii="Rotis Sans Serif Std" w:hAnsi="Rotis Sans Serif Std"/>
          <w:bCs/>
        </w:rPr>
      </w:pPr>
      <w:r w:rsidRPr="000444D8">
        <w:rPr>
          <w:rFonts w:ascii="Rotis Sans Serif Std" w:hAnsi="Rotis Sans Serif Std"/>
          <w:bCs/>
        </w:rPr>
        <w:tab/>
      </w:r>
      <w:hyperlink w:anchor="Enquesta" w:history="1">
        <w:r w:rsidRPr="000444D8">
          <w:rPr>
            <w:rStyle w:val="Hipervnculo"/>
            <w:rFonts w:ascii="Rotis Sans Serif Std" w:hAnsi="Rotis Sans Serif Std"/>
            <w:bCs/>
            <w:color w:val="auto"/>
            <w:u w:val="none"/>
          </w:rPr>
          <w:t>2.1.2. ENQUESTA DE POBLACIÓ ACTIVA</w:t>
        </w:r>
      </w:hyperlink>
      <w:r w:rsidRPr="000444D8">
        <w:rPr>
          <w:rFonts w:ascii="Rotis Sans Serif Std" w:hAnsi="Rotis Sans Serif Std"/>
          <w:bCs/>
        </w:rPr>
        <w:t>..</w:t>
      </w:r>
      <w:r w:rsidR="000444D8">
        <w:rPr>
          <w:rFonts w:ascii="Rotis Sans Serif Std" w:hAnsi="Rotis Sans Serif Std"/>
          <w:bCs/>
        </w:rPr>
        <w:t>.</w:t>
      </w:r>
      <w:r w:rsidRPr="000444D8">
        <w:rPr>
          <w:rFonts w:ascii="Rotis Sans Serif Std" w:hAnsi="Rotis Sans Serif Std"/>
          <w:bCs/>
        </w:rPr>
        <w:t>......................................................................</w:t>
      </w:r>
      <w:r w:rsidR="00A651F8" w:rsidRPr="000444D8">
        <w:rPr>
          <w:rFonts w:ascii="Rotis Sans Serif Std" w:hAnsi="Rotis Sans Serif Std"/>
          <w:bCs/>
        </w:rPr>
        <w:t>...................</w:t>
      </w:r>
      <w:r w:rsidRPr="000444D8">
        <w:rPr>
          <w:rFonts w:ascii="Rotis Sans Serif Std" w:hAnsi="Rotis Sans Serif Std"/>
          <w:bCs/>
        </w:rPr>
        <w:t>.</w:t>
      </w:r>
      <w:r w:rsidR="006046F1" w:rsidRPr="000444D8">
        <w:rPr>
          <w:rFonts w:ascii="Rotis Sans Serif Std" w:hAnsi="Rotis Sans Serif Std"/>
          <w:bCs/>
        </w:rPr>
        <w:t>....</w:t>
      </w:r>
      <w:r w:rsidR="00CF644A" w:rsidRPr="000444D8">
        <w:rPr>
          <w:rFonts w:ascii="Rotis Sans Serif Std" w:hAnsi="Rotis Sans Serif Std"/>
          <w:bCs/>
        </w:rPr>
        <w:t>.1</w:t>
      </w:r>
      <w:r w:rsidR="00733001">
        <w:rPr>
          <w:rFonts w:ascii="Rotis Sans Serif Std" w:hAnsi="Rotis Sans Serif Std"/>
          <w:bCs/>
        </w:rPr>
        <w:t>7</w:t>
      </w:r>
    </w:p>
    <w:p w:rsidR="00B43746" w:rsidRPr="000444D8" w:rsidRDefault="004213C1" w:rsidP="00A651F8">
      <w:pPr>
        <w:tabs>
          <w:tab w:val="right" w:leader="dot" w:pos="9497"/>
        </w:tabs>
        <w:spacing w:line="276" w:lineRule="auto"/>
        <w:ind w:left="567" w:firstLine="142"/>
        <w:rPr>
          <w:rFonts w:ascii="Rotis Sans Serif Std" w:hAnsi="Rotis Sans Serif Std"/>
        </w:rPr>
      </w:pPr>
      <w:hyperlink w:anchor="Afiliacio" w:history="1">
        <w:r w:rsidR="00B43746" w:rsidRPr="000444D8">
          <w:rPr>
            <w:rStyle w:val="Hipervnculo"/>
            <w:rFonts w:ascii="Rotis Sans Serif Std" w:hAnsi="Rotis Sans Serif Std"/>
            <w:bCs/>
            <w:color w:val="auto"/>
            <w:u w:val="none"/>
          </w:rPr>
          <w:t>2.1.3. AFILIACIÓ</w:t>
        </w:r>
      </w:hyperlink>
      <w:r w:rsidR="00B43746" w:rsidRPr="000444D8">
        <w:rPr>
          <w:rFonts w:ascii="Rotis Sans Serif Std" w:hAnsi="Rotis Sans Serif Std"/>
        </w:rPr>
        <w:tab/>
      </w:r>
      <w:r w:rsidR="007826E8" w:rsidRPr="000444D8">
        <w:rPr>
          <w:rFonts w:ascii="Rotis Sans Serif Std" w:hAnsi="Rotis Sans Serif Std"/>
        </w:rPr>
        <w:t>2</w:t>
      </w:r>
      <w:r w:rsidR="00733001">
        <w:rPr>
          <w:rFonts w:ascii="Rotis Sans Serif Std" w:hAnsi="Rotis Sans Serif Std"/>
        </w:rPr>
        <w:t>1</w:t>
      </w:r>
    </w:p>
    <w:p w:rsidR="00B43746" w:rsidRPr="000444D8" w:rsidRDefault="00B43746" w:rsidP="006F7D39">
      <w:pPr>
        <w:spacing w:line="276" w:lineRule="auto"/>
        <w:ind w:left="567" w:firstLine="142"/>
        <w:rPr>
          <w:rFonts w:ascii="Rotis Sans Serif Std" w:hAnsi="Rotis Sans Serif Std"/>
        </w:rPr>
      </w:pPr>
    </w:p>
    <w:p w:rsidR="00B43746" w:rsidRPr="000444D8" w:rsidRDefault="004213C1" w:rsidP="003E2B63">
      <w:pPr>
        <w:tabs>
          <w:tab w:val="right" w:leader="dot" w:pos="9497"/>
        </w:tabs>
        <w:spacing w:line="276" w:lineRule="auto"/>
        <w:ind w:left="284"/>
        <w:rPr>
          <w:rFonts w:ascii="Rotis Sans Serif Std" w:hAnsi="Rotis Sans Serif Std"/>
        </w:rPr>
      </w:pPr>
      <w:hyperlink w:anchor="Contractacio" w:history="1">
        <w:r w:rsidR="00B43746" w:rsidRPr="000444D8">
          <w:rPr>
            <w:rStyle w:val="Hipervnculo"/>
            <w:rFonts w:ascii="Rotis Sans Serif Std" w:hAnsi="Rotis Sans Serif Std"/>
            <w:bCs/>
            <w:color w:val="auto"/>
            <w:u w:val="none"/>
          </w:rPr>
          <w:t>2</w:t>
        </w:r>
        <w:r w:rsidR="000444D8">
          <w:rPr>
            <w:rStyle w:val="Hipervnculo"/>
            <w:rFonts w:ascii="Rotis Sans Serif Std" w:hAnsi="Rotis Sans Serif Std"/>
            <w:bCs/>
            <w:color w:val="auto"/>
            <w:u w:val="none"/>
          </w:rPr>
          <w:t>.2</w:t>
        </w:r>
        <w:r w:rsidR="00B43746" w:rsidRPr="000444D8">
          <w:rPr>
            <w:rStyle w:val="Hipervnculo"/>
            <w:rFonts w:ascii="Rotis Sans Serif Std" w:hAnsi="Rotis Sans Serif Std"/>
            <w:bCs/>
            <w:color w:val="auto"/>
            <w:u w:val="none"/>
          </w:rPr>
          <w:t>. CONTRACTACIÓ</w:t>
        </w:r>
      </w:hyperlink>
      <w:r w:rsidR="00B43746" w:rsidRPr="000444D8">
        <w:rPr>
          <w:rFonts w:ascii="Rotis Sans Serif Std" w:hAnsi="Rotis Sans Serif Std"/>
        </w:rPr>
        <w:tab/>
      </w:r>
      <w:r w:rsidR="007826E8" w:rsidRPr="000444D8">
        <w:rPr>
          <w:rFonts w:ascii="Rotis Sans Serif Std" w:hAnsi="Rotis Sans Serif Std"/>
        </w:rPr>
        <w:t>2</w:t>
      </w:r>
      <w:r w:rsidR="00733001">
        <w:rPr>
          <w:rFonts w:ascii="Rotis Sans Serif Std" w:hAnsi="Rotis Sans Serif Std"/>
        </w:rPr>
        <w:t>2</w:t>
      </w:r>
    </w:p>
    <w:p w:rsidR="00B43746" w:rsidRPr="000444D8" w:rsidRDefault="004213C1" w:rsidP="003E2B63">
      <w:pPr>
        <w:pStyle w:val="TDC1"/>
        <w:tabs>
          <w:tab w:val="right" w:leader="dot" w:pos="9497"/>
        </w:tabs>
        <w:spacing w:before="240" w:after="0"/>
        <w:ind w:left="284"/>
        <w:rPr>
          <w:rFonts w:ascii="Rotis Sans Serif Std" w:hAnsi="Rotis Sans Serif Std"/>
          <w:sz w:val="24"/>
          <w:szCs w:val="24"/>
          <w:lang w:val="ca-ES"/>
        </w:rPr>
      </w:pPr>
      <w:hyperlink w:anchor="Negocicio" w:history="1">
        <w:r w:rsidR="00B43746" w:rsidRPr="000444D8">
          <w:rPr>
            <w:rStyle w:val="Hipervnculo"/>
            <w:rFonts w:ascii="Rotis Sans Serif Std" w:hAnsi="Rotis Sans Serif Std"/>
            <w:color w:val="auto"/>
            <w:sz w:val="24"/>
            <w:szCs w:val="24"/>
            <w:u w:val="none"/>
            <w:lang w:val="ca-ES"/>
          </w:rPr>
          <w:t>2.3. NEGOCIACIÓ COL·LECTIVA</w:t>
        </w:r>
      </w:hyperlink>
      <w:r w:rsidR="00B43746" w:rsidRPr="000444D8">
        <w:rPr>
          <w:rFonts w:ascii="Rotis Sans Serif Std" w:hAnsi="Rotis Sans Serif Std"/>
          <w:sz w:val="24"/>
          <w:szCs w:val="24"/>
          <w:lang w:val="ca-ES"/>
        </w:rPr>
        <w:tab/>
      </w:r>
      <w:r w:rsidR="006046F1" w:rsidRPr="000444D8">
        <w:rPr>
          <w:rFonts w:ascii="Rotis Sans Serif Std" w:hAnsi="Rotis Sans Serif Std"/>
          <w:sz w:val="24"/>
          <w:szCs w:val="24"/>
          <w:lang w:val="ca-ES"/>
        </w:rPr>
        <w:t>2</w:t>
      </w:r>
      <w:r w:rsidR="00733001">
        <w:rPr>
          <w:rFonts w:ascii="Rotis Sans Serif Std" w:hAnsi="Rotis Sans Serif Std"/>
          <w:sz w:val="24"/>
          <w:szCs w:val="24"/>
          <w:lang w:val="ca-ES"/>
        </w:rPr>
        <w:t>4</w:t>
      </w:r>
      <w:r w:rsidR="00CF644A" w:rsidRPr="000444D8">
        <w:rPr>
          <w:rFonts w:ascii="Rotis Sans Serif Std" w:hAnsi="Rotis Sans Serif Std"/>
          <w:sz w:val="24"/>
          <w:szCs w:val="24"/>
          <w:lang w:val="ca-ES"/>
        </w:rPr>
        <w:t xml:space="preserve"> </w:t>
      </w:r>
    </w:p>
    <w:p w:rsidR="00B43746" w:rsidRPr="000444D8" w:rsidRDefault="004213C1" w:rsidP="005C121E">
      <w:pPr>
        <w:tabs>
          <w:tab w:val="right" w:leader="dot" w:pos="9497"/>
        </w:tabs>
        <w:spacing w:line="276" w:lineRule="auto"/>
        <w:ind w:left="709"/>
        <w:rPr>
          <w:rFonts w:ascii="Rotis Sans Serif Std" w:hAnsi="Rotis Sans Serif Std"/>
        </w:rPr>
      </w:pPr>
      <w:hyperlink w:anchor="Convenis" w:history="1">
        <w:r w:rsidR="005C121E" w:rsidRPr="000444D8">
          <w:rPr>
            <w:rStyle w:val="Hipervnculo"/>
            <w:rFonts w:ascii="Rotis Sans Serif Std" w:hAnsi="Rotis Sans Serif Std"/>
            <w:bCs/>
            <w:color w:val="auto"/>
            <w:u w:val="none"/>
          </w:rPr>
          <w:t>2.3.1.</w:t>
        </w:r>
        <w:r w:rsidR="005C121E" w:rsidRPr="000444D8">
          <w:rPr>
            <w:rStyle w:val="Hipervnculo"/>
            <w:color w:val="auto"/>
            <w:u w:val="none"/>
          </w:rPr>
          <w:t xml:space="preserve"> </w:t>
        </w:r>
        <w:r w:rsidR="005C121E" w:rsidRPr="000444D8">
          <w:rPr>
            <w:rStyle w:val="Hipervnculo"/>
            <w:rFonts w:ascii="Rotis Sans Serif Std" w:hAnsi="Rotis Sans Serif Std"/>
            <w:color w:val="auto"/>
            <w:u w:val="none"/>
          </w:rPr>
          <w:t>CONVENIS COL·LECTIUS</w:t>
        </w:r>
      </w:hyperlink>
      <w:r w:rsidR="00B43746" w:rsidRPr="000444D8">
        <w:rPr>
          <w:rFonts w:ascii="Rotis Sans Serif Std" w:hAnsi="Rotis Sans Serif Std"/>
        </w:rPr>
        <w:tab/>
      </w:r>
      <w:r w:rsidR="007826E8" w:rsidRPr="000444D8">
        <w:rPr>
          <w:rFonts w:ascii="Rotis Sans Serif Std" w:hAnsi="Rotis Sans Serif Std"/>
        </w:rPr>
        <w:t>2</w:t>
      </w:r>
      <w:r w:rsidR="00733001">
        <w:rPr>
          <w:rFonts w:ascii="Rotis Sans Serif Std" w:hAnsi="Rotis Sans Serif Std"/>
        </w:rPr>
        <w:t>4</w:t>
      </w:r>
    </w:p>
    <w:p w:rsidR="00B43746" w:rsidRPr="000444D8" w:rsidRDefault="004213C1" w:rsidP="003E2B63">
      <w:pPr>
        <w:tabs>
          <w:tab w:val="right" w:leader="dot" w:pos="9497"/>
        </w:tabs>
        <w:spacing w:line="276" w:lineRule="auto"/>
        <w:ind w:left="709"/>
        <w:rPr>
          <w:rFonts w:ascii="Rotis Sans Serif Std" w:hAnsi="Rotis Sans Serif Std"/>
        </w:rPr>
      </w:pPr>
      <w:hyperlink w:anchor="Inaplicacions" w:history="1">
        <w:r w:rsidR="00B43746" w:rsidRPr="000444D8">
          <w:rPr>
            <w:rStyle w:val="Hipervnculo"/>
            <w:rFonts w:ascii="Rotis Sans Serif Std" w:hAnsi="Rotis Sans Serif Std"/>
            <w:color w:val="auto"/>
            <w:u w:val="none"/>
          </w:rPr>
          <w:t>2.3.2. INAPLICACIÓ DE CONVENIS</w:t>
        </w:r>
      </w:hyperlink>
      <w:r w:rsidR="00B43746" w:rsidRPr="000444D8">
        <w:rPr>
          <w:rFonts w:ascii="Rotis Sans Serif Std" w:hAnsi="Rotis Sans Serif Std"/>
        </w:rPr>
        <w:tab/>
      </w:r>
      <w:r w:rsidR="00733001">
        <w:rPr>
          <w:rFonts w:ascii="Rotis Sans Serif Std" w:hAnsi="Rotis Sans Serif Std"/>
        </w:rPr>
        <w:t>30</w:t>
      </w:r>
    </w:p>
    <w:p w:rsidR="00B43746" w:rsidRPr="000444D8" w:rsidRDefault="00B43746" w:rsidP="00F76D04">
      <w:pPr>
        <w:spacing w:line="276" w:lineRule="auto"/>
        <w:ind w:left="284" w:firstLine="720"/>
        <w:rPr>
          <w:rFonts w:ascii="Rotis Sans Serif Std" w:hAnsi="Rotis Sans Serif Std"/>
        </w:rPr>
      </w:pPr>
    </w:p>
    <w:p w:rsidR="00B43746" w:rsidRPr="000444D8" w:rsidRDefault="004213C1" w:rsidP="003E2B63">
      <w:pPr>
        <w:pStyle w:val="TDC1"/>
        <w:tabs>
          <w:tab w:val="right" w:leader="dot" w:pos="9497"/>
        </w:tabs>
        <w:spacing w:after="0"/>
        <w:ind w:left="284"/>
        <w:rPr>
          <w:rFonts w:ascii="Rotis Sans Serif Std" w:hAnsi="Rotis Sans Serif Std"/>
          <w:sz w:val="24"/>
          <w:szCs w:val="24"/>
          <w:lang w:val="ca-ES"/>
        </w:rPr>
      </w:pPr>
      <w:hyperlink w:anchor="Expedients" w:history="1">
        <w:r w:rsidR="00B43746" w:rsidRPr="000444D8">
          <w:rPr>
            <w:rStyle w:val="Hipervnculo"/>
            <w:rFonts w:ascii="Rotis Sans Serif Std" w:hAnsi="Rotis Sans Serif Std"/>
            <w:color w:val="auto"/>
            <w:sz w:val="24"/>
            <w:szCs w:val="24"/>
            <w:u w:val="none"/>
            <w:lang w:val="ca-ES"/>
          </w:rPr>
          <w:t>2.4. EXPEDIENTS DE REGULACIÓ D’OCUPACIÓ</w:t>
        </w:r>
      </w:hyperlink>
      <w:r w:rsidR="00B43746" w:rsidRPr="000444D8">
        <w:rPr>
          <w:rFonts w:ascii="Rotis Sans Serif Std" w:hAnsi="Rotis Sans Serif Std"/>
          <w:sz w:val="24"/>
          <w:szCs w:val="24"/>
          <w:lang w:val="ca-ES"/>
        </w:rPr>
        <w:tab/>
      </w:r>
      <w:r w:rsidR="00CF644A" w:rsidRPr="000444D8">
        <w:rPr>
          <w:rFonts w:ascii="Rotis Sans Serif Std" w:hAnsi="Rotis Sans Serif Std"/>
          <w:sz w:val="24"/>
          <w:szCs w:val="24"/>
          <w:lang w:val="ca-ES"/>
        </w:rPr>
        <w:t>3</w:t>
      </w:r>
      <w:r w:rsidR="00733001">
        <w:rPr>
          <w:rFonts w:ascii="Rotis Sans Serif Std" w:hAnsi="Rotis Sans Serif Std"/>
          <w:sz w:val="24"/>
          <w:szCs w:val="24"/>
          <w:lang w:val="ca-ES"/>
        </w:rPr>
        <w:t>3</w:t>
      </w:r>
    </w:p>
    <w:p w:rsidR="00B43746" w:rsidRPr="000444D8" w:rsidRDefault="004213C1" w:rsidP="003E2B63">
      <w:pPr>
        <w:pStyle w:val="TDC1"/>
        <w:tabs>
          <w:tab w:val="right" w:leader="dot" w:pos="9497"/>
        </w:tabs>
        <w:spacing w:before="240" w:after="0"/>
        <w:ind w:left="284"/>
        <w:rPr>
          <w:rFonts w:ascii="Rotis Sans Serif Std" w:hAnsi="Rotis Sans Serif Std"/>
          <w:sz w:val="24"/>
          <w:szCs w:val="24"/>
          <w:lang w:val="ca-ES"/>
        </w:rPr>
      </w:pPr>
      <w:hyperlink w:anchor="Conflictivitat" w:history="1">
        <w:r w:rsidR="00B43746" w:rsidRPr="000444D8">
          <w:rPr>
            <w:rStyle w:val="Hipervnculo"/>
            <w:rFonts w:ascii="Rotis Sans Serif Std" w:hAnsi="Rotis Sans Serif Std"/>
            <w:color w:val="auto"/>
            <w:sz w:val="24"/>
            <w:szCs w:val="24"/>
            <w:u w:val="none"/>
            <w:lang w:val="ca-ES"/>
          </w:rPr>
          <w:t>2.5. CONFLICTIVITAT LABORAL</w:t>
        </w:r>
      </w:hyperlink>
      <w:r w:rsidR="00B43746" w:rsidRPr="000444D8">
        <w:rPr>
          <w:rFonts w:ascii="Rotis Sans Serif Std" w:hAnsi="Rotis Sans Serif Std"/>
          <w:sz w:val="24"/>
          <w:szCs w:val="24"/>
          <w:lang w:val="ca-ES"/>
        </w:rPr>
        <w:tab/>
      </w:r>
      <w:r w:rsidR="007826E8" w:rsidRPr="000444D8">
        <w:rPr>
          <w:rFonts w:ascii="Rotis Sans Serif Std" w:hAnsi="Rotis Sans Serif Std"/>
          <w:sz w:val="24"/>
          <w:szCs w:val="24"/>
          <w:lang w:val="ca-ES"/>
        </w:rPr>
        <w:t>4</w:t>
      </w:r>
      <w:r w:rsidR="00733001">
        <w:rPr>
          <w:rFonts w:ascii="Rotis Sans Serif Std" w:hAnsi="Rotis Sans Serif Std"/>
          <w:sz w:val="24"/>
          <w:szCs w:val="24"/>
          <w:lang w:val="ca-ES"/>
        </w:rPr>
        <w:t>1</w:t>
      </w:r>
    </w:p>
    <w:p w:rsidR="00B43746" w:rsidRPr="000444D8" w:rsidRDefault="004213C1" w:rsidP="003E2B63">
      <w:pPr>
        <w:pStyle w:val="TDC1"/>
        <w:tabs>
          <w:tab w:val="right" w:leader="dot" w:pos="9497"/>
        </w:tabs>
        <w:spacing w:before="240" w:after="0"/>
        <w:ind w:left="284"/>
        <w:rPr>
          <w:rFonts w:ascii="Rotis Sans Serif Std" w:hAnsi="Rotis Sans Serif Std"/>
          <w:sz w:val="24"/>
          <w:szCs w:val="24"/>
          <w:lang w:val="ca-ES"/>
        </w:rPr>
      </w:pPr>
      <w:hyperlink w:anchor="Resolucio" w:history="1">
        <w:r w:rsidR="00B43746" w:rsidRPr="000444D8">
          <w:rPr>
            <w:rStyle w:val="Hipervnculo"/>
            <w:rFonts w:ascii="Rotis Sans Serif Std" w:hAnsi="Rotis Sans Serif Std"/>
            <w:color w:val="auto"/>
            <w:sz w:val="24"/>
            <w:szCs w:val="24"/>
            <w:u w:val="none"/>
            <w:lang w:val="ca-ES"/>
          </w:rPr>
          <w:t>2.6. RESOLUCIÓ EXTRAJUDICIAL DE CONFLICTES</w:t>
        </w:r>
      </w:hyperlink>
      <w:r w:rsidR="00B43746" w:rsidRPr="000444D8">
        <w:rPr>
          <w:rFonts w:ascii="Rotis Sans Serif Std" w:hAnsi="Rotis Sans Serif Std"/>
          <w:sz w:val="24"/>
          <w:szCs w:val="24"/>
          <w:lang w:val="ca-ES"/>
        </w:rPr>
        <w:tab/>
      </w:r>
      <w:r w:rsidR="001E7713" w:rsidRPr="000444D8">
        <w:rPr>
          <w:rFonts w:ascii="Rotis Sans Serif Std" w:hAnsi="Rotis Sans Serif Std"/>
          <w:sz w:val="24"/>
          <w:szCs w:val="24"/>
          <w:lang w:val="ca-ES"/>
        </w:rPr>
        <w:t>4</w:t>
      </w:r>
      <w:r w:rsidR="00733001">
        <w:rPr>
          <w:rFonts w:ascii="Rotis Sans Serif Std" w:hAnsi="Rotis Sans Serif Std"/>
          <w:sz w:val="24"/>
          <w:szCs w:val="24"/>
          <w:lang w:val="ca-ES"/>
        </w:rPr>
        <w:t>3</w:t>
      </w:r>
    </w:p>
    <w:p w:rsidR="00B43746" w:rsidRPr="000444D8" w:rsidRDefault="004213C1" w:rsidP="003E2B63">
      <w:pPr>
        <w:pStyle w:val="TDC1"/>
        <w:tabs>
          <w:tab w:val="right" w:leader="dot" w:pos="9497"/>
        </w:tabs>
        <w:spacing w:after="0"/>
        <w:ind w:left="284" w:firstLine="720"/>
        <w:rPr>
          <w:rFonts w:ascii="Rotis Sans Serif Std" w:hAnsi="Rotis Sans Serif Std"/>
          <w:sz w:val="24"/>
          <w:szCs w:val="24"/>
          <w:lang w:val="ca-ES"/>
        </w:rPr>
      </w:pPr>
      <w:hyperlink w:anchor="TLC" w:history="1">
        <w:r w:rsidR="00B43746" w:rsidRPr="000444D8">
          <w:rPr>
            <w:rStyle w:val="Hipervnculo"/>
            <w:rFonts w:ascii="Rotis Sans Serif Std" w:hAnsi="Rotis Sans Serif Std"/>
            <w:color w:val="auto"/>
            <w:sz w:val="24"/>
            <w:szCs w:val="24"/>
            <w:u w:val="none"/>
            <w:lang w:val="ca-ES"/>
          </w:rPr>
          <w:t>2.6.1. TRIBUNAL LABORAL DE CATALUNYA</w:t>
        </w:r>
      </w:hyperlink>
      <w:r w:rsidR="00B43746" w:rsidRPr="000444D8">
        <w:rPr>
          <w:rFonts w:ascii="Rotis Sans Serif Std" w:hAnsi="Rotis Sans Serif Std"/>
          <w:sz w:val="24"/>
          <w:szCs w:val="24"/>
          <w:lang w:val="ca-ES"/>
        </w:rPr>
        <w:tab/>
      </w:r>
      <w:r w:rsidR="007826E8" w:rsidRPr="000444D8">
        <w:rPr>
          <w:rFonts w:ascii="Rotis Sans Serif Std" w:hAnsi="Rotis Sans Serif Std"/>
          <w:sz w:val="24"/>
          <w:szCs w:val="24"/>
          <w:lang w:val="ca-ES"/>
        </w:rPr>
        <w:t>4</w:t>
      </w:r>
      <w:r w:rsidR="00733001">
        <w:rPr>
          <w:rFonts w:ascii="Rotis Sans Serif Std" w:hAnsi="Rotis Sans Serif Std"/>
          <w:sz w:val="24"/>
          <w:szCs w:val="24"/>
          <w:lang w:val="ca-ES"/>
        </w:rPr>
        <w:t>3</w:t>
      </w:r>
    </w:p>
    <w:p w:rsidR="00B43746" w:rsidRPr="000444D8" w:rsidRDefault="004213C1" w:rsidP="003E2B63">
      <w:pPr>
        <w:pStyle w:val="TDC1"/>
        <w:tabs>
          <w:tab w:val="right" w:leader="dot" w:pos="9497"/>
        </w:tabs>
        <w:spacing w:after="0"/>
        <w:ind w:left="284" w:firstLine="720"/>
        <w:rPr>
          <w:rFonts w:ascii="Rotis Sans Serif Std" w:hAnsi="Rotis Sans Serif Std"/>
          <w:sz w:val="24"/>
          <w:szCs w:val="24"/>
          <w:lang w:val="ca-ES"/>
        </w:rPr>
      </w:pPr>
      <w:hyperlink w:anchor="Serveis" w:history="1">
        <w:r w:rsidR="00B43746" w:rsidRPr="000444D8">
          <w:rPr>
            <w:rStyle w:val="Hipervnculo"/>
            <w:rFonts w:ascii="Rotis Sans Serif Std" w:hAnsi="Rotis Sans Serif Std"/>
            <w:color w:val="auto"/>
            <w:sz w:val="24"/>
            <w:szCs w:val="24"/>
            <w:u w:val="none"/>
            <w:lang w:val="ca-ES"/>
          </w:rPr>
          <w:t>2.6.2. SERVEI DE MEDIACIÓ, ARBITRATGE I CONCILIACIÓ (SMAC)</w:t>
        </w:r>
      </w:hyperlink>
      <w:r w:rsidR="00B43746" w:rsidRPr="000444D8">
        <w:rPr>
          <w:rFonts w:ascii="Rotis Sans Serif Std" w:hAnsi="Rotis Sans Serif Std"/>
          <w:sz w:val="24"/>
          <w:szCs w:val="24"/>
          <w:lang w:val="ca-ES"/>
        </w:rPr>
        <w:tab/>
      </w:r>
      <w:r w:rsidR="00C90885">
        <w:rPr>
          <w:rFonts w:ascii="Rotis Sans Serif Std" w:hAnsi="Rotis Sans Serif Std"/>
          <w:sz w:val="24"/>
          <w:szCs w:val="24"/>
          <w:lang w:val="ca-ES"/>
        </w:rPr>
        <w:t>4</w:t>
      </w:r>
      <w:r w:rsidR="00733001">
        <w:rPr>
          <w:rFonts w:ascii="Rotis Sans Serif Std" w:hAnsi="Rotis Sans Serif Std"/>
          <w:sz w:val="24"/>
          <w:szCs w:val="24"/>
          <w:lang w:val="ca-ES"/>
        </w:rPr>
        <w:t>6</w:t>
      </w:r>
    </w:p>
    <w:p w:rsidR="00B43746" w:rsidRPr="000444D8" w:rsidRDefault="004213C1" w:rsidP="003E2B63">
      <w:pPr>
        <w:tabs>
          <w:tab w:val="right" w:leader="dot" w:pos="9497"/>
        </w:tabs>
        <w:spacing w:before="240" w:line="276" w:lineRule="auto"/>
        <w:ind w:left="284"/>
        <w:rPr>
          <w:rFonts w:ascii="Rotis Sans Serif Std" w:hAnsi="Rotis Sans Serif Std"/>
        </w:rPr>
      </w:pPr>
      <w:hyperlink w:anchor="Flexibilitat" w:history="1">
        <w:r w:rsidR="00B43746" w:rsidRPr="000444D8">
          <w:rPr>
            <w:rStyle w:val="Hipervnculo"/>
            <w:rFonts w:ascii="Rotis Sans Serif Std" w:hAnsi="Rotis Sans Serif Std"/>
            <w:color w:val="auto"/>
            <w:u w:val="none"/>
          </w:rPr>
          <w:t xml:space="preserve">2.7. </w:t>
        </w:r>
        <w:r w:rsidR="005A63AE">
          <w:rPr>
            <w:rStyle w:val="Hipervnculo"/>
            <w:rFonts w:ascii="Rotis Sans Serif Std" w:hAnsi="Rotis Sans Serif Std"/>
            <w:color w:val="auto"/>
            <w:u w:val="none"/>
          </w:rPr>
          <w:t>FLEXIBILITAT EN EL TEMPS DE TREBALL</w:t>
        </w:r>
        <w:r w:rsidR="00B43746" w:rsidRPr="000444D8">
          <w:rPr>
            <w:rStyle w:val="Hipervnculo"/>
            <w:rFonts w:ascii="Rotis Sans Serif Std" w:hAnsi="Rotis Sans Serif Std"/>
            <w:color w:val="auto"/>
            <w:u w:val="none"/>
          </w:rPr>
          <w:t>.</w:t>
        </w:r>
      </w:hyperlink>
      <w:r w:rsidR="00B43746" w:rsidRPr="000444D8">
        <w:rPr>
          <w:rFonts w:ascii="Rotis Sans Serif Std" w:hAnsi="Rotis Sans Serif Std"/>
        </w:rPr>
        <w:tab/>
      </w:r>
      <w:r w:rsidR="00C90885">
        <w:rPr>
          <w:rFonts w:ascii="Rotis Sans Serif Std" w:hAnsi="Rotis Sans Serif Std"/>
        </w:rPr>
        <w:t>4</w:t>
      </w:r>
      <w:r w:rsidR="00733001">
        <w:rPr>
          <w:rFonts w:ascii="Rotis Sans Serif Std" w:hAnsi="Rotis Sans Serif Std"/>
        </w:rPr>
        <w:t>9</w:t>
      </w:r>
    </w:p>
    <w:p w:rsidR="00B43746" w:rsidRPr="000444D8" w:rsidRDefault="00B43746" w:rsidP="008D74D7">
      <w:pPr>
        <w:spacing w:line="276" w:lineRule="auto"/>
        <w:ind w:left="993"/>
      </w:pPr>
    </w:p>
    <w:p w:rsidR="00B43746" w:rsidRPr="000444D8" w:rsidRDefault="004213C1" w:rsidP="006046F1">
      <w:pPr>
        <w:tabs>
          <w:tab w:val="right" w:leader="dot" w:pos="9497"/>
        </w:tabs>
        <w:spacing w:line="276" w:lineRule="auto"/>
        <w:ind w:left="9497" w:hanging="9497"/>
        <w:rPr>
          <w:rFonts w:ascii="Rotis Sans Serif Std" w:hAnsi="Rotis Sans Serif Std"/>
          <w:sz w:val="22"/>
          <w:szCs w:val="22"/>
        </w:rPr>
      </w:pPr>
      <w:hyperlink w:anchor="Nota" w:history="1">
        <w:r w:rsidR="000444D8" w:rsidRPr="000444D8">
          <w:rPr>
            <w:rStyle w:val="Hipervnculo"/>
            <w:rFonts w:ascii="Rotis Sans Serif Std" w:hAnsi="Rotis Sans Serif Std"/>
            <w:color w:val="auto"/>
            <w:u w:val="none"/>
          </w:rPr>
          <w:t>3. M</w:t>
        </w:r>
        <w:r w:rsidR="00B43746" w:rsidRPr="000444D8">
          <w:rPr>
            <w:rStyle w:val="Hipervnculo"/>
            <w:rFonts w:ascii="Rotis Sans Serif Std" w:hAnsi="Rotis Sans Serif Std"/>
            <w:color w:val="auto"/>
            <w:u w:val="none"/>
          </w:rPr>
          <w:t>ETODOLOGIA</w:t>
        </w:r>
      </w:hyperlink>
      <w:r w:rsidR="00B43746" w:rsidRPr="000444D8">
        <w:rPr>
          <w:rFonts w:ascii="Rotis Sans Serif Std" w:hAnsi="Rotis Sans Serif Std"/>
        </w:rPr>
        <w:tab/>
      </w:r>
      <w:r w:rsidR="00733001">
        <w:rPr>
          <w:rFonts w:ascii="Rotis Sans Serif Std" w:hAnsi="Rotis Sans Serif Std"/>
        </w:rPr>
        <w:t>7</w:t>
      </w:r>
      <w:r w:rsidR="00EC3667">
        <w:rPr>
          <w:rFonts w:ascii="Rotis Sans Serif Std" w:hAnsi="Rotis Sans Serif Std"/>
        </w:rPr>
        <w:t>2</w:t>
      </w:r>
    </w:p>
    <w:p w:rsidR="00EA561A" w:rsidRPr="000444D8" w:rsidRDefault="00EA561A" w:rsidP="003E2B63">
      <w:pPr>
        <w:tabs>
          <w:tab w:val="right" w:leader="dot" w:pos="9497"/>
        </w:tabs>
        <w:spacing w:line="276" w:lineRule="auto"/>
        <w:rPr>
          <w:rFonts w:ascii="Rotis Sans Serif Std" w:hAnsi="Rotis Sans Serif Std"/>
          <w:sz w:val="22"/>
          <w:szCs w:val="22"/>
        </w:rPr>
      </w:pPr>
    </w:p>
    <w:p w:rsidR="00C45B88" w:rsidRDefault="00C45B88" w:rsidP="00C45B88">
      <w:pPr>
        <w:tabs>
          <w:tab w:val="right" w:leader="dot" w:pos="9497"/>
        </w:tabs>
        <w:spacing w:line="276" w:lineRule="auto"/>
        <w:rPr>
          <w:rFonts w:ascii="Rotis Sans Serif Std" w:hAnsi="Rotis Sans Serif Std"/>
          <w:color w:val="262626"/>
        </w:rPr>
      </w:pPr>
    </w:p>
    <w:p w:rsidR="00B43746" w:rsidRPr="003171F9" w:rsidRDefault="00B43746" w:rsidP="008D74D7">
      <w:pPr>
        <w:pStyle w:val="TEXT"/>
        <w:spacing w:line="276" w:lineRule="auto"/>
        <w:rPr>
          <w:rFonts w:ascii="Rotis Sans Serif Std ExtraBold" w:hAnsi="Rotis Sans Serif Std ExtraBold"/>
          <w:color w:val="FF0000"/>
          <w:sz w:val="24"/>
          <w:szCs w:val="24"/>
          <w:lang w:val="ca-ES"/>
        </w:rPr>
      </w:pPr>
    </w:p>
    <w:p w:rsidR="00B43746" w:rsidRPr="003171F9" w:rsidRDefault="00B43746" w:rsidP="008D74D7">
      <w:pPr>
        <w:pStyle w:val="TEXT"/>
        <w:spacing w:line="276" w:lineRule="auto"/>
        <w:rPr>
          <w:color w:val="auto"/>
          <w:sz w:val="32"/>
          <w:szCs w:val="32"/>
          <w:lang w:val="ca-ES"/>
        </w:rPr>
      </w:pPr>
    </w:p>
    <w:p w:rsidR="00B43746" w:rsidRPr="003171F9" w:rsidRDefault="00B43746" w:rsidP="008D74D7">
      <w:pPr>
        <w:pStyle w:val="TDC1"/>
        <w:rPr>
          <w:lang w:val="ca-ES"/>
        </w:rPr>
      </w:pPr>
    </w:p>
    <w:p w:rsidR="00B43746" w:rsidRPr="003171F9" w:rsidRDefault="00B43746" w:rsidP="008D74D7">
      <w:pPr>
        <w:spacing w:line="276" w:lineRule="auto"/>
        <w:rPr>
          <w:rFonts w:ascii="Rotis Sans Serif Std" w:hAnsi="Rotis Sans Serif Std" w:cs="Arial"/>
          <w:b/>
          <w:u w:val="single"/>
        </w:rPr>
      </w:pPr>
      <w:r w:rsidRPr="003171F9">
        <w:rPr>
          <w:rFonts w:ascii="Rotis Sans Serif Std" w:hAnsi="Rotis Sans Serif Std" w:cs="Arial"/>
          <w:b/>
          <w:u w:val="single"/>
        </w:rPr>
        <w:br w:type="page"/>
      </w:r>
    </w:p>
    <w:p w:rsidR="001477A8" w:rsidRPr="003171F9" w:rsidRDefault="001477A8" w:rsidP="001477A8">
      <w:pPr>
        <w:pStyle w:val="Prrafodelista"/>
        <w:numPr>
          <w:ilvl w:val="0"/>
          <w:numId w:val="1"/>
        </w:numPr>
        <w:spacing w:line="276" w:lineRule="auto"/>
        <w:ind w:left="284" w:hanging="284"/>
        <w:jc w:val="both"/>
        <w:rPr>
          <w:rFonts w:ascii="Rotis Sans Serif Std" w:hAnsi="Rotis Sans Serif Std"/>
          <w:b/>
          <w:color w:val="C00000"/>
        </w:rPr>
      </w:pPr>
      <w:bookmarkStart w:id="0" w:name="Resum"/>
      <w:r w:rsidRPr="003171F9">
        <w:rPr>
          <w:rFonts w:ascii="Rotis Sans Serif Std" w:hAnsi="Rotis Sans Serif Std"/>
          <w:b/>
          <w:color w:val="C00000"/>
        </w:rPr>
        <w:lastRenderedPageBreak/>
        <w:t xml:space="preserve">RESUM EXECUTIU </w:t>
      </w:r>
    </w:p>
    <w:bookmarkEnd w:id="0"/>
    <w:p w:rsidR="001477A8" w:rsidRPr="003171F9" w:rsidRDefault="001477A8" w:rsidP="001477A8">
      <w:pPr>
        <w:pStyle w:val="TEXTBOLD"/>
        <w:spacing w:line="276" w:lineRule="auto"/>
        <w:ind w:left="284"/>
        <w:rPr>
          <w:sz w:val="24"/>
          <w:lang w:val="ca-ES"/>
        </w:rPr>
      </w:pPr>
    </w:p>
    <w:p w:rsidR="001477A8" w:rsidRPr="003171F9" w:rsidRDefault="001477A8" w:rsidP="001477A8">
      <w:pPr>
        <w:autoSpaceDE w:val="0"/>
        <w:autoSpaceDN w:val="0"/>
        <w:adjustRightInd w:val="0"/>
        <w:spacing w:line="276" w:lineRule="auto"/>
        <w:jc w:val="both"/>
        <w:rPr>
          <w:rFonts w:ascii="Rotis Sans Serif Std" w:hAnsi="Rotis Sans Serif Std" w:cs="RotisSansSerifStd-Regular"/>
          <w:color w:val="5E6061"/>
          <w:lang w:eastAsia="es-ES"/>
        </w:rPr>
      </w:pPr>
      <w:r w:rsidRPr="003171F9">
        <w:rPr>
          <w:rFonts w:ascii="Rotis Sans Serif Std" w:hAnsi="Rotis Sans Serif Std" w:cs="RotisSansSerifStd-Regular"/>
          <w:color w:val="5E6061"/>
          <w:lang w:eastAsia="es-ES"/>
        </w:rPr>
        <w:t>Les darreres dades estadístiques disponibles del mercat de treball i negociació col·lectiva són les que a continuació es detallen:</w:t>
      </w:r>
    </w:p>
    <w:p w:rsidR="001477A8" w:rsidRPr="00C87B5C" w:rsidRDefault="001477A8" w:rsidP="00C87B5C">
      <w:pPr>
        <w:autoSpaceDE w:val="0"/>
        <w:autoSpaceDN w:val="0"/>
        <w:adjustRightInd w:val="0"/>
        <w:spacing w:line="276" w:lineRule="auto"/>
        <w:jc w:val="both"/>
        <w:rPr>
          <w:rFonts w:ascii="Rotis Sans Serif Std" w:hAnsi="Rotis Sans Serif Std" w:cs="RotisSansSerifStd-Regular"/>
          <w:color w:val="5E6061"/>
          <w:sz w:val="20"/>
          <w:lang w:eastAsia="es-ES"/>
        </w:rPr>
      </w:pPr>
    </w:p>
    <w:p w:rsidR="001477A8" w:rsidRPr="003171F9" w:rsidRDefault="001477A8" w:rsidP="001477A8">
      <w:pPr>
        <w:shd w:val="clear" w:color="auto" w:fill="F2F2F2"/>
        <w:spacing w:line="276" w:lineRule="auto"/>
        <w:jc w:val="both"/>
        <w:rPr>
          <w:rFonts w:ascii="Rotis Sans Serif Std" w:hAnsi="Rotis Sans Serif Std" w:cs="RotisSansSerifStd-Regular"/>
          <w:b/>
          <w:color w:val="C00000"/>
          <w:lang w:eastAsia="es-ES"/>
        </w:rPr>
      </w:pPr>
      <w:r w:rsidRPr="003171F9">
        <w:rPr>
          <w:rFonts w:ascii="Rotis Sans Serif Std" w:hAnsi="Rotis Sans Serif Std" w:cs="RotisSansSerifStd-Regular"/>
          <w:b/>
          <w:color w:val="C00000"/>
          <w:lang w:eastAsia="es-ES"/>
        </w:rPr>
        <w:t>Ocupació</w:t>
      </w:r>
    </w:p>
    <w:p w:rsidR="001477A8" w:rsidRPr="003171F9" w:rsidRDefault="001477A8" w:rsidP="001477A8">
      <w:pPr>
        <w:autoSpaceDE w:val="0"/>
        <w:autoSpaceDN w:val="0"/>
        <w:adjustRightInd w:val="0"/>
        <w:spacing w:line="276" w:lineRule="auto"/>
        <w:ind w:left="2160"/>
        <w:jc w:val="both"/>
        <w:rPr>
          <w:rFonts w:ascii="Rotis Sans Serif Std" w:hAnsi="Rotis Sans Serif Std" w:cs="RotisSansSerifStd-Regular"/>
          <w:b/>
          <w:color w:val="C00000"/>
          <w:lang w:eastAsia="es-ES"/>
        </w:rPr>
      </w:pPr>
    </w:p>
    <w:p w:rsidR="001477A8" w:rsidRDefault="001477A8" w:rsidP="00AB0BAA">
      <w:pPr>
        <w:pStyle w:val="Prrafodelista"/>
        <w:numPr>
          <w:ilvl w:val="0"/>
          <w:numId w:val="5"/>
        </w:numPr>
        <w:autoSpaceDE w:val="0"/>
        <w:autoSpaceDN w:val="0"/>
        <w:adjustRightInd w:val="0"/>
        <w:spacing w:line="276" w:lineRule="auto"/>
        <w:jc w:val="both"/>
        <w:rPr>
          <w:rFonts w:ascii="Rotis Sans Serif Std ExtraBold" w:hAnsi="Rotis Sans Serif Std ExtraBold" w:cs="RotisSansSerifStd-Regular"/>
          <w:b/>
          <w:color w:val="C1002B"/>
          <w:szCs w:val="40"/>
          <w:u w:val="single"/>
          <w:lang w:eastAsia="es-ES_tradnl"/>
        </w:rPr>
      </w:pPr>
      <w:r w:rsidRPr="003171F9">
        <w:rPr>
          <w:rFonts w:ascii="Rotis Sans Serif Std ExtraBold" w:hAnsi="Rotis Sans Serif Std ExtraBold" w:cs="RotisSansSerifStd-Regular"/>
          <w:b/>
          <w:color w:val="C1002B"/>
          <w:szCs w:val="40"/>
          <w:u w:val="single"/>
          <w:lang w:eastAsia="es-ES_tradnl"/>
        </w:rPr>
        <w:t xml:space="preserve">Atur registrat </w:t>
      </w:r>
    </w:p>
    <w:p w:rsidR="000A1D11" w:rsidRPr="00C87B5C" w:rsidRDefault="000A1D11" w:rsidP="000A1D11">
      <w:pPr>
        <w:autoSpaceDE w:val="0"/>
        <w:autoSpaceDN w:val="0"/>
        <w:adjustRightInd w:val="0"/>
        <w:spacing w:line="276" w:lineRule="auto"/>
        <w:jc w:val="both"/>
        <w:rPr>
          <w:rFonts w:ascii="Rotis Sans Serif Std" w:hAnsi="Rotis Sans Serif Std" w:cs="RotisSansSerifStd-Regular"/>
          <w:color w:val="5E6061"/>
          <w:sz w:val="20"/>
          <w:lang w:eastAsia="es-ES"/>
        </w:rPr>
      </w:pPr>
    </w:p>
    <w:p w:rsidR="00107AB1" w:rsidRPr="00927542" w:rsidRDefault="00107AB1" w:rsidP="00107AB1">
      <w:pPr>
        <w:autoSpaceDE w:val="0"/>
        <w:autoSpaceDN w:val="0"/>
        <w:adjustRightInd w:val="0"/>
        <w:spacing w:line="276" w:lineRule="auto"/>
        <w:jc w:val="both"/>
        <w:rPr>
          <w:rFonts w:ascii="Rotis Sans Serif Std" w:hAnsi="Rotis Sans Serif Std" w:cs="RotisSansSerifStd-Regular"/>
          <w:color w:val="5E6061"/>
          <w:lang w:eastAsia="es-ES"/>
        </w:rPr>
      </w:pPr>
      <w:r w:rsidRPr="00927542">
        <w:rPr>
          <w:rFonts w:ascii="Rotis Sans Serif Std" w:hAnsi="Rotis Sans Serif Std" w:cs="RotisSansSerifStd-Regular"/>
          <w:color w:val="5E6061"/>
          <w:lang w:eastAsia="es-ES"/>
        </w:rPr>
        <w:t>Segons les dades de l’atur registrat del mes de setembre, a Catalunya l’atur ha disminuït en 374 persones (-0,10%), i la xifra total d’aturats</w:t>
      </w:r>
      <w:r w:rsidR="00C87B5C">
        <w:rPr>
          <w:rFonts w:ascii="Rotis Sans Serif Std" w:hAnsi="Rotis Sans Serif Std" w:cs="RotisSansSerifStd-Regular"/>
          <w:color w:val="5E6061"/>
          <w:lang w:eastAsia="es-ES"/>
        </w:rPr>
        <w:t xml:space="preserve"> se situa en 380.344 persones. </w:t>
      </w:r>
      <w:proofErr w:type="spellStart"/>
      <w:r w:rsidRPr="00927542">
        <w:rPr>
          <w:rFonts w:ascii="Rotis Sans Serif Std" w:hAnsi="Rotis Sans Serif Std" w:cs="RotisSansSerifStd-Regular"/>
          <w:color w:val="5E6061"/>
          <w:lang w:eastAsia="es-ES"/>
        </w:rPr>
        <w:t>Interanualment</w:t>
      </w:r>
      <w:proofErr w:type="spellEnd"/>
      <w:r w:rsidRPr="00927542">
        <w:rPr>
          <w:rFonts w:ascii="Rotis Sans Serif Std" w:hAnsi="Rotis Sans Serif Std" w:cs="RotisSansSerifStd-Regular"/>
          <w:color w:val="5E6061"/>
          <w:lang w:eastAsia="es-ES"/>
        </w:rPr>
        <w:t>, s’ha produït una reducció del -5% (-20.029 aturats menys) respecte setembre del 2017.</w:t>
      </w:r>
    </w:p>
    <w:p w:rsidR="00C87B5C" w:rsidRPr="00C87B5C" w:rsidRDefault="00C87B5C" w:rsidP="00107AB1">
      <w:pPr>
        <w:autoSpaceDE w:val="0"/>
        <w:autoSpaceDN w:val="0"/>
        <w:adjustRightInd w:val="0"/>
        <w:spacing w:line="276" w:lineRule="auto"/>
        <w:jc w:val="both"/>
        <w:rPr>
          <w:rFonts w:ascii="Rotis Sans Serif Std" w:hAnsi="Rotis Sans Serif Std" w:cs="RotisSansSerifStd-Regular"/>
          <w:color w:val="5E6061"/>
          <w:sz w:val="20"/>
          <w:lang w:eastAsia="es-ES"/>
        </w:rPr>
      </w:pPr>
    </w:p>
    <w:p w:rsidR="00107AB1" w:rsidRPr="00927542" w:rsidRDefault="00107AB1" w:rsidP="00107AB1">
      <w:pPr>
        <w:autoSpaceDE w:val="0"/>
        <w:autoSpaceDN w:val="0"/>
        <w:adjustRightInd w:val="0"/>
        <w:spacing w:line="276" w:lineRule="auto"/>
        <w:jc w:val="both"/>
        <w:rPr>
          <w:rFonts w:ascii="Rotis Sans Serif Std" w:hAnsi="Rotis Sans Serif Std" w:cs="RotisSansSerifStd-Regular"/>
          <w:color w:val="5E6061"/>
          <w:lang w:eastAsia="es-ES"/>
        </w:rPr>
      </w:pPr>
      <w:r w:rsidRPr="00927542">
        <w:rPr>
          <w:rFonts w:ascii="Rotis Sans Serif Std" w:hAnsi="Rotis Sans Serif Std" w:cs="RotisSansSerifStd-Regular"/>
          <w:color w:val="5E6061"/>
          <w:lang w:eastAsia="es-ES"/>
        </w:rPr>
        <w:t>A nivell estatal, l'atur registrat ha augmentat en 20.441 persones en relació al mes anterior (0,64%), un augment lleument inferior que el del 2017, com a conseqüència de la pèrdua d’ocupació en activitats vinculades al turisme al final de setembre. La xifra d'atur a nivell estatal se situa en el mes de setembre en 3.202.509 persones.</w:t>
      </w:r>
    </w:p>
    <w:p w:rsidR="00107AB1" w:rsidRPr="00C87B5C" w:rsidRDefault="00107AB1" w:rsidP="00107AB1">
      <w:pPr>
        <w:autoSpaceDE w:val="0"/>
        <w:autoSpaceDN w:val="0"/>
        <w:adjustRightInd w:val="0"/>
        <w:spacing w:line="276" w:lineRule="auto"/>
        <w:jc w:val="both"/>
        <w:rPr>
          <w:rFonts w:ascii="Rotis Sans Serif Std" w:hAnsi="Rotis Sans Serif Std" w:cs="RotisSansSerifStd-Regular"/>
          <w:color w:val="5E6061"/>
          <w:sz w:val="18"/>
          <w:lang w:eastAsia="es-ES"/>
        </w:rPr>
      </w:pPr>
    </w:p>
    <w:p w:rsidR="00107AB1" w:rsidRPr="00927542" w:rsidRDefault="00107AB1" w:rsidP="00107AB1">
      <w:pPr>
        <w:autoSpaceDE w:val="0"/>
        <w:autoSpaceDN w:val="0"/>
        <w:adjustRightInd w:val="0"/>
        <w:spacing w:line="276" w:lineRule="auto"/>
        <w:jc w:val="both"/>
        <w:rPr>
          <w:rFonts w:ascii="Rotis Sans Serif Std" w:hAnsi="Rotis Sans Serif Std" w:cs="RotisSansSerifStd-Regular"/>
          <w:color w:val="5E6061"/>
          <w:lang w:eastAsia="es-ES"/>
        </w:rPr>
      </w:pPr>
      <w:r w:rsidRPr="00927542">
        <w:rPr>
          <w:rFonts w:ascii="Rotis Sans Serif Std" w:hAnsi="Rotis Sans Serif Std" w:cs="RotisSansSerifStd-Regular"/>
          <w:color w:val="5E6061"/>
          <w:lang w:eastAsia="es-ES"/>
        </w:rPr>
        <w:t xml:space="preserve">En termes interanuals, l'atur disminueix en 207.673 persones, fet que suposa una variació del -6,09%. </w:t>
      </w:r>
    </w:p>
    <w:p w:rsidR="00107AB1" w:rsidRDefault="00107AB1" w:rsidP="00107AB1">
      <w:pPr>
        <w:autoSpaceDE w:val="0"/>
        <w:autoSpaceDN w:val="0"/>
        <w:adjustRightInd w:val="0"/>
        <w:spacing w:line="276" w:lineRule="auto"/>
        <w:jc w:val="both"/>
        <w:rPr>
          <w:rFonts w:ascii="Rotis Sans Serif Std" w:hAnsi="Rotis Sans Serif Std" w:cs="RotisSansSerifStd-Regular"/>
          <w:color w:val="5E6061"/>
          <w:lang w:eastAsia="es-ES"/>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673"/>
      </w:tblGrid>
      <w:tr w:rsidR="00107AB1" w:rsidRPr="003171F9" w:rsidTr="00C87B5C">
        <w:trPr>
          <w:trHeight w:val="266"/>
          <w:jc w:val="center"/>
        </w:trPr>
        <w:tc>
          <w:tcPr>
            <w:tcW w:w="4673" w:type="dxa"/>
            <w:shd w:val="clear" w:color="auto" w:fill="FFFFFF"/>
            <w:vAlign w:val="bottom"/>
          </w:tcPr>
          <w:p w:rsidR="00107AB1" w:rsidRPr="003171F9" w:rsidRDefault="00107AB1" w:rsidP="00C87B5C">
            <w:pPr>
              <w:autoSpaceDE w:val="0"/>
              <w:autoSpaceDN w:val="0"/>
              <w:adjustRightInd w:val="0"/>
              <w:spacing w:line="276" w:lineRule="auto"/>
              <w:ind w:right="125"/>
              <w:jc w:val="center"/>
              <w:rPr>
                <w:rFonts w:ascii="Rotis Sans Serif Std" w:hAnsi="Rotis Sans Serif Std" w:cs="RotisSansSerifStd-Regular"/>
                <w:b/>
                <w:color w:val="5E6061"/>
                <w:lang w:eastAsia="es-ES"/>
              </w:rPr>
            </w:pPr>
            <w:proofErr w:type="spellStart"/>
            <w:r>
              <w:rPr>
                <w:rFonts w:ascii="Rotis Sans Serif Std" w:hAnsi="Rotis Sans Serif Std" w:cs="RotisSansSerifStd-Regular"/>
                <w:b/>
                <w:color w:val="C00000"/>
                <w:lang w:eastAsia="es-ES"/>
              </w:rPr>
              <w:t>Interanualment</w:t>
            </w:r>
            <w:proofErr w:type="spellEnd"/>
            <w:r>
              <w:rPr>
                <w:rFonts w:ascii="Rotis Sans Serif Std" w:hAnsi="Rotis Sans Serif Std" w:cs="RotisSansSerifStd-Regular"/>
                <w:b/>
                <w:color w:val="C00000"/>
                <w:lang w:eastAsia="es-ES"/>
              </w:rPr>
              <w:t xml:space="preserve">, l’atur s’ha reduït un 5% a Catalunya i un 6,09% a nivell estatal. </w:t>
            </w:r>
          </w:p>
          <w:p w:rsidR="00107AB1" w:rsidRPr="003171F9" w:rsidRDefault="00107AB1" w:rsidP="00C87B5C">
            <w:pPr>
              <w:autoSpaceDE w:val="0"/>
              <w:autoSpaceDN w:val="0"/>
              <w:adjustRightInd w:val="0"/>
              <w:spacing w:line="276" w:lineRule="auto"/>
              <w:ind w:right="125"/>
              <w:jc w:val="center"/>
              <w:rPr>
                <w:rFonts w:ascii="Rotis Sans Serif Std" w:hAnsi="Rotis Sans Serif Std" w:cs="RotisSansSerifStd-Regular"/>
                <w:b/>
                <w:color w:val="5E6061"/>
                <w:lang w:eastAsia="es-ES"/>
              </w:rPr>
            </w:pPr>
          </w:p>
        </w:tc>
      </w:tr>
    </w:tbl>
    <w:p w:rsidR="00EF7E5B" w:rsidRPr="003171F9" w:rsidRDefault="00EF7E5B" w:rsidP="00AB0BAA">
      <w:pPr>
        <w:pStyle w:val="Prrafodelista"/>
        <w:numPr>
          <w:ilvl w:val="0"/>
          <w:numId w:val="5"/>
        </w:numPr>
        <w:autoSpaceDE w:val="0"/>
        <w:autoSpaceDN w:val="0"/>
        <w:adjustRightInd w:val="0"/>
        <w:spacing w:line="276" w:lineRule="auto"/>
        <w:jc w:val="both"/>
        <w:rPr>
          <w:rFonts w:ascii="Rotis Sans Serif Std ExtraBold" w:hAnsi="Rotis Sans Serif Std ExtraBold" w:cs="RotisSansSerifStd-Regular"/>
          <w:b/>
          <w:color w:val="C1002B"/>
          <w:szCs w:val="40"/>
          <w:u w:val="single"/>
          <w:lang w:eastAsia="es-ES_tradnl"/>
        </w:rPr>
      </w:pPr>
      <w:r w:rsidRPr="003171F9">
        <w:rPr>
          <w:rFonts w:ascii="Rotis Sans Serif Std ExtraBold" w:hAnsi="Rotis Sans Serif Std ExtraBold" w:cs="RotisSansSerifStd-Regular"/>
          <w:b/>
          <w:color w:val="C1002B"/>
          <w:szCs w:val="40"/>
          <w:u w:val="single"/>
          <w:lang w:eastAsia="es-ES_tradnl"/>
        </w:rPr>
        <w:t xml:space="preserve">Enquesta de Població Activa </w:t>
      </w:r>
    </w:p>
    <w:p w:rsidR="00EF7E5B" w:rsidRPr="003171F9" w:rsidRDefault="00EF7E5B" w:rsidP="00EF7E5B">
      <w:pPr>
        <w:autoSpaceDE w:val="0"/>
        <w:autoSpaceDN w:val="0"/>
        <w:adjustRightInd w:val="0"/>
        <w:spacing w:line="276" w:lineRule="auto"/>
        <w:ind w:left="349"/>
        <w:jc w:val="both"/>
        <w:rPr>
          <w:rFonts w:ascii="Rotis Sans Serif Std ExtraBold" w:hAnsi="Rotis Sans Serif Std ExtraBold" w:cs="RotisSansSerifStd-Regular"/>
          <w:b/>
          <w:color w:val="C1002B"/>
          <w:szCs w:val="40"/>
          <w:u w:val="single"/>
          <w:lang w:eastAsia="es-ES_tradnl"/>
        </w:rPr>
      </w:pPr>
    </w:p>
    <w:p w:rsidR="00AF01EC" w:rsidRDefault="00AF01EC" w:rsidP="00AF01EC">
      <w:pPr>
        <w:jc w:val="both"/>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El 2on trimestre de 2018, l</w:t>
      </w:r>
      <w:r w:rsidRPr="00BC1697">
        <w:rPr>
          <w:rFonts w:ascii="Rotis Sans Serif Std" w:hAnsi="Rotis Sans Serif Std" w:cs="RotisSansSerifStd-Regular"/>
          <w:color w:val="5E6061"/>
          <w:lang w:eastAsia="es-ES"/>
        </w:rPr>
        <w:t>a taxa d'atur a Catalunya</w:t>
      </w:r>
      <w:r>
        <w:rPr>
          <w:rFonts w:ascii="Rotis Sans Serif Std" w:hAnsi="Rotis Sans Serif Std" w:cs="RotisSansSerifStd-Regular"/>
          <w:color w:val="5E6061"/>
          <w:lang w:eastAsia="es-ES"/>
        </w:rPr>
        <w:t xml:space="preserve"> se situa en un 11,4%, </w:t>
      </w:r>
      <w:r w:rsidRPr="003F7BC6">
        <w:rPr>
          <w:rFonts w:ascii="Rotis Sans Serif Std" w:hAnsi="Rotis Sans Serif Std" w:cs="RotisSansSerifStd-Regular"/>
          <w:color w:val="5E6061"/>
          <w:lang w:eastAsia="es-ES"/>
        </w:rPr>
        <w:t xml:space="preserve">situant-se en valors del quart trimestre de 2008, sent el nombre total d'aturats </w:t>
      </w:r>
      <w:r w:rsidR="003940E2">
        <w:rPr>
          <w:rFonts w:ascii="Rotis Sans Serif Std" w:hAnsi="Rotis Sans Serif Std" w:cs="RotisSansSerifStd-Regular"/>
          <w:color w:val="5E6061"/>
          <w:lang w:eastAsia="es-ES"/>
        </w:rPr>
        <w:t>de</w:t>
      </w:r>
      <w:r w:rsidRPr="003F7BC6">
        <w:rPr>
          <w:rFonts w:ascii="Rotis Sans Serif Std" w:hAnsi="Rotis Sans Serif Std" w:cs="RotisSansSerifStd-Regular"/>
          <w:color w:val="5E6061"/>
          <w:lang w:eastAsia="es-ES"/>
        </w:rPr>
        <w:t xml:space="preserve"> 432.000 persones. </w:t>
      </w:r>
    </w:p>
    <w:p w:rsidR="00AF01EC" w:rsidRDefault="00AF01EC" w:rsidP="00AF01EC">
      <w:pPr>
        <w:rPr>
          <w:rFonts w:ascii="Rotis Sans Serif Std" w:hAnsi="Rotis Sans Serif Std" w:cs="RotisSansSerifStd-Regular"/>
          <w:color w:val="5E6061"/>
          <w:lang w:eastAsia="es-ES"/>
        </w:rPr>
      </w:pPr>
    </w:p>
    <w:p w:rsidR="00AF01EC" w:rsidRPr="00BC1697" w:rsidRDefault="00AF01EC" w:rsidP="00AF01EC">
      <w:pPr>
        <w:jc w:val="both"/>
        <w:rPr>
          <w:rFonts w:ascii="Rotis Sans Serif Std" w:hAnsi="Rotis Sans Serif Std" w:cs="RotisSansSerifStd-Regular"/>
          <w:color w:val="5E6061"/>
          <w:lang w:eastAsia="es-ES"/>
        </w:rPr>
      </w:pPr>
      <w:r w:rsidRPr="00BC1697">
        <w:rPr>
          <w:rFonts w:ascii="Rotis Sans Serif Std" w:hAnsi="Rotis Sans Serif Std" w:cs="RotisSansSerifStd-Regular"/>
          <w:color w:val="5E6061"/>
          <w:lang w:eastAsia="es-ES"/>
        </w:rPr>
        <w:t>Les dades exposades per l'INE,</w:t>
      </w:r>
      <w:r>
        <w:rPr>
          <w:rFonts w:ascii="Rotis Sans Serif Std" w:hAnsi="Rotis Sans Serif Std" w:cs="RotisSansSerifStd-Regular"/>
          <w:color w:val="5E6061"/>
          <w:lang w:eastAsia="es-ES"/>
        </w:rPr>
        <w:t xml:space="preserve"> </w:t>
      </w:r>
      <w:r w:rsidRPr="003F7BC6">
        <w:rPr>
          <w:rFonts w:ascii="Rotis Sans Serif Std" w:hAnsi="Rotis Sans Serif Std" w:cs="RotisSansSerifStd-Regular"/>
          <w:color w:val="5E6061"/>
          <w:lang w:eastAsia="es-ES"/>
        </w:rPr>
        <w:t xml:space="preserve">suposen un descens del nombre d'aturats en </w:t>
      </w:r>
      <w:r>
        <w:rPr>
          <w:rFonts w:ascii="Rotis Sans Serif Std" w:hAnsi="Rotis Sans Serif Std" w:cs="RotisSansSerifStd-Regular"/>
          <w:color w:val="5E6061"/>
          <w:lang w:eastAsia="es-ES"/>
        </w:rPr>
        <w:t>2</w:t>
      </w:r>
      <w:r w:rsidRPr="003F7BC6">
        <w:rPr>
          <w:rFonts w:ascii="Rotis Sans Serif Std" w:hAnsi="Rotis Sans Serif Std" w:cs="RotisSansSerifStd-Regular"/>
          <w:color w:val="5E6061"/>
          <w:lang w:eastAsia="es-ES"/>
        </w:rPr>
        <w:t>6.700 persones respecte del trimestre anterior (-5,8%), i en relació amb el mateix trimestre de l'any 2017, hi ha hagut un descens de 65.500 aturats (-13,1%). Així mateix, el nombre d'ocupats ha augmentat en 57.200 persones (1,7%) respecte al trimestre anterior i en 89.900 persones respecte a l'any anterior (2,7%).</w:t>
      </w:r>
    </w:p>
    <w:tbl>
      <w:tblPr>
        <w:tblpPr w:leftFromText="141" w:rightFromText="141" w:vertAnchor="text" w:horzAnchor="margin" w:tblpXSpec="center" w:tblpY="6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190"/>
      </w:tblGrid>
      <w:tr w:rsidR="00AF01EC" w:rsidRPr="003171F9" w:rsidTr="00767D0B">
        <w:trPr>
          <w:trHeight w:val="866"/>
        </w:trPr>
        <w:tc>
          <w:tcPr>
            <w:tcW w:w="4190" w:type="dxa"/>
            <w:shd w:val="clear" w:color="auto" w:fill="FFFFFF"/>
            <w:vAlign w:val="bottom"/>
          </w:tcPr>
          <w:p w:rsidR="00AF01EC" w:rsidRPr="003171F9" w:rsidRDefault="00AF01EC" w:rsidP="003940E2">
            <w:pPr>
              <w:autoSpaceDE w:val="0"/>
              <w:autoSpaceDN w:val="0"/>
              <w:adjustRightInd w:val="0"/>
              <w:spacing w:line="276" w:lineRule="auto"/>
              <w:ind w:right="125"/>
              <w:jc w:val="center"/>
              <w:rPr>
                <w:rFonts w:ascii="Rotis Sans Serif Std" w:hAnsi="Rotis Sans Serif Std" w:cs="RotisSansSerifStd-Regular"/>
                <w:b/>
                <w:color w:val="5E6061"/>
                <w:lang w:eastAsia="es-ES"/>
              </w:rPr>
            </w:pPr>
            <w:r>
              <w:rPr>
                <w:rFonts w:ascii="Rotis Sans Serif Std" w:hAnsi="Rotis Sans Serif Std" w:cs="RotisSansSerifStd-Regular"/>
                <w:b/>
                <w:color w:val="C00000"/>
                <w:lang w:eastAsia="es-ES"/>
              </w:rPr>
              <w:t xml:space="preserve">La taxa d’atur catalana se situa en un 11,4% i en un </w:t>
            </w:r>
            <w:r w:rsidR="003940E2">
              <w:rPr>
                <w:rFonts w:ascii="Rotis Sans Serif Std" w:hAnsi="Rotis Sans Serif Std" w:cs="RotisSansSerifStd-Regular"/>
                <w:b/>
                <w:color w:val="C00000"/>
                <w:lang w:eastAsia="es-ES"/>
              </w:rPr>
              <w:t>15,28</w:t>
            </w:r>
            <w:r w:rsidRPr="00754B5D">
              <w:rPr>
                <w:rFonts w:ascii="Rotis Sans Serif Std" w:hAnsi="Rotis Sans Serif Std" w:cs="RotisSansSerifStd-Regular"/>
                <w:b/>
                <w:color w:val="C00000"/>
                <w:lang w:eastAsia="es-ES"/>
              </w:rPr>
              <w:t>%</w:t>
            </w:r>
            <w:r>
              <w:rPr>
                <w:rFonts w:ascii="Rotis Sans Serif Std" w:hAnsi="Rotis Sans Serif Std" w:cs="RotisSansSerifStd-Regular"/>
                <w:b/>
                <w:color w:val="C00000"/>
                <w:lang w:eastAsia="es-ES"/>
              </w:rPr>
              <w:t xml:space="preserve"> a Espanya.  </w:t>
            </w:r>
          </w:p>
        </w:tc>
      </w:tr>
    </w:tbl>
    <w:p w:rsidR="00AF01EC" w:rsidRPr="00BC1697" w:rsidRDefault="00AF01EC" w:rsidP="00AF01EC">
      <w:pPr>
        <w:rPr>
          <w:rFonts w:ascii="Rotis Sans Serif Std" w:hAnsi="Rotis Sans Serif Std" w:cs="RotisSansSerifStd-Regular"/>
          <w:color w:val="5E6061"/>
          <w:lang w:eastAsia="es-ES"/>
        </w:rPr>
      </w:pPr>
    </w:p>
    <w:p w:rsidR="00AF01EC" w:rsidRPr="00CC7817" w:rsidRDefault="00AF01EC" w:rsidP="00AF01EC"/>
    <w:p w:rsidR="00AF01EC" w:rsidRDefault="00AF01EC" w:rsidP="00AF01EC">
      <w:pPr>
        <w:autoSpaceDE w:val="0"/>
        <w:autoSpaceDN w:val="0"/>
        <w:adjustRightInd w:val="0"/>
        <w:spacing w:line="276" w:lineRule="auto"/>
        <w:jc w:val="both"/>
        <w:rPr>
          <w:rFonts w:ascii="Rotis Sans Serif Std" w:hAnsi="Rotis Sans Serif Std" w:cs="RotisSansSerifStd-Regular"/>
          <w:color w:val="5E6061"/>
          <w:lang w:eastAsia="es-ES"/>
        </w:rPr>
      </w:pPr>
    </w:p>
    <w:p w:rsidR="00C87B5C" w:rsidRDefault="00C87B5C" w:rsidP="00AF01EC">
      <w:pPr>
        <w:pStyle w:val="TEXTBOLD"/>
        <w:spacing w:line="276" w:lineRule="auto"/>
        <w:rPr>
          <w:b w:val="0"/>
          <w:sz w:val="24"/>
          <w:u w:val="single"/>
          <w:lang w:val="ca-ES" w:eastAsia="es-ES"/>
        </w:rPr>
      </w:pPr>
    </w:p>
    <w:p w:rsidR="00AF01EC" w:rsidRDefault="00AF01EC" w:rsidP="00AF01EC">
      <w:pPr>
        <w:pStyle w:val="TEXTBOLD"/>
        <w:spacing w:line="276" w:lineRule="auto"/>
        <w:rPr>
          <w:b w:val="0"/>
          <w:sz w:val="24"/>
          <w:lang w:val="ca-ES" w:eastAsia="es-ES"/>
        </w:rPr>
      </w:pPr>
      <w:r>
        <w:rPr>
          <w:b w:val="0"/>
          <w:sz w:val="24"/>
          <w:u w:val="single"/>
          <w:lang w:val="ca-ES" w:eastAsia="es-ES"/>
        </w:rPr>
        <w:t>A Espanya</w:t>
      </w:r>
      <w:r w:rsidRPr="004B7ED8">
        <w:rPr>
          <w:b w:val="0"/>
          <w:sz w:val="24"/>
          <w:u w:val="single"/>
          <w:lang w:val="ca-ES" w:eastAsia="es-ES"/>
        </w:rPr>
        <w:t>,</w:t>
      </w:r>
      <w:r>
        <w:rPr>
          <w:b w:val="0"/>
          <w:sz w:val="24"/>
          <w:lang w:val="ca-ES" w:eastAsia="es-ES"/>
        </w:rPr>
        <w:t xml:space="preserve"> </w:t>
      </w:r>
      <w:r w:rsidRPr="004B7ED8">
        <w:rPr>
          <w:b w:val="0"/>
          <w:sz w:val="24"/>
          <w:lang w:val="ca-ES" w:eastAsia="es-ES"/>
        </w:rPr>
        <w:t xml:space="preserve">el nombre d'aturats se situa </w:t>
      </w:r>
      <w:r>
        <w:rPr>
          <w:b w:val="0"/>
          <w:sz w:val="24"/>
          <w:lang w:val="ca-ES" w:eastAsia="es-ES"/>
        </w:rPr>
        <w:t xml:space="preserve">en 3.490.100 persones, havent disminuït la taxa d'atur 1,46 punts </w:t>
      </w:r>
      <w:r w:rsidRPr="004B7ED8">
        <w:rPr>
          <w:b w:val="0"/>
          <w:sz w:val="24"/>
          <w:lang w:val="ca-ES" w:eastAsia="es-ES"/>
        </w:rPr>
        <w:t xml:space="preserve">situant-se en un </w:t>
      </w:r>
      <w:r>
        <w:rPr>
          <w:b w:val="0"/>
          <w:sz w:val="24"/>
          <w:lang w:val="ca-ES" w:eastAsia="es-ES"/>
        </w:rPr>
        <w:t>15,28</w:t>
      </w:r>
      <w:r w:rsidRPr="004B7ED8">
        <w:rPr>
          <w:b w:val="0"/>
          <w:sz w:val="24"/>
          <w:lang w:val="ca-ES" w:eastAsia="es-ES"/>
        </w:rPr>
        <w:t xml:space="preserve">% en aquest trimestre, </w:t>
      </w:r>
      <w:r>
        <w:rPr>
          <w:b w:val="0"/>
          <w:sz w:val="24"/>
          <w:lang w:val="ca-ES" w:eastAsia="es-ES"/>
        </w:rPr>
        <w:t>reduint-se el</w:t>
      </w:r>
      <w:r w:rsidRPr="004B7ED8">
        <w:rPr>
          <w:b w:val="0"/>
          <w:sz w:val="24"/>
          <w:lang w:val="ca-ES" w:eastAsia="es-ES"/>
        </w:rPr>
        <w:t xml:space="preserve"> nombre d'aturats en </w:t>
      </w:r>
      <w:r>
        <w:rPr>
          <w:b w:val="0"/>
          <w:sz w:val="24"/>
          <w:lang w:val="ca-ES" w:eastAsia="es-ES"/>
        </w:rPr>
        <w:t>306.000</w:t>
      </w:r>
      <w:r w:rsidRPr="004B7ED8">
        <w:rPr>
          <w:b w:val="0"/>
          <w:sz w:val="24"/>
          <w:lang w:val="ca-ES" w:eastAsia="es-ES"/>
        </w:rPr>
        <w:t xml:space="preserve"> persones aquest trimestre</w:t>
      </w:r>
      <w:r w:rsidRPr="006C3697">
        <w:rPr>
          <w:b w:val="0"/>
          <w:sz w:val="24"/>
          <w:lang w:val="ca-ES" w:eastAsia="es-ES"/>
        </w:rPr>
        <w:t xml:space="preserve"> i en relació amb el mateix trimestre de l'any 201</w:t>
      </w:r>
      <w:r>
        <w:rPr>
          <w:b w:val="0"/>
          <w:sz w:val="24"/>
          <w:lang w:val="ca-ES" w:eastAsia="es-ES"/>
        </w:rPr>
        <w:t>7</w:t>
      </w:r>
      <w:r w:rsidRPr="006C3697">
        <w:rPr>
          <w:b w:val="0"/>
          <w:sz w:val="24"/>
          <w:lang w:val="ca-ES" w:eastAsia="es-ES"/>
        </w:rPr>
        <w:t xml:space="preserve">, ha disminuït en </w:t>
      </w:r>
      <w:r>
        <w:rPr>
          <w:b w:val="0"/>
          <w:sz w:val="24"/>
          <w:lang w:val="ca-ES" w:eastAsia="es-ES"/>
        </w:rPr>
        <w:t>424.200</w:t>
      </w:r>
      <w:r w:rsidRPr="006C3697">
        <w:rPr>
          <w:b w:val="0"/>
          <w:sz w:val="24"/>
          <w:lang w:val="ca-ES" w:eastAsia="es-ES"/>
        </w:rPr>
        <w:t xml:space="preserve"> persones (-</w:t>
      </w:r>
      <w:r>
        <w:rPr>
          <w:b w:val="0"/>
          <w:sz w:val="24"/>
          <w:lang w:val="ca-ES" w:eastAsia="es-ES"/>
        </w:rPr>
        <w:t>10,84</w:t>
      </w:r>
      <w:r w:rsidRPr="006C3697">
        <w:rPr>
          <w:b w:val="0"/>
          <w:sz w:val="24"/>
          <w:lang w:val="ca-ES" w:eastAsia="es-ES"/>
        </w:rPr>
        <w:t>% de variació interanual).</w:t>
      </w:r>
    </w:p>
    <w:p w:rsidR="00C87B5C" w:rsidRDefault="00C87B5C" w:rsidP="00AF01EC">
      <w:pPr>
        <w:autoSpaceDE w:val="0"/>
        <w:autoSpaceDN w:val="0"/>
        <w:adjustRightInd w:val="0"/>
        <w:spacing w:line="276" w:lineRule="auto"/>
        <w:jc w:val="both"/>
        <w:rPr>
          <w:rFonts w:ascii="Rotis Sans Serif Std" w:hAnsi="Rotis Sans Serif Std" w:cs="RotisSansSerifStd-Regular"/>
          <w:color w:val="5E6061"/>
          <w:lang w:eastAsia="es-ES"/>
        </w:rPr>
      </w:pPr>
    </w:p>
    <w:p w:rsidR="00AF01EC" w:rsidRDefault="00AF01EC" w:rsidP="00AF01EC">
      <w:pPr>
        <w:autoSpaceDE w:val="0"/>
        <w:autoSpaceDN w:val="0"/>
        <w:adjustRightInd w:val="0"/>
        <w:spacing w:line="276" w:lineRule="auto"/>
        <w:jc w:val="both"/>
        <w:rPr>
          <w:rFonts w:ascii="Rotis Sans Serif Std" w:hAnsi="Rotis Sans Serif Std" w:cs="RotisSansSerifStd-Regular"/>
          <w:color w:val="5E6061"/>
          <w:lang w:eastAsia="es-ES"/>
        </w:rPr>
      </w:pPr>
      <w:r w:rsidRPr="003F7BC6">
        <w:rPr>
          <w:rFonts w:ascii="Rotis Sans Serif Std" w:hAnsi="Rotis Sans Serif Std" w:cs="RotisSansSerifStd-Regular"/>
          <w:color w:val="5E6061"/>
          <w:lang w:eastAsia="es-ES"/>
        </w:rPr>
        <w:t>El nombre d'ocupats augmenta a Espanya en 469.900 persones (un 2,49%) respecte al trimestre anterior, sent el major increment trimestral observat en la sèrie històrica. En termes interanuals, el nombre d’ocupats augmenta en 530.800 amb un 1% d'increment. La xifra d’ocupats se situa en 19.344.100 persones al segon trimestre de 2018.</w:t>
      </w:r>
    </w:p>
    <w:p w:rsidR="00180759" w:rsidRPr="003171F9" w:rsidRDefault="00180759" w:rsidP="00EF7E5B">
      <w:pPr>
        <w:autoSpaceDE w:val="0"/>
        <w:autoSpaceDN w:val="0"/>
        <w:adjustRightInd w:val="0"/>
        <w:spacing w:line="276" w:lineRule="auto"/>
        <w:jc w:val="both"/>
        <w:rPr>
          <w:rFonts w:ascii="Rotis Sans Serif Std" w:hAnsi="Rotis Sans Serif Std" w:cs="RotisSansSerifStd-Regular"/>
          <w:color w:val="5E6061"/>
          <w:lang w:eastAsia="es-ES"/>
        </w:rPr>
      </w:pPr>
    </w:p>
    <w:p w:rsidR="00EF7E5B" w:rsidRDefault="00EF7E5B" w:rsidP="00AB0BAA">
      <w:pPr>
        <w:pStyle w:val="Prrafodelista"/>
        <w:numPr>
          <w:ilvl w:val="0"/>
          <w:numId w:val="5"/>
        </w:numPr>
        <w:autoSpaceDE w:val="0"/>
        <w:autoSpaceDN w:val="0"/>
        <w:adjustRightInd w:val="0"/>
        <w:spacing w:line="276" w:lineRule="auto"/>
        <w:jc w:val="both"/>
        <w:rPr>
          <w:rFonts w:ascii="Rotis Sans Serif Std ExtraBold" w:hAnsi="Rotis Sans Serif Std ExtraBold" w:cs="RotisSansSerifStd-Regular"/>
          <w:b/>
          <w:color w:val="C1002B"/>
          <w:szCs w:val="40"/>
          <w:u w:val="single"/>
          <w:lang w:eastAsia="es-ES_tradnl"/>
        </w:rPr>
      </w:pPr>
      <w:r w:rsidRPr="003171F9">
        <w:rPr>
          <w:rFonts w:ascii="Rotis Sans Serif Std ExtraBold" w:hAnsi="Rotis Sans Serif Std ExtraBold" w:cs="RotisSansSerifStd-Regular"/>
          <w:b/>
          <w:color w:val="C1002B"/>
          <w:szCs w:val="40"/>
          <w:u w:val="single"/>
          <w:lang w:eastAsia="es-ES_tradnl"/>
        </w:rPr>
        <w:t>Afiliació</w:t>
      </w:r>
    </w:p>
    <w:p w:rsidR="004C32FC" w:rsidRPr="003171F9" w:rsidRDefault="004C32FC" w:rsidP="004C32FC">
      <w:pPr>
        <w:pStyle w:val="Prrafodelista"/>
        <w:autoSpaceDE w:val="0"/>
        <w:autoSpaceDN w:val="0"/>
        <w:adjustRightInd w:val="0"/>
        <w:spacing w:line="276" w:lineRule="auto"/>
        <w:jc w:val="both"/>
        <w:rPr>
          <w:rFonts w:ascii="Rotis Sans Serif Std ExtraBold" w:hAnsi="Rotis Sans Serif Std ExtraBold" w:cs="RotisSansSerifStd-Regular"/>
          <w:b/>
          <w:color w:val="C1002B"/>
          <w:szCs w:val="40"/>
          <w:u w:val="single"/>
          <w:lang w:eastAsia="es-ES_tradnl"/>
        </w:rPr>
      </w:pPr>
    </w:p>
    <w:p w:rsidR="00012160" w:rsidRDefault="00012160" w:rsidP="00012160">
      <w:pPr>
        <w:spacing w:line="276" w:lineRule="auto"/>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 xml:space="preserve">A Catalunya, al mes de setembre de 2018 hi ha 3.385.164 afiliats a la Seguretat Social, 9.763 més que el mes anterior (0,29%) i 82.792 més que l’any anterior (2,51%). Al conjunt d’Espanya </w:t>
      </w:r>
      <w:proofErr w:type="spellStart"/>
      <w:r>
        <w:rPr>
          <w:rFonts w:ascii="Rotis Sans Serif Std" w:hAnsi="Rotis Sans Serif Std" w:cs="RotisSansSerifStd-Regular"/>
          <w:color w:val="5E6061"/>
          <w:lang w:eastAsia="es-ES_tradnl"/>
        </w:rPr>
        <w:t>l’afiliació</w:t>
      </w:r>
      <w:proofErr w:type="spellEnd"/>
      <w:r>
        <w:rPr>
          <w:rFonts w:ascii="Rotis Sans Serif Std" w:hAnsi="Rotis Sans Serif Std" w:cs="RotisSansSerifStd-Regular"/>
          <w:color w:val="5E6061"/>
          <w:lang w:eastAsia="es-ES_tradnl"/>
        </w:rPr>
        <w:t xml:space="preserve"> se situa en els 18.862.713 afiliats (526.551 més que l’any anterior). </w:t>
      </w:r>
    </w:p>
    <w:p w:rsidR="00012160" w:rsidRDefault="00012160" w:rsidP="00012160">
      <w:pPr>
        <w:spacing w:line="276" w:lineRule="auto"/>
        <w:jc w:val="both"/>
        <w:rPr>
          <w:rFonts w:ascii="Rotis Sans Serif Std" w:hAnsi="Rotis Sans Serif Std" w:cs="RotisSansSerifStd-Regular"/>
          <w:color w:val="5E6061"/>
          <w:u w:val="single"/>
          <w:lang w:eastAsia="es-ES_tradnl"/>
        </w:rPr>
      </w:pPr>
    </w:p>
    <w:p w:rsidR="00012160" w:rsidRDefault="00012160" w:rsidP="00012160">
      <w:pPr>
        <w:spacing w:line="276" w:lineRule="auto"/>
        <w:jc w:val="both"/>
        <w:rPr>
          <w:rFonts w:ascii="Rotis Sans Serif Std" w:hAnsi="Rotis Sans Serif Std" w:cs="RotisSansSerifStd-Regular"/>
          <w:color w:val="5E6061"/>
          <w:lang w:eastAsia="es-ES_tradnl"/>
        </w:rPr>
      </w:pPr>
      <w:r w:rsidRPr="00B22582">
        <w:rPr>
          <w:rFonts w:ascii="Rotis Sans Serif Std" w:hAnsi="Rotis Sans Serif Std" w:cs="RotisSansSerifStd-Regular"/>
          <w:color w:val="5E6061"/>
          <w:lang w:eastAsia="es-ES_tradnl"/>
        </w:rPr>
        <w:t>Per territoris</w:t>
      </w:r>
      <w:r>
        <w:rPr>
          <w:rFonts w:ascii="Rotis Sans Serif Std" w:hAnsi="Rotis Sans Serif Std" w:cs="RotisSansSerifStd-Regular"/>
          <w:color w:val="5E6061"/>
          <w:lang w:eastAsia="es-ES_tradnl"/>
        </w:rPr>
        <w:t xml:space="preserve">, l'augment </w:t>
      </w:r>
      <w:proofErr w:type="spellStart"/>
      <w:r>
        <w:rPr>
          <w:rFonts w:ascii="Rotis Sans Serif Std" w:hAnsi="Rotis Sans Serif Std" w:cs="RotisSansSerifStd-Regular"/>
          <w:color w:val="5E6061"/>
          <w:lang w:eastAsia="es-ES_tradnl"/>
        </w:rPr>
        <w:t>internaual</w:t>
      </w:r>
      <w:proofErr w:type="spellEnd"/>
      <w:r>
        <w:rPr>
          <w:rFonts w:ascii="Rotis Sans Serif Std" w:hAnsi="Rotis Sans Serif Std" w:cs="RotisSansSerifStd-Regular"/>
          <w:color w:val="5E6061"/>
          <w:lang w:eastAsia="es-ES_tradnl"/>
        </w:rPr>
        <w:t xml:space="preserve"> de </w:t>
      </w:r>
      <w:proofErr w:type="spellStart"/>
      <w:r>
        <w:rPr>
          <w:rFonts w:ascii="Rotis Sans Serif Std" w:hAnsi="Rotis Sans Serif Std" w:cs="RotisSansSerifStd-Regular"/>
          <w:color w:val="5E6061"/>
          <w:lang w:eastAsia="es-ES_tradnl"/>
        </w:rPr>
        <w:t>l'afiliació</w:t>
      </w:r>
      <w:proofErr w:type="spellEnd"/>
      <w:r>
        <w:rPr>
          <w:rFonts w:ascii="Rotis Sans Serif Std" w:hAnsi="Rotis Sans Serif Std" w:cs="RotisSansSerifStd-Regular"/>
          <w:color w:val="5E6061"/>
          <w:lang w:eastAsia="es-ES_tradnl"/>
        </w:rPr>
        <w:t xml:space="preserve"> ha estat generalitzat; a Barcelona del 2,70%, a Girona d’un 2,17%, a Tarragona del 2,05% i a Lleida un 1,34%.</w:t>
      </w:r>
    </w:p>
    <w:p w:rsidR="00012160" w:rsidRDefault="00012160" w:rsidP="00012160">
      <w:pPr>
        <w:spacing w:line="276" w:lineRule="auto"/>
        <w:jc w:val="both"/>
        <w:rPr>
          <w:rFonts w:ascii="Rotis Sans Serif Std" w:hAnsi="Rotis Sans Serif Std" w:cs="RotisSansSerifStd-Regular"/>
          <w:color w:val="5E6061"/>
          <w:lang w:eastAsia="es-ES_tradn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816"/>
      </w:tblGrid>
      <w:tr w:rsidR="00012160" w:rsidRPr="003171F9" w:rsidTr="00C87B5C">
        <w:trPr>
          <w:trHeight w:val="443"/>
          <w:jc w:val="center"/>
        </w:trPr>
        <w:tc>
          <w:tcPr>
            <w:tcW w:w="4816" w:type="dxa"/>
            <w:shd w:val="clear" w:color="auto" w:fill="FFFFFF"/>
            <w:vAlign w:val="bottom"/>
          </w:tcPr>
          <w:p w:rsidR="00012160" w:rsidRPr="003171F9" w:rsidRDefault="00012160" w:rsidP="00C87B5C">
            <w:pPr>
              <w:autoSpaceDE w:val="0"/>
              <w:autoSpaceDN w:val="0"/>
              <w:adjustRightInd w:val="0"/>
              <w:spacing w:line="276" w:lineRule="auto"/>
              <w:ind w:right="125"/>
              <w:jc w:val="center"/>
              <w:rPr>
                <w:rFonts w:ascii="Rotis Sans Serif Std" w:hAnsi="Rotis Sans Serif Std" w:cs="RotisSansSerifStd-Regular"/>
                <w:b/>
                <w:color w:val="5E6061"/>
                <w:lang w:eastAsia="es-ES"/>
              </w:rPr>
            </w:pPr>
            <w:proofErr w:type="spellStart"/>
            <w:r w:rsidRPr="004C32FC">
              <w:rPr>
                <w:rFonts w:ascii="Rotis Sans Serif Std" w:hAnsi="Rotis Sans Serif Std" w:cs="RotisSansSerifStd-Regular"/>
                <w:b/>
                <w:color w:val="C00000"/>
                <w:lang w:eastAsia="es-ES"/>
              </w:rPr>
              <w:t>Interanualment</w:t>
            </w:r>
            <w:proofErr w:type="spellEnd"/>
            <w:r w:rsidRPr="004C32FC">
              <w:rPr>
                <w:rFonts w:ascii="Rotis Sans Serif Std" w:hAnsi="Rotis Sans Serif Std" w:cs="RotisSansSerifStd-Regular"/>
                <w:b/>
                <w:color w:val="C00000"/>
                <w:lang w:eastAsia="es-ES"/>
              </w:rPr>
              <w:t xml:space="preserve">, </w:t>
            </w:r>
            <w:proofErr w:type="spellStart"/>
            <w:r w:rsidRPr="004C32FC">
              <w:rPr>
                <w:rFonts w:ascii="Rotis Sans Serif Std" w:hAnsi="Rotis Sans Serif Std" w:cs="RotisSansSerifStd-Regular"/>
                <w:b/>
                <w:color w:val="C00000"/>
                <w:lang w:eastAsia="es-ES"/>
              </w:rPr>
              <w:t>l’afiliació</w:t>
            </w:r>
            <w:proofErr w:type="spellEnd"/>
            <w:r w:rsidRPr="004C32FC">
              <w:rPr>
                <w:rFonts w:ascii="Rotis Sans Serif Std" w:hAnsi="Rotis Sans Serif Std" w:cs="RotisSansSerifStd-Regular"/>
                <w:b/>
                <w:color w:val="C00000"/>
                <w:lang w:eastAsia="es-ES"/>
              </w:rPr>
              <w:t xml:space="preserve"> ha augmentat un </w:t>
            </w:r>
            <w:r>
              <w:rPr>
                <w:rFonts w:ascii="Rotis Sans Serif Std" w:hAnsi="Rotis Sans Serif Std" w:cs="RotisSansSerifStd-Regular"/>
                <w:b/>
                <w:color w:val="C00000"/>
                <w:lang w:eastAsia="es-ES"/>
              </w:rPr>
              <w:t>2,51</w:t>
            </w:r>
            <w:r w:rsidRPr="004C32FC">
              <w:rPr>
                <w:rFonts w:ascii="Rotis Sans Serif Std" w:hAnsi="Rotis Sans Serif Std" w:cs="RotisSansSerifStd-Regular"/>
                <w:b/>
                <w:color w:val="C00000"/>
                <w:lang w:eastAsia="es-ES"/>
              </w:rPr>
              <w:t>% a Catalunya (</w:t>
            </w:r>
            <w:r>
              <w:rPr>
                <w:rFonts w:ascii="Rotis Sans Serif Std" w:hAnsi="Rotis Sans Serif Std" w:cs="RotisSansSerifStd-Regular"/>
                <w:b/>
                <w:color w:val="C00000"/>
                <w:lang w:eastAsia="es-ES"/>
              </w:rPr>
              <w:t>82.792</w:t>
            </w:r>
            <w:r w:rsidRPr="004C32FC">
              <w:rPr>
                <w:rFonts w:ascii="Rotis Sans Serif Std" w:hAnsi="Rotis Sans Serif Std" w:cs="RotisSansSerifStd-Regular"/>
                <w:b/>
                <w:color w:val="C00000"/>
                <w:lang w:eastAsia="es-ES"/>
              </w:rPr>
              <w:t xml:space="preserve"> afiliacions més) i un </w:t>
            </w:r>
            <w:r>
              <w:rPr>
                <w:rFonts w:ascii="Rotis Sans Serif Std" w:hAnsi="Rotis Sans Serif Std" w:cs="RotisSansSerifStd-Regular"/>
                <w:b/>
                <w:color w:val="C00000"/>
                <w:lang w:eastAsia="es-ES"/>
              </w:rPr>
              <w:t>2,87</w:t>
            </w:r>
            <w:r w:rsidRPr="004C32FC">
              <w:rPr>
                <w:rFonts w:ascii="Rotis Sans Serif Std" w:hAnsi="Rotis Sans Serif Std" w:cs="RotisSansSerifStd-Regular"/>
                <w:b/>
                <w:color w:val="C00000"/>
                <w:lang w:eastAsia="es-ES"/>
              </w:rPr>
              <w:t>% a Espanya (</w:t>
            </w:r>
            <w:r>
              <w:rPr>
                <w:rFonts w:ascii="Rotis Sans Serif Std" w:hAnsi="Rotis Sans Serif Std" w:cs="RotisSansSerifStd-Regular"/>
                <w:b/>
                <w:color w:val="C00000"/>
                <w:lang w:eastAsia="es-ES"/>
              </w:rPr>
              <w:t>526.551</w:t>
            </w:r>
            <w:r w:rsidRPr="004C32FC">
              <w:rPr>
                <w:rFonts w:ascii="Rotis Sans Serif Std" w:hAnsi="Rotis Sans Serif Std" w:cs="RotisSansSerifStd-Regular"/>
                <w:b/>
                <w:color w:val="C00000"/>
                <w:lang w:eastAsia="es-ES"/>
              </w:rPr>
              <w:t xml:space="preserve"> més). </w:t>
            </w:r>
          </w:p>
        </w:tc>
      </w:tr>
    </w:tbl>
    <w:p w:rsidR="00A56C12" w:rsidRPr="003171F9" w:rsidRDefault="00A56C12" w:rsidP="00EF7E5B">
      <w:pPr>
        <w:spacing w:line="276" w:lineRule="auto"/>
        <w:rPr>
          <w:rFonts w:ascii="Rotis Sans Serif Std" w:hAnsi="Rotis Sans Serif Std" w:cs="RotisSansSerifStd-Regular"/>
          <w:color w:val="5E6061"/>
          <w:lang w:eastAsia="es-ES_tradnl"/>
        </w:rPr>
      </w:pPr>
    </w:p>
    <w:p w:rsidR="00EF7E5B" w:rsidRPr="003171F9" w:rsidRDefault="00EF7E5B" w:rsidP="00EF7E5B">
      <w:pPr>
        <w:shd w:val="clear" w:color="auto" w:fill="F2F2F2"/>
        <w:spacing w:line="276" w:lineRule="auto"/>
        <w:jc w:val="both"/>
        <w:rPr>
          <w:rFonts w:ascii="Rotis Sans Serif Std" w:hAnsi="Rotis Sans Serif Std" w:cs="RotisSansSerifStd-Regular"/>
          <w:b/>
          <w:color w:val="C00000"/>
          <w:lang w:eastAsia="es-ES"/>
        </w:rPr>
      </w:pPr>
      <w:r w:rsidRPr="003171F9">
        <w:rPr>
          <w:rFonts w:ascii="Rotis Sans Serif Std" w:hAnsi="Rotis Sans Serif Std" w:cs="RotisSansSerifStd-Regular"/>
          <w:b/>
          <w:color w:val="C00000"/>
          <w:lang w:eastAsia="es-ES"/>
        </w:rPr>
        <w:t xml:space="preserve">Contractació  </w:t>
      </w:r>
    </w:p>
    <w:p w:rsidR="004C32FC" w:rsidRDefault="004C32FC" w:rsidP="001477A8">
      <w:pPr>
        <w:autoSpaceDE w:val="0"/>
        <w:autoSpaceDN w:val="0"/>
        <w:adjustRightInd w:val="0"/>
        <w:spacing w:line="276" w:lineRule="auto"/>
        <w:jc w:val="both"/>
        <w:rPr>
          <w:rFonts w:ascii="Rotis Sans Serif Std" w:hAnsi="Rotis Sans Serif Std" w:cs="RotisSansSerifStd-Regular"/>
          <w:b/>
          <w:color w:val="C00000"/>
          <w:lang w:eastAsia="es-ES"/>
        </w:rPr>
      </w:pPr>
    </w:p>
    <w:p w:rsidR="00C87B5C" w:rsidRDefault="00C87B5C" w:rsidP="00C87B5C">
      <w:pPr>
        <w:pStyle w:val="TEXTBOLD"/>
        <w:spacing w:line="276" w:lineRule="auto"/>
        <w:rPr>
          <w:b w:val="0"/>
          <w:sz w:val="24"/>
          <w:szCs w:val="24"/>
          <w:lang w:val="ca-ES"/>
        </w:rPr>
      </w:pPr>
      <w:r>
        <w:rPr>
          <w:b w:val="0"/>
          <w:sz w:val="24"/>
          <w:szCs w:val="24"/>
          <w:lang w:val="ca-ES"/>
        </w:rPr>
        <w:t>Al setembre</w:t>
      </w:r>
      <w:r w:rsidRPr="00B53FF7">
        <w:rPr>
          <w:b w:val="0"/>
          <w:sz w:val="24"/>
          <w:szCs w:val="24"/>
          <w:lang w:val="ca-ES"/>
        </w:rPr>
        <w:t xml:space="preserve"> de 2018 s’han formalitzat a Catalunya </w:t>
      </w:r>
      <w:r>
        <w:rPr>
          <w:b w:val="0"/>
          <w:sz w:val="24"/>
          <w:szCs w:val="24"/>
          <w:lang w:val="ca-ES"/>
        </w:rPr>
        <w:t>279.205</w:t>
      </w:r>
      <w:r w:rsidRPr="00B53FF7">
        <w:rPr>
          <w:b w:val="0"/>
          <w:sz w:val="24"/>
          <w:szCs w:val="24"/>
          <w:lang w:val="ca-ES"/>
        </w:rPr>
        <w:t xml:space="preserve"> </w:t>
      </w:r>
      <w:r>
        <w:rPr>
          <w:b w:val="0"/>
          <w:sz w:val="24"/>
          <w:szCs w:val="24"/>
          <w:lang w:val="ca-ES"/>
        </w:rPr>
        <w:t>contractes laborals, dels quals el 16,24% han estat indefinits (45.340</w:t>
      </w:r>
      <w:r w:rsidRPr="00B53FF7">
        <w:rPr>
          <w:b w:val="0"/>
          <w:sz w:val="24"/>
          <w:szCs w:val="24"/>
          <w:lang w:val="ca-ES"/>
        </w:rPr>
        <w:t>) i</w:t>
      </w:r>
      <w:r>
        <w:rPr>
          <w:b w:val="0"/>
          <w:sz w:val="24"/>
          <w:szCs w:val="24"/>
          <w:lang w:val="ca-ES"/>
        </w:rPr>
        <w:t xml:space="preserve"> el 83,76%, temporals (233.865). </w:t>
      </w:r>
    </w:p>
    <w:p w:rsidR="00C87B5C" w:rsidRPr="00C87B5C" w:rsidRDefault="00C87B5C" w:rsidP="00C87B5C">
      <w:pPr>
        <w:pStyle w:val="TEXTBOLD"/>
        <w:spacing w:line="276" w:lineRule="auto"/>
        <w:rPr>
          <w:b w:val="0"/>
          <w:sz w:val="20"/>
          <w:szCs w:val="24"/>
          <w:lang w:val="ca-ES"/>
        </w:rPr>
      </w:pPr>
    </w:p>
    <w:p w:rsidR="00C87B5C" w:rsidRPr="00130AA8" w:rsidRDefault="00C87B5C" w:rsidP="00C87B5C">
      <w:pPr>
        <w:pStyle w:val="TEXTBOLD"/>
        <w:spacing w:line="276" w:lineRule="auto"/>
        <w:rPr>
          <w:b w:val="0"/>
          <w:sz w:val="24"/>
          <w:szCs w:val="24"/>
          <w:lang w:val="ca-ES"/>
        </w:rPr>
      </w:pPr>
      <w:proofErr w:type="spellStart"/>
      <w:r w:rsidRPr="00130AA8">
        <w:rPr>
          <w:b w:val="0"/>
          <w:sz w:val="24"/>
          <w:szCs w:val="24"/>
          <w:lang w:val="ca-ES"/>
        </w:rPr>
        <w:t>Interanualment</w:t>
      </w:r>
      <w:proofErr w:type="spellEnd"/>
      <w:r w:rsidRPr="00130AA8">
        <w:rPr>
          <w:b w:val="0"/>
          <w:sz w:val="24"/>
          <w:szCs w:val="24"/>
          <w:lang w:val="ca-ES"/>
        </w:rPr>
        <w:t xml:space="preserve">, s’ha produït un descens del -4,53% (-13.256 contractes menys), tot i l’augment de la contractació indefinida (7,30%) per la reducció de la contractació temporal (-6,53%; 16.340 contractes menys). </w:t>
      </w:r>
    </w:p>
    <w:p w:rsidR="00C87B5C" w:rsidRPr="00C87B5C" w:rsidRDefault="00C87B5C" w:rsidP="00C87B5C">
      <w:pPr>
        <w:pStyle w:val="TEXTBOLD"/>
        <w:spacing w:line="276" w:lineRule="auto"/>
        <w:rPr>
          <w:b w:val="0"/>
          <w:sz w:val="20"/>
          <w:szCs w:val="24"/>
          <w:lang w:val="ca-ES"/>
        </w:rPr>
      </w:pPr>
    </w:p>
    <w:p w:rsidR="00C87B5C" w:rsidRDefault="00C87B5C" w:rsidP="00C87B5C">
      <w:pPr>
        <w:pStyle w:val="TEXTBOLD"/>
        <w:spacing w:line="276" w:lineRule="auto"/>
        <w:rPr>
          <w:b w:val="0"/>
          <w:sz w:val="24"/>
          <w:szCs w:val="24"/>
          <w:lang w:val="ca-ES"/>
        </w:rPr>
      </w:pPr>
      <w:r w:rsidRPr="00C02C57">
        <w:rPr>
          <w:b w:val="0"/>
          <w:sz w:val="24"/>
          <w:szCs w:val="24"/>
          <w:lang w:val="ca-ES"/>
        </w:rPr>
        <w:t>La contractació acumulada de gener a setembre d</w:t>
      </w:r>
      <w:r>
        <w:rPr>
          <w:b w:val="0"/>
          <w:sz w:val="24"/>
          <w:szCs w:val="24"/>
          <w:lang w:val="ca-ES"/>
        </w:rPr>
        <w:t xml:space="preserve">e 2018 s’ha incrementat un 3,8% </w:t>
      </w:r>
      <w:r w:rsidRPr="00C02C57">
        <w:rPr>
          <w:b w:val="0"/>
          <w:sz w:val="24"/>
          <w:szCs w:val="24"/>
          <w:lang w:val="ca-ES"/>
        </w:rPr>
        <w:t>(90.127 contractes més), gràcies a l’augment de la co</w:t>
      </w:r>
      <w:r>
        <w:rPr>
          <w:b w:val="0"/>
          <w:sz w:val="24"/>
          <w:szCs w:val="24"/>
          <w:lang w:val="ca-ES"/>
        </w:rPr>
        <w:t xml:space="preserve">ntractació indefinida (11,6%), </w:t>
      </w:r>
      <w:r w:rsidRPr="00C02C57">
        <w:rPr>
          <w:b w:val="0"/>
          <w:sz w:val="24"/>
          <w:szCs w:val="24"/>
          <w:lang w:val="ca-ES"/>
        </w:rPr>
        <w:t>que manté el ritme, i un creix</w:t>
      </w:r>
      <w:r>
        <w:rPr>
          <w:b w:val="0"/>
          <w:sz w:val="24"/>
          <w:szCs w:val="24"/>
          <w:lang w:val="ca-ES"/>
        </w:rPr>
        <w:t>ement més suau de la temporal (</w:t>
      </w:r>
      <w:r w:rsidRPr="00C02C57">
        <w:rPr>
          <w:b w:val="0"/>
          <w:sz w:val="24"/>
          <w:szCs w:val="24"/>
          <w:lang w:val="ca-ES"/>
        </w:rPr>
        <w:t>2,6%).</w:t>
      </w:r>
    </w:p>
    <w:p w:rsidR="00C87B5C" w:rsidRPr="00C87B5C" w:rsidRDefault="00C87B5C" w:rsidP="00C87B5C">
      <w:pPr>
        <w:spacing w:line="276" w:lineRule="auto"/>
        <w:jc w:val="both"/>
        <w:rPr>
          <w:rFonts w:ascii="Rotis Sans Serif Std" w:hAnsi="Rotis Sans Serif Std" w:cs="RotisSansSerifStd-Regular"/>
          <w:color w:val="5E6061"/>
          <w:sz w:val="20"/>
          <w:u w:val="single"/>
          <w:lang w:eastAsia="es-ES_tradnl"/>
        </w:rPr>
      </w:pPr>
    </w:p>
    <w:p w:rsidR="00C87B5C" w:rsidRDefault="00C87B5C" w:rsidP="00C87B5C">
      <w:pPr>
        <w:spacing w:line="276" w:lineRule="auto"/>
        <w:jc w:val="both"/>
        <w:rPr>
          <w:rFonts w:ascii="Rotis Sans Serif Std" w:hAnsi="Rotis Sans Serif Std" w:cs="RotisSansSerifStd-Regular"/>
          <w:color w:val="5E6061"/>
          <w:u w:val="single"/>
          <w:lang w:eastAsia="es-ES_tradnl"/>
        </w:rPr>
      </w:pPr>
      <w:r w:rsidRPr="00685699">
        <w:rPr>
          <w:rFonts w:ascii="Rotis Sans Serif Std" w:hAnsi="Rotis Sans Serif Std" w:cs="RotisSansSerifStd-Regular"/>
          <w:color w:val="5E6061"/>
          <w:lang w:eastAsia="es-ES_tradnl"/>
        </w:rPr>
        <w:t>En el conjunt de l’Estat,</w:t>
      </w:r>
      <w:r>
        <w:rPr>
          <w:rFonts w:ascii="Rotis Sans Serif Std" w:hAnsi="Rotis Sans Serif Std" w:cs="RotisSansSerifStd-Regular"/>
          <w:color w:val="5E6061"/>
          <w:lang w:eastAsia="es-ES_tradnl"/>
        </w:rPr>
        <w:t xml:space="preserve"> s’han formalitzat 1952.397 contractes en el mes de setembre, xifra que suposa un increment</w:t>
      </w:r>
      <w:r>
        <w:rPr>
          <w:rFonts w:ascii="Rotis Sans Serif Std" w:hAnsi="Rotis Sans Serif Std" w:cs="RotisSansSerifStd-Regular"/>
          <w:color w:val="FF0000"/>
          <w:lang w:eastAsia="es-ES_tradnl"/>
        </w:rPr>
        <w:t xml:space="preserve"> </w:t>
      </w:r>
      <w:r>
        <w:rPr>
          <w:rFonts w:ascii="Rotis Sans Serif Std" w:hAnsi="Rotis Sans Serif Std" w:cs="RotisSansSerifStd-Regular"/>
          <w:color w:val="5E6061"/>
          <w:lang w:eastAsia="es-ES_tradnl"/>
        </w:rPr>
        <w:t xml:space="preserve">mensual del 21,83% (349.902 més) i un descens interanual del -2,05% (40.870 contractes menys). Els contractes indefinits han crescut un 51,23% respecte el mes anterior i un 20,80% respecte l’any anterior i els temporals, han augmentat un 18,71% mensualment i s’han reduït un -4,50% </w:t>
      </w:r>
      <w:proofErr w:type="spellStart"/>
      <w:r>
        <w:rPr>
          <w:rFonts w:ascii="Rotis Sans Serif Std" w:hAnsi="Rotis Sans Serif Std" w:cs="RotisSansSerifStd-Regular"/>
          <w:color w:val="5E6061"/>
          <w:lang w:eastAsia="es-ES_tradnl"/>
        </w:rPr>
        <w:t>interanualment</w:t>
      </w:r>
      <w:proofErr w:type="spellEnd"/>
      <w:r>
        <w:rPr>
          <w:rFonts w:ascii="Rotis Sans Serif Std" w:hAnsi="Rotis Sans Serif Std" w:cs="RotisSansSerifStd-Regular"/>
          <w:color w:val="5E6061"/>
          <w:lang w:eastAsia="es-ES_tradnl"/>
        </w:rPr>
        <w:t>.</w:t>
      </w:r>
    </w:p>
    <w:p w:rsidR="00C87B5C" w:rsidRPr="00C87B5C" w:rsidRDefault="00C87B5C" w:rsidP="00C87B5C">
      <w:pPr>
        <w:spacing w:line="276" w:lineRule="auto"/>
        <w:jc w:val="both"/>
        <w:rPr>
          <w:rFonts w:ascii="Rotis Sans Serif Std" w:hAnsi="Rotis Sans Serif Std" w:cs="RotisSansSerifStd-Regular"/>
          <w:color w:val="5E6061"/>
          <w:sz w:val="20"/>
          <w:u w:val="single"/>
          <w:lang w:eastAsia="es-ES_tradnl"/>
        </w:rPr>
      </w:pPr>
    </w:p>
    <w:p w:rsidR="00C87B5C" w:rsidRDefault="00C87B5C" w:rsidP="00C87B5C">
      <w:pPr>
        <w:spacing w:line="276" w:lineRule="auto"/>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 xml:space="preserve">Fins al mes de setembre, s’ha acumulat un total de 16.471.425 contractes, </w:t>
      </w:r>
      <w:r w:rsidRPr="00851C13">
        <w:rPr>
          <w:rFonts w:ascii="Rotis Sans Serif Std" w:hAnsi="Rotis Sans Serif Std" w:cs="RotisSansSerifStd-Regular"/>
          <w:color w:val="5E6061"/>
          <w:lang w:eastAsia="es-ES_tradnl"/>
        </w:rPr>
        <w:t>1.700.249</w:t>
      </w:r>
      <w:r>
        <w:rPr>
          <w:rFonts w:ascii="Rotis Sans Serif Std" w:hAnsi="Rotis Sans Serif Std" w:cs="RotisSansSerifStd-Regular"/>
          <w:color w:val="5E6061"/>
          <w:lang w:eastAsia="es-ES_tradnl"/>
        </w:rPr>
        <w:t xml:space="preserve"> de caràcter indefinit (</w:t>
      </w:r>
      <w:r w:rsidRPr="00851C13">
        <w:rPr>
          <w:rFonts w:ascii="Rotis Sans Serif Std" w:hAnsi="Rotis Sans Serif Std" w:cs="RotisSansSerifStd-Regular"/>
          <w:color w:val="5E6061"/>
          <w:lang w:eastAsia="es-ES_tradnl"/>
        </w:rPr>
        <w:t>10,32</w:t>
      </w:r>
      <w:r>
        <w:rPr>
          <w:rFonts w:ascii="Rotis Sans Serif Std" w:hAnsi="Rotis Sans Serif Std" w:cs="RotisSansSerifStd-Regular"/>
          <w:color w:val="5E6061"/>
          <w:lang w:eastAsia="es-ES_tradnl"/>
        </w:rPr>
        <w:t xml:space="preserve">%) i </w:t>
      </w:r>
      <w:r w:rsidRPr="00851C13">
        <w:rPr>
          <w:rFonts w:ascii="Rotis Sans Serif Std" w:hAnsi="Rotis Sans Serif Std" w:cs="RotisSansSerifStd-Regular"/>
          <w:color w:val="5E6061"/>
          <w:lang w:eastAsia="es-ES_tradnl"/>
        </w:rPr>
        <w:t>14.771.176</w:t>
      </w:r>
      <w:r>
        <w:rPr>
          <w:rFonts w:ascii="Rotis Sans Serif Std" w:hAnsi="Rotis Sans Serif Std" w:cs="RotisSansSerifStd-Regular"/>
          <w:color w:val="5E6061"/>
          <w:lang w:eastAsia="es-ES_tradnl"/>
        </w:rPr>
        <w:t xml:space="preserve"> temporals (</w:t>
      </w:r>
      <w:r w:rsidRPr="00851C13">
        <w:rPr>
          <w:rFonts w:ascii="Rotis Sans Serif Std" w:hAnsi="Rotis Sans Serif Std" w:cs="RotisSansSerifStd-Regular"/>
          <w:color w:val="5E6061"/>
          <w:lang w:eastAsia="es-ES_tradnl"/>
        </w:rPr>
        <w:t>89,68</w:t>
      </w:r>
      <w:r>
        <w:rPr>
          <w:rFonts w:ascii="Rotis Sans Serif Std" w:hAnsi="Rotis Sans Serif Std" w:cs="RotisSansSerifStd-Regular"/>
          <w:color w:val="5E6061"/>
          <w:lang w:eastAsia="es-ES_tradnl"/>
        </w:rPr>
        <w:t xml:space="preserve">%). </w:t>
      </w:r>
    </w:p>
    <w:p w:rsidR="00C87B5C" w:rsidRDefault="00C87B5C" w:rsidP="00C87B5C">
      <w:pPr>
        <w:autoSpaceDE w:val="0"/>
        <w:autoSpaceDN w:val="0"/>
        <w:adjustRightInd w:val="0"/>
        <w:spacing w:line="276" w:lineRule="auto"/>
        <w:jc w:val="both"/>
        <w:rPr>
          <w:rFonts w:ascii="Rotis Sans Serif Std" w:hAnsi="Rotis Sans Serif Std" w:cs="RotisSansSerifStd-Regular"/>
          <w:b/>
          <w:color w:val="C00000"/>
          <w:lang w:eastAsia="es-ES"/>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6089"/>
      </w:tblGrid>
      <w:tr w:rsidR="00C87B5C" w:rsidRPr="003171F9" w:rsidTr="00C87B5C">
        <w:trPr>
          <w:trHeight w:val="707"/>
          <w:jc w:val="center"/>
        </w:trPr>
        <w:tc>
          <w:tcPr>
            <w:tcW w:w="6089" w:type="dxa"/>
            <w:shd w:val="clear" w:color="auto" w:fill="FFFFFF"/>
            <w:vAlign w:val="bottom"/>
          </w:tcPr>
          <w:p w:rsidR="00C87B5C" w:rsidRPr="00C87B5C" w:rsidRDefault="00C87B5C" w:rsidP="00C87B5C">
            <w:pPr>
              <w:autoSpaceDE w:val="0"/>
              <w:autoSpaceDN w:val="0"/>
              <w:adjustRightInd w:val="0"/>
              <w:spacing w:line="276" w:lineRule="auto"/>
              <w:ind w:right="125"/>
              <w:jc w:val="center"/>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t xml:space="preserve">La contractació ha disminuït un -4,53% respecte l’any anterior a Catalunya, tot i l’augment de la contractació indefinida (7,30%) i un -2,05% al conjunt de l’Estat, tot i el 20,8% d’augment de la contractació indefinida. </w:t>
            </w:r>
          </w:p>
        </w:tc>
      </w:tr>
    </w:tbl>
    <w:p w:rsidR="001477A8" w:rsidRPr="003171F9" w:rsidRDefault="001477A8" w:rsidP="001477A8">
      <w:pPr>
        <w:shd w:val="clear" w:color="auto" w:fill="F2F2F2"/>
        <w:spacing w:line="276" w:lineRule="auto"/>
        <w:jc w:val="both"/>
        <w:rPr>
          <w:rFonts w:ascii="Rotis Sans Serif Std" w:hAnsi="Rotis Sans Serif Std" w:cs="RotisSansSerifStd-Regular"/>
          <w:b/>
          <w:color w:val="C00000"/>
          <w:lang w:eastAsia="es-ES"/>
        </w:rPr>
      </w:pPr>
      <w:r w:rsidRPr="003171F9">
        <w:rPr>
          <w:rFonts w:ascii="Rotis Sans Serif Std" w:hAnsi="Rotis Sans Serif Std" w:cs="RotisSansSerifStd-Regular"/>
          <w:b/>
          <w:color w:val="C00000"/>
          <w:lang w:eastAsia="es-ES"/>
        </w:rPr>
        <w:t xml:space="preserve">Negociació col·lectiva </w:t>
      </w:r>
    </w:p>
    <w:p w:rsidR="001477A8" w:rsidRPr="003171F9" w:rsidRDefault="001477A8" w:rsidP="001477A8">
      <w:pPr>
        <w:pStyle w:val="TEXTBOLD"/>
        <w:spacing w:line="276" w:lineRule="auto"/>
        <w:rPr>
          <w:b w:val="0"/>
          <w:sz w:val="24"/>
          <w:szCs w:val="24"/>
          <w:lang w:val="ca-ES"/>
        </w:rPr>
      </w:pPr>
    </w:p>
    <w:p w:rsidR="001477A8" w:rsidRPr="003171F9" w:rsidRDefault="001477A8" w:rsidP="00AB0BAA">
      <w:pPr>
        <w:pStyle w:val="Prrafodelista"/>
        <w:numPr>
          <w:ilvl w:val="0"/>
          <w:numId w:val="5"/>
        </w:numPr>
        <w:autoSpaceDE w:val="0"/>
        <w:autoSpaceDN w:val="0"/>
        <w:adjustRightInd w:val="0"/>
        <w:spacing w:line="276" w:lineRule="auto"/>
        <w:jc w:val="both"/>
        <w:rPr>
          <w:rFonts w:ascii="Rotis Sans Serif Std ExtraBold" w:hAnsi="Rotis Sans Serif Std ExtraBold" w:cs="RotisSansSerifStd-Regular"/>
          <w:b/>
          <w:color w:val="C1002B"/>
          <w:szCs w:val="40"/>
          <w:u w:val="single"/>
          <w:lang w:eastAsia="es-ES_tradnl"/>
        </w:rPr>
      </w:pPr>
      <w:r w:rsidRPr="003171F9">
        <w:rPr>
          <w:rFonts w:ascii="Rotis Sans Serif Std ExtraBold" w:hAnsi="Rotis Sans Serif Std ExtraBold" w:cs="RotisSansSerifStd-Regular"/>
          <w:b/>
          <w:color w:val="C1002B"/>
          <w:szCs w:val="40"/>
          <w:u w:val="single"/>
          <w:lang w:eastAsia="es-ES_tradnl"/>
        </w:rPr>
        <w:t xml:space="preserve">Convenis Col·lectius </w:t>
      </w:r>
    </w:p>
    <w:p w:rsidR="00CB0BDA" w:rsidRDefault="00CB0BDA" w:rsidP="00EE6093">
      <w:pPr>
        <w:autoSpaceDE w:val="0"/>
        <w:autoSpaceDN w:val="0"/>
        <w:adjustRightInd w:val="0"/>
        <w:spacing w:line="276" w:lineRule="auto"/>
        <w:jc w:val="both"/>
        <w:rPr>
          <w:rFonts w:ascii="Rotis Sans Serif Std" w:hAnsi="Rotis Sans Serif Std" w:cs="RotisSansSerifStd-Regular"/>
          <w:color w:val="5E6061"/>
          <w:lang w:eastAsia="es-ES_tradnl"/>
        </w:rPr>
      </w:pPr>
    </w:p>
    <w:p w:rsidR="00EE6093" w:rsidRDefault="008F30AB" w:rsidP="00EE6093">
      <w:pPr>
        <w:autoSpaceDE w:val="0"/>
        <w:autoSpaceDN w:val="0"/>
        <w:adjustRightInd w:val="0"/>
        <w:spacing w:line="276" w:lineRule="auto"/>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A 31 d’agost</w:t>
      </w:r>
      <w:r w:rsidR="00C43D60">
        <w:rPr>
          <w:rFonts w:ascii="Rotis Sans Serif Std" w:hAnsi="Rotis Sans Serif Std" w:cs="RotisSansSerifStd-Regular"/>
          <w:color w:val="5E6061"/>
          <w:lang w:eastAsia="es-ES_tradnl"/>
        </w:rPr>
        <w:t xml:space="preserve"> de 201</w:t>
      </w:r>
      <w:r w:rsidR="005B76F2">
        <w:rPr>
          <w:rFonts w:ascii="Rotis Sans Serif Std" w:hAnsi="Rotis Sans Serif Std" w:cs="RotisSansSerifStd-Regular"/>
          <w:color w:val="5E6061"/>
          <w:lang w:eastAsia="es-ES_tradnl"/>
        </w:rPr>
        <w:t>8</w:t>
      </w:r>
      <w:r w:rsidR="00EE6093" w:rsidRPr="00A62232">
        <w:rPr>
          <w:rFonts w:ascii="Rotis Sans Serif Std" w:hAnsi="Rotis Sans Serif Std" w:cs="RotisSansSerifStd-Regular"/>
          <w:color w:val="5E6061"/>
          <w:lang w:eastAsia="es-ES_tradnl"/>
        </w:rPr>
        <w:t xml:space="preserve"> a Catalunya s’han registrat un total de </w:t>
      </w:r>
      <w:r>
        <w:rPr>
          <w:rFonts w:ascii="Rotis Sans Serif Std" w:hAnsi="Rotis Sans Serif Std" w:cs="RotisSansSerifStd-Regular"/>
          <w:color w:val="5E6061"/>
          <w:lang w:eastAsia="es-ES_tradnl"/>
        </w:rPr>
        <w:t>297</w:t>
      </w:r>
      <w:r w:rsidR="00EE6093" w:rsidRPr="00A62232">
        <w:rPr>
          <w:rFonts w:ascii="Rotis Sans Serif Std" w:hAnsi="Rotis Sans Serif Std" w:cs="RotisSansSerifStd-Regular"/>
          <w:color w:val="5E6061"/>
          <w:lang w:eastAsia="es-ES_tradnl"/>
        </w:rPr>
        <w:t xml:space="preserve"> Convenis, afectant a </w:t>
      </w:r>
      <w:r>
        <w:rPr>
          <w:rFonts w:ascii="Rotis Sans Serif Std" w:hAnsi="Rotis Sans Serif Std" w:cs="RotisSansSerifStd-Regular"/>
          <w:color w:val="5E6061"/>
          <w:lang w:eastAsia="es-ES_tradnl"/>
        </w:rPr>
        <w:t>683.056</w:t>
      </w:r>
      <w:r w:rsidR="00EE6093" w:rsidRPr="00A62232">
        <w:rPr>
          <w:rFonts w:ascii="Rotis Sans Serif Std" w:hAnsi="Rotis Sans Serif Std" w:cs="RotisSansSerifStd-Regular"/>
          <w:color w:val="5E6061"/>
          <w:lang w:eastAsia="es-ES_tradnl"/>
        </w:rPr>
        <w:t xml:space="preserve"> treballadors i </w:t>
      </w:r>
      <w:r>
        <w:rPr>
          <w:rFonts w:ascii="Rotis Sans Serif Std" w:hAnsi="Rotis Sans Serif Std" w:cs="RotisSansSerifStd-Regular"/>
          <w:color w:val="5E6061"/>
          <w:lang w:eastAsia="es-ES_tradnl"/>
        </w:rPr>
        <w:t>132.355</w:t>
      </w:r>
      <w:r w:rsidR="00EE6093" w:rsidRPr="00A62232">
        <w:rPr>
          <w:rFonts w:ascii="Rotis Sans Serif Std" w:hAnsi="Rotis Sans Serif Std" w:cs="RotisSansSerifStd-Regular"/>
          <w:color w:val="5E6061"/>
          <w:lang w:eastAsia="es-ES_tradnl"/>
        </w:rPr>
        <w:t xml:space="preserve"> empreses, el que comporta un </w:t>
      </w:r>
      <w:r>
        <w:rPr>
          <w:rFonts w:ascii="Rotis Sans Serif Std" w:hAnsi="Rotis Sans Serif Std" w:cs="RotisSansSerifStd-Regular"/>
          <w:color w:val="5E6061"/>
          <w:lang w:eastAsia="es-ES_tradnl"/>
        </w:rPr>
        <w:t>decrement</w:t>
      </w:r>
      <w:r w:rsidR="00EE6093" w:rsidRPr="00A62232">
        <w:rPr>
          <w:rFonts w:ascii="Rotis Sans Serif Std" w:hAnsi="Rotis Sans Serif Std" w:cs="RotisSansSerifStd-Regular"/>
          <w:color w:val="5E6061"/>
          <w:lang w:eastAsia="es-ES_tradnl"/>
        </w:rPr>
        <w:t xml:space="preserve"> del </w:t>
      </w:r>
      <w:r>
        <w:rPr>
          <w:rFonts w:ascii="Rotis Sans Serif Std" w:hAnsi="Rotis Sans Serif Std" w:cs="RotisSansSerifStd-Regular"/>
          <w:color w:val="5E6061"/>
          <w:lang w:eastAsia="es-ES_tradnl"/>
        </w:rPr>
        <w:t>-4,19</w:t>
      </w:r>
      <w:r w:rsidR="00C43D60">
        <w:rPr>
          <w:rFonts w:ascii="Rotis Sans Serif Std" w:hAnsi="Rotis Sans Serif Std" w:cs="RotisSansSerifStd-Regular"/>
          <w:color w:val="5E6061"/>
          <w:lang w:eastAsia="es-ES_tradnl"/>
        </w:rPr>
        <w:t>%</w:t>
      </w:r>
      <w:r w:rsidR="00BE3D60">
        <w:rPr>
          <w:rFonts w:ascii="Rotis Sans Serif Std" w:hAnsi="Rotis Sans Serif Std" w:cs="RotisSansSerifStd-Regular"/>
          <w:color w:val="5E6061"/>
          <w:lang w:eastAsia="es-ES_tradnl"/>
        </w:rPr>
        <w:t>.</w:t>
      </w:r>
    </w:p>
    <w:p w:rsidR="00EE6093" w:rsidRDefault="00EE6093" w:rsidP="00EE6093">
      <w:pPr>
        <w:pStyle w:val="TEXTBOLD"/>
        <w:spacing w:line="276" w:lineRule="auto"/>
        <w:rPr>
          <w:b w:val="0"/>
          <w:sz w:val="24"/>
          <w:szCs w:val="24"/>
          <w:u w:val="single"/>
          <w:lang w:val="ca-ES"/>
        </w:rPr>
      </w:pPr>
    </w:p>
    <w:p w:rsidR="00EE6093" w:rsidRPr="00EA5418" w:rsidRDefault="00EE6093" w:rsidP="00EE6093">
      <w:pPr>
        <w:pStyle w:val="TEXTBOLD"/>
        <w:spacing w:line="276" w:lineRule="auto"/>
        <w:rPr>
          <w:b w:val="0"/>
          <w:color w:val="404040"/>
          <w:sz w:val="24"/>
          <w:szCs w:val="24"/>
          <w:lang w:val="ca-ES"/>
        </w:rPr>
      </w:pPr>
      <w:r w:rsidRPr="00A62232">
        <w:rPr>
          <w:b w:val="0"/>
          <w:sz w:val="24"/>
          <w:szCs w:val="24"/>
          <w:lang w:val="ca-ES"/>
        </w:rPr>
        <w:t>A nivell estatal,</w:t>
      </w:r>
      <w:r w:rsidRPr="00EA5418">
        <w:rPr>
          <w:b w:val="0"/>
          <w:sz w:val="24"/>
          <w:szCs w:val="24"/>
          <w:lang w:val="ca-ES"/>
        </w:rPr>
        <w:t xml:space="preserve"> </w:t>
      </w:r>
      <w:r>
        <w:rPr>
          <w:b w:val="0"/>
          <w:sz w:val="24"/>
          <w:szCs w:val="24"/>
          <w:lang w:val="ca-ES"/>
        </w:rPr>
        <w:t xml:space="preserve">fins a 31 </w:t>
      </w:r>
      <w:r w:rsidR="008F30AB">
        <w:rPr>
          <w:b w:val="0"/>
          <w:sz w:val="24"/>
          <w:szCs w:val="24"/>
          <w:lang w:val="ca-ES"/>
        </w:rPr>
        <w:t>d’agost</w:t>
      </w:r>
      <w:r>
        <w:rPr>
          <w:b w:val="0"/>
          <w:sz w:val="24"/>
          <w:szCs w:val="24"/>
          <w:lang w:val="ca-ES"/>
        </w:rPr>
        <w:t xml:space="preserve"> de 201</w:t>
      </w:r>
      <w:r w:rsidR="005B76F2">
        <w:rPr>
          <w:b w:val="0"/>
          <w:sz w:val="24"/>
          <w:szCs w:val="24"/>
          <w:lang w:val="ca-ES"/>
        </w:rPr>
        <w:t>8</w:t>
      </w:r>
      <w:r>
        <w:rPr>
          <w:b w:val="0"/>
          <w:sz w:val="24"/>
          <w:szCs w:val="24"/>
          <w:lang w:val="ca-ES"/>
        </w:rPr>
        <w:t xml:space="preserve"> </w:t>
      </w:r>
      <w:r w:rsidR="00C43D60">
        <w:rPr>
          <w:b w:val="0"/>
          <w:sz w:val="24"/>
          <w:szCs w:val="24"/>
          <w:lang w:val="ca-ES"/>
        </w:rPr>
        <w:t xml:space="preserve">s’han registrat un total de </w:t>
      </w:r>
      <w:r w:rsidR="005B76F2">
        <w:rPr>
          <w:b w:val="0"/>
          <w:sz w:val="24"/>
          <w:szCs w:val="24"/>
          <w:lang w:val="ca-ES"/>
        </w:rPr>
        <w:t>2.</w:t>
      </w:r>
      <w:r w:rsidR="008F30AB">
        <w:rPr>
          <w:b w:val="0"/>
          <w:sz w:val="24"/>
          <w:szCs w:val="24"/>
          <w:lang w:val="ca-ES"/>
        </w:rPr>
        <w:t>962</w:t>
      </w:r>
      <w:r>
        <w:rPr>
          <w:b w:val="0"/>
          <w:sz w:val="24"/>
          <w:szCs w:val="24"/>
          <w:lang w:val="ca-ES"/>
        </w:rPr>
        <w:t xml:space="preserve"> </w:t>
      </w:r>
      <w:r w:rsidRPr="00EA5418">
        <w:rPr>
          <w:b w:val="0"/>
          <w:sz w:val="24"/>
          <w:szCs w:val="24"/>
          <w:lang w:val="ca-ES"/>
        </w:rPr>
        <w:t xml:space="preserve">Convenis, afectant a </w:t>
      </w:r>
      <w:r w:rsidR="005451BD">
        <w:rPr>
          <w:b w:val="0"/>
          <w:sz w:val="24"/>
          <w:szCs w:val="24"/>
          <w:lang w:val="ca-ES"/>
        </w:rPr>
        <w:t>7.526.712</w:t>
      </w:r>
      <w:r w:rsidR="00C43D60">
        <w:rPr>
          <w:b w:val="0"/>
          <w:sz w:val="24"/>
          <w:szCs w:val="24"/>
          <w:lang w:val="ca-ES"/>
        </w:rPr>
        <w:t xml:space="preserve"> treballa</w:t>
      </w:r>
      <w:r w:rsidRPr="00EA5418">
        <w:rPr>
          <w:b w:val="0"/>
          <w:sz w:val="24"/>
          <w:szCs w:val="24"/>
          <w:lang w:val="ca-ES"/>
        </w:rPr>
        <w:t xml:space="preserve">dors i </w:t>
      </w:r>
      <w:r w:rsidR="005451BD">
        <w:rPr>
          <w:b w:val="0"/>
          <w:sz w:val="24"/>
          <w:szCs w:val="24"/>
          <w:lang w:val="ca-ES"/>
        </w:rPr>
        <w:t>988.122</w:t>
      </w:r>
      <w:r>
        <w:rPr>
          <w:b w:val="0"/>
          <w:sz w:val="24"/>
          <w:szCs w:val="24"/>
          <w:lang w:val="ca-ES"/>
        </w:rPr>
        <w:t xml:space="preserve"> empreses, que suposa un increment del </w:t>
      </w:r>
      <w:r w:rsidR="005451BD">
        <w:rPr>
          <w:b w:val="0"/>
          <w:sz w:val="24"/>
          <w:szCs w:val="24"/>
          <w:lang w:val="ca-ES"/>
        </w:rPr>
        <w:t>9,66</w:t>
      </w:r>
      <w:r>
        <w:rPr>
          <w:b w:val="0"/>
          <w:sz w:val="24"/>
          <w:szCs w:val="24"/>
          <w:lang w:val="ca-ES"/>
        </w:rPr>
        <w:t>%</w:t>
      </w:r>
      <w:r w:rsidR="00BE3D60">
        <w:rPr>
          <w:b w:val="0"/>
          <w:sz w:val="24"/>
          <w:szCs w:val="24"/>
          <w:lang w:val="ca-ES"/>
        </w:rPr>
        <w:t>.</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618"/>
      </w:tblGrid>
      <w:tr w:rsidR="00EE6093" w:rsidRPr="000844D1" w:rsidTr="00C87B5C">
        <w:trPr>
          <w:trHeight w:val="1559"/>
          <w:jc w:val="center"/>
        </w:trPr>
        <w:tc>
          <w:tcPr>
            <w:tcW w:w="4618" w:type="dxa"/>
            <w:shd w:val="clear" w:color="auto" w:fill="FFFFFF"/>
            <w:vAlign w:val="center"/>
          </w:tcPr>
          <w:p w:rsidR="00EE6093" w:rsidRPr="003E2B63" w:rsidRDefault="00C43D60" w:rsidP="005451BD">
            <w:pPr>
              <w:autoSpaceDE w:val="0"/>
              <w:autoSpaceDN w:val="0"/>
              <w:adjustRightInd w:val="0"/>
              <w:spacing w:line="276" w:lineRule="auto"/>
              <w:jc w:val="center"/>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t>Fins a</w:t>
            </w:r>
            <w:r w:rsidR="005451BD">
              <w:rPr>
                <w:rFonts w:ascii="Rotis Sans Serif Std" w:hAnsi="Rotis Sans Serif Std" w:cs="RotisSansSerifStd-Regular"/>
                <w:b/>
                <w:color w:val="C00000"/>
                <w:lang w:eastAsia="es-ES"/>
              </w:rPr>
              <w:t xml:space="preserve"> </w:t>
            </w:r>
            <w:r>
              <w:rPr>
                <w:rFonts w:ascii="Rotis Sans Serif Std" w:hAnsi="Rotis Sans Serif Std" w:cs="RotisSansSerifStd-Regular"/>
                <w:b/>
                <w:color w:val="C00000"/>
                <w:lang w:eastAsia="es-ES"/>
              </w:rPr>
              <w:t>l</w:t>
            </w:r>
            <w:r w:rsidR="005451BD">
              <w:rPr>
                <w:rFonts w:ascii="Rotis Sans Serif Std" w:hAnsi="Rotis Sans Serif Std" w:cs="RotisSansSerifStd-Regular"/>
                <w:b/>
                <w:color w:val="C00000"/>
                <w:lang w:eastAsia="es-ES"/>
              </w:rPr>
              <w:t>’agost</w:t>
            </w:r>
            <w:r>
              <w:rPr>
                <w:rFonts w:ascii="Rotis Sans Serif Std" w:hAnsi="Rotis Sans Serif Std" w:cs="RotisSansSerifStd-Regular"/>
                <w:b/>
                <w:color w:val="C00000"/>
                <w:lang w:eastAsia="es-ES"/>
              </w:rPr>
              <w:t xml:space="preserve"> del 201</w:t>
            </w:r>
            <w:r w:rsidR="005B76F2">
              <w:rPr>
                <w:rFonts w:ascii="Rotis Sans Serif Std" w:hAnsi="Rotis Sans Serif Std" w:cs="RotisSansSerifStd-Regular"/>
                <w:b/>
                <w:color w:val="C00000"/>
                <w:lang w:eastAsia="es-ES"/>
              </w:rPr>
              <w:t>8</w:t>
            </w:r>
            <w:r>
              <w:rPr>
                <w:rFonts w:ascii="Rotis Sans Serif Std" w:hAnsi="Rotis Sans Serif Std" w:cs="RotisSansSerifStd-Regular"/>
                <w:b/>
                <w:color w:val="C00000"/>
                <w:lang w:eastAsia="es-ES"/>
              </w:rPr>
              <w:t xml:space="preserve"> </w:t>
            </w:r>
            <w:r w:rsidR="00EE6093">
              <w:rPr>
                <w:rFonts w:ascii="Rotis Sans Serif Std" w:hAnsi="Rotis Sans Serif Std" w:cs="RotisSansSerifStd-Regular"/>
                <w:b/>
                <w:color w:val="C00000"/>
                <w:lang w:eastAsia="es-ES"/>
              </w:rPr>
              <w:t xml:space="preserve"> s’han registrat a Catalunya </w:t>
            </w:r>
            <w:r w:rsidR="005B76F2">
              <w:rPr>
                <w:rFonts w:ascii="Rotis Sans Serif Std" w:hAnsi="Rotis Sans Serif Std" w:cs="RotisSansSerifStd-Regular"/>
                <w:b/>
                <w:color w:val="C00000"/>
                <w:lang w:eastAsia="es-ES"/>
              </w:rPr>
              <w:t>2</w:t>
            </w:r>
            <w:r w:rsidR="005451BD">
              <w:rPr>
                <w:rFonts w:ascii="Rotis Sans Serif Std" w:hAnsi="Rotis Sans Serif Std" w:cs="RotisSansSerifStd-Regular"/>
                <w:b/>
                <w:color w:val="C00000"/>
                <w:lang w:eastAsia="es-ES"/>
              </w:rPr>
              <w:t>97</w:t>
            </w:r>
            <w:r w:rsidR="00EE6093">
              <w:rPr>
                <w:rFonts w:ascii="Rotis Sans Serif Std" w:hAnsi="Rotis Sans Serif Std" w:cs="RotisSansSerifStd-Regular"/>
                <w:b/>
                <w:color w:val="C00000"/>
                <w:lang w:eastAsia="es-ES"/>
              </w:rPr>
              <w:t xml:space="preserve"> </w:t>
            </w:r>
            <w:r w:rsidR="00EE6093" w:rsidRPr="003E2B63">
              <w:rPr>
                <w:rFonts w:ascii="Rotis Sans Serif Std" w:hAnsi="Rotis Sans Serif Std" w:cs="RotisSansSerifStd-Regular"/>
                <w:b/>
                <w:color w:val="C00000"/>
                <w:lang w:eastAsia="es-ES"/>
              </w:rPr>
              <w:t>convenis col·lectius</w:t>
            </w:r>
            <w:r>
              <w:rPr>
                <w:rFonts w:ascii="Rotis Sans Serif Std" w:hAnsi="Rotis Sans Serif Std" w:cs="RotisSansSerifStd-Regular"/>
                <w:b/>
                <w:color w:val="C00000"/>
                <w:lang w:eastAsia="es-ES"/>
              </w:rPr>
              <w:t xml:space="preserve"> (</w:t>
            </w:r>
            <w:r w:rsidR="005451BD">
              <w:rPr>
                <w:rFonts w:ascii="Rotis Sans Serif Std" w:hAnsi="Rotis Sans Serif Std" w:cs="RotisSansSerifStd-Regular"/>
                <w:b/>
                <w:color w:val="C00000"/>
                <w:lang w:eastAsia="es-ES"/>
              </w:rPr>
              <w:t>-4,19</w:t>
            </w:r>
            <w:r w:rsidR="00754351">
              <w:rPr>
                <w:rFonts w:ascii="Rotis Sans Serif Std" w:hAnsi="Rotis Sans Serif Std" w:cs="RotisSansSerifStd-Regular"/>
                <w:b/>
                <w:color w:val="C00000"/>
                <w:lang w:eastAsia="es-ES"/>
              </w:rPr>
              <w:t>%)</w:t>
            </w:r>
            <w:r w:rsidR="00EE6093" w:rsidRPr="003E2B63">
              <w:rPr>
                <w:rFonts w:ascii="Rotis Sans Serif Std" w:hAnsi="Rotis Sans Serif Std" w:cs="RotisSansSerifStd-Regular"/>
                <w:b/>
                <w:color w:val="C00000"/>
                <w:lang w:eastAsia="es-ES"/>
              </w:rPr>
              <w:t xml:space="preserve"> i a nivell estatal </w:t>
            </w:r>
            <w:r w:rsidR="005B76F2">
              <w:rPr>
                <w:rFonts w:ascii="Rotis Sans Serif Std" w:hAnsi="Rotis Sans Serif Std" w:cs="RotisSansSerifStd-Regular"/>
                <w:b/>
                <w:color w:val="C00000"/>
                <w:lang w:eastAsia="es-ES"/>
              </w:rPr>
              <w:t>2.</w:t>
            </w:r>
            <w:r w:rsidR="005451BD">
              <w:rPr>
                <w:rFonts w:ascii="Rotis Sans Serif Std" w:hAnsi="Rotis Sans Serif Std" w:cs="RotisSansSerifStd-Regular"/>
                <w:b/>
                <w:color w:val="C00000"/>
                <w:lang w:eastAsia="es-ES"/>
              </w:rPr>
              <w:t>962</w:t>
            </w:r>
            <w:r>
              <w:rPr>
                <w:rFonts w:ascii="Rotis Sans Serif Std" w:hAnsi="Rotis Sans Serif Std" w:cs="RotisSansSerifStd-Regular"/>
                <w:b/>
                <w:color w:val="C00000"/>
                <w:lang w:eastAsia="es-ES"/>
              </w:rPr>
              <w:t xml:space="preserve"> </w:t>
            </w:r>
            <w:r w:rsidR="00EE6093" w:rsidRPr="003E2B63">
              <w:rPr>
                <w:rFonts w:ascii="Rotis Sans Serif Std" w:hAnsi="Rotis Sans Serif Std" w:cs="RotisSansSerifStd-Regular"/>
                <w:b/>
                <w:color w:val="C00000"/>
                <w:lang w:eastAsia="es-ES"/>
              </w:rPr>
              <w:t>Convenis</w:t>
            </w:r>
            <w:r w:rsidR="00754351">
              <w:rPr>
                <w:rFonts w:ascii="Rotis Sans Serif Std" w:hAnsi="Rotis Sans Serif Std" w:cs="RotisSansSerifStd-Regular"/>
                <w:b/>
                <w:color w:val="C00000"/>
                <w:lang w:eastAsia="es-ES"/>
              </w:rPr>
              <w:t xml:space="preserve"> (</w:t>
            </w:r>
            <w:r w:rsidR="006E4C78">
              <w:rPr>
                <w:rFonts w:ascii="Rotis Sans Serif Std" w:hAnsi="Rotis Sans Serif Std" w:cs="RotisSansSerifStd-Regular"/>
                <w:b/>
                <w:color w:val="C00000"/>
                <w:lang w:eastAsia="es-ES"/>
              </w:rPr>
              <w:t>+</w:t>
            </w:r>
            <w:r w:rsidR="005451BD">
              <w:rPr>
                <w:rFonts w:ascii="Rotis Sans Serif Std" w:hAnsi="Rotis Sans Serif Std" w:cs="RotisSansSerifStd-Regular"/>
                <w:b/>
                <w:color w:val="C00000"/>
                <w:lang w:eastAsia="es-ES"/>
              </w:rPr>
              <w:t>9,66</w:t>
            </w:r>
            <w:r>
              <w:rPr>
                <w:rFonts w:ascii="Rotis Sans Serif Std" w:hAnsi="Rotis Sans Serif Std" w:cs="RotisSansSerifStd-Regular"/>
                <w:b/>
                <w:color w:val="C00000"/>
                <w:lang w:eastAsia="es-ES"/>
              </w:rPr>
              <w:t>%)</w:t>
            </w:r>
            <w:r w:rsidR="00167AD2">
              <w:rPr>
                <w:rFonts w:ascii="Rotis Sans Serif Std" w:hAnsi="Rotis Sans Serif Std" w:cs="RotisSansSerifStd-Regular"/>
                <w:b/>
                <w:color w:val="C00000"/>
                <w:lang w:eastAsia="es-ES"/>
              </w:rPr>
              <w:t>.</w:t>
            </w:r>
          </w:p>
        </w:tc>
      </w:tr>
    </w:tbl>
    <w:p w:rsidR="00EE6093" w:rsidRPr="00B04FDF" w:rsidRDefault="00EE6093" w:rsidP="00EE6093">
      <w:pPr>
        <w:autoSpaceDE w:val="0"/>
        <w:autoSpaceDN w:val="0"/>
        <w:adjustRightInd w:val="0"/>
        <w:spacing w:line="276" w:lineRule="auto"/>
        <w:jc w:val="both"/>
        <w:rPr>
          <w:rFonts w:ascii="Rotis Sans Serif Std" w:hAnsi="Rotis Sans Serif Std" w:cs="RotisSansSerifStd-Regular"/>
          <w:color w:val="5E6061"/>
          <w:lang w:eastAsia="es-ES_tradnl"/>
        </w:rPr>
      </w:pPr>
      <w:r w:rsidRPr="00B04FDF">
        <w:rPr>
          <w:rFonts w:ascii="Rotis Sans Serif Std" w:hAnsi="Rotis Sans Serif Std" w:cs="RotisSansSerifStd-Regular"/>
          <w:color w:val="5E6061"/>
          <w:lang w:eastAsia="es-ES_tradnl"/>
        </w:rPr>
        <w:t xml:space="preserve">A Catalunya la mitjana de variació salarial pactada en </w:t>
      </w:r>
      <w:r w:rsidR="00C43D60">
        <w:rPr>
          <w:rFonts w:ascii="Rotis Sans Serif Std" w:hAnsi="Rotis Sans Serif Std" w:cs="RotisSansSerifStd-Regular"/>
          <w:color w:val="5E6061"/>
          <w:lang w:eastAsia="es-ES_tradnl"/>
        </w:rPr>
        <w:t>el global de Convenis és del 1,</w:t>
      </w:r>
      <w:r w:rsidR="005451BD">
        <w:rPr>
          <w:rFonts w:ascii="Rotis Sans Serif Std" w:hAnsi="Rotis Sans Serif Std" w:cs="RotisSansSerifStd-Regular"/>
          <w:color w:val="5E6061"/>
          <w:lang w:eastAsia="es-ES_tradnl"/>
        </w:rPr>
        <w:t>64</w:t>
      </w:r>
      <w:r w:rsidRPr="00B04FDF">
        <w:rPr>
          <w:rFonts w:ascii="Rotis Sans Serif Std" w:hAnsi="Rotis Sans Serif Std" w:cs="RotisSansSerifStd-Regular"/>
          <w:color w:val="5E6061"/>
          <w:lang w:eastAsia="es-ES_tradnl"/>
        </w:rPr>
        <w:t xml:space="preserve">%, sent del </w:t>
      </w:r>
      <w:r w:rsidR="005451BD">
        <w:rPr>
          <w:rFonts w:ascii="Rotis Sans Serif Std" w:hAnsi="Rotis Sans Serif Std" w:cs="RotisSansSerifStd-Regular"/>
          <w:color w:val="5E6061"/>
          <w:lang w:eastAsia="es-ES_tradnl"/>
        </w:rPr>
        <w:t>1,05</w:t>
      </w:r>
      <w:r w:rsidRPr="00B04FDF">
        <w:rPr>
          <w:rFonts w:ascii="Rotis Sans Serif Std" w:hAnsi="Rotis Sans Serif Std" w:cs="RotisSansSerifStd-Regular"/>
          <w:color w:val="5E6061"/>
          <w:lang w:eastAsia="es-ES_tradnl"/>
        </w:rPr>
        <w:t>% en els convenis d’empresa i del 1,</w:t>
      </w:r>
      <w:r w:rsidR="005B76F2">
        <w:rPr>
          <w:rFonts w:ascii="Rotis Sans Serif Std" w:hAnsi="Rotis Sans Serif Std" w:cs="RotisSansSerifStd-Regular"/>
          <w:color w:val="5E6061"/>
          <w:lang w:eastAsia="es-ES_tradnl"/>
        </w:rPr>
        <w:t>6</w:t>
      </w:r>
      <w:r w:rsidR="005451BD">
        <w:rPr>
          <w:rFonts w:ascii="Rotis Sans Serif Std" w:hAnsi="Rotis Sans Serif Std" w:cs="RotisSansSerifStd-Regular"/>
          <w:color w:val="5E6061"/>
          <w:lang w:eastAsia="es-ES_tradnl"/>
        </w:rPr>
        <w:t>7</w:t>
      </w:r>
      <w:r w:rsidRPr="00B04FDF">
        <w:rPr>
          <w:rFonts w:ascii="Rotis Sans Serif Std" w:hAnsi="Rotis Sans Serif Std" w:cs="RotisSansSerifStd-Regular"/>
          <w:color w:val="5E6061"/>
          <w:lang w:eastAsia="es-ES_tradnl"/>
        </w:rPr>
        <w:t>% en els convenis</w:t>
      </w:r>
      <w:r w:rsidR="00754351">
        <w:rPr>
          <w:rFonts w:ascii="Rotis Sans Serif Std" w:hAnsi="Rotis Sans Serif Std" w:cs="RotisSansSerifStd-Regular"/>
          <w:color w:val="5E6061"/>
          <w:lang w:eastAsia="es-ES_tradnl"/>
        </w:rPr>
        <w:t xml:space="preserve"> d’àmbit superior a l’empresa. A</w:t>
      </w:r>
      <w:r w:rsidRPr="00B04FDF">
        <w:rPr>
          <w:rFonts w:ascii="Rotis Sans Serif Std" w:hAnsi="Rotis Sans Serif Std" w:cs="RotisSansSerifStd-Regular"/>
          <w:color w:val="5E6061"/>
          <w:lang w:eastAsia="es-ES_tradnl"/>
        </w:rPr>
        <w:t xml:space="preserve"> Espanya la mitjana de la vari</w:t>
      </w:r>
      <w:r w:rsidR="00C43D60">
        <w:rPr>
          <w:rFonts w:ascii="Rotis Sans Serif Std" w:hAnsi="Rotis Sans Serif Std" w:cs="RotisSansSerifStd-Regular"/>
          <w:color w:val="5E6061"/>
          <w:lang w:eastAsia="es-ES_tradnl"/>
        </w:rPr>
        <w:t>ació salarial pactada és del 1,</w:t>
      </w:r>
      <w:r w:rsidR="005451BD">
        <w:rPr>
          <w:rFonts w:ascii="Rotis Sans Serif Std" w:hAnsi="Rotis Sans Serif Std" w:cs="RotisSansSerifStd-Regular"/>
          <w:color w:val="5E6061"/>
          <w:lang w:eastAsia="es-ES_tradnl"/>
        </w:rPr>
        <w:t>65</w:t>
      </w:r>
      <w:r w:rsidRPr="00B04FDF">
        <w:rPr>
          <w:rFonts w:ascii="Rotis Sans Serif Std" w:hAnsi="Rotis Sans Serif Std" w:cs="RotisSansSerifStd-Regular"/>
          <w:color w:val="5E6061"/>
          <w:lang w:eastAsia="es-ES_tradnl"/>
        </w:rPr>
        <w:t>% (</w:t>
      </w:r>
      <w:r w:rsidR="00C43D60">
        <w:rPr>
          <w:rFonts w:ascii="Rotis Sans Serif Std" w:hAnsi="Rotis Sans Serif Std" w:cs="RotisSansSerifStd-Regular"/>
          <w:color w:val="5E6061"/>
          <w:lang w:eastAsia="es-ES_tradnl"/>
        </w:rPr>
        <w:t>1,</w:t>
      </w:r>
      <w:r w:rsidR="005451BD">
        <w:rPr>
          <w:rFonts w:ascii="Rotis Sans Serif Std" w:hAnsi="Rotis Sans Serif Std" w:cs="RotisSansSerifStd-Regular"/>
          <w:color w:val="5E6061"/>
          <w:lang w:eastAsia="es-ES_tradnl"/>
        </w:rPr>
        <w:t>33</w:t>
      </w:r>
      <w:r w:rsidRPr="00B04FDF">
        <w:rPr>
          <w:rFonts w:ascii="Rotis Sans Serif Std" w:hAnsi="Rotis Sans Serif Std" w:cs="RotisSansSerifStd-Regular"/>
          <w:color w:val="5E6061"/>
          <w:lang w:eastAsia="es-ES_tradnl"/>
        </w:rPr>
        <w:t>% convenis d’empresa i 1</w:t>
      </w:r>
      <w:r w:rsidR="005B76F2">
        <w:rPr>
          <w:rFonts w:ascii="Rotis Sans Serif Std" w:hAnsi="Rotis Sans Serif Std" w:cs="RotisSansSerifStd-Regular"/>
          <w:color w:val="5E6061"/>
          <w:lang w:eastAsia="es-ES_tradnl"/>
        </w:rPr>
        <w:t>,</w:t>
      </w:r>
      <w:r w:rsidR="005451BD">
        <w:rPr>
          <w:rFonts w:ascii="Rotis Sans Serif Std" w:hAnsi="Rotis Sans Serif Std" w:cs="RotisSansSerifStd-Regular"/>
          <w:color w:val="5E6061"/>
          <w:lang w:eastAsia="es-ES_tradnl"/>
        </w:rPr>
        <w:t>68</w:t>
      </w:r>
      <w:r w:rsidRPr="00B04FDF">
        <w:rPr>
          <w:rFonts w:ascii="Rotis Sans Serif Std" w:hAnsi="Rotis Sans Serif Std" w:cs="RotisSansSerifStd-Regular"/>
          <w:color w:val="5E6061"/>
          <w:lang w:eastAsia="es-ES_tradnl"/>
        </w:rPr>
        <w:t xml:space="preserve">% d’àmbit superior a l’empresa). </w:t>
      </w:r>
    </w:p>
    <w:p w:rsidR="00EE6093" w:rsidRPr="00C87B5C" w:rsidRDefault="00EE6093" w:rsidP="00EE6093">
      <w:pPr>
        <w:autoSpaceDE w:val="0"/>
        <w:autoSpaceDN w:val="0"/>
        <w:adjustRightInd w:val="0"/>
        <w:spacing w:line="276" w:lineRule="auto"/>
        <w:jc w:val="both"/>
        <w:rPr>
          <w:rFonts w:ascii="Rotis Sans Serif Std" w:hAnsi="Rotis Sans Serif Std" w:cs="RotisSansSerifStd-Regular"/>
          <w:color w:val="5E6061"/>
          <w:sz w:val="22"/>
          <w:lang w:eastAsia="es-ES_tradnl"/>
        </w:rPr>
      </w:pPr>
    </w:p>
    <w:p w:rsidR="00EE6093" w:rsidRPr="00B04FDF" w:rsidRDefault="00EE6093" w:rsidP="00EE6093">
      <w:pPr>
        <w:autoSpaceDE w:val="0"/>
        <w:autoSpaceDN w:val="0"/>
        <w:adjustRightInd w:val="0"/>
        <w:spacing w:line="276" w:lineRule="auto"/>
        <w:jc w:val="both"/>
        <w:rPr>
          <w:rFonts w:ascii="Rotis Sans Serif Std" w:hAnsi="Rotis Sans Serif Std" w:cs="RotisSansSerifStd-Regular"/>
          <w:color w:val="5E6061"/>
          <w:lang w:eastAsia="es-ES_tradnl"/>
        </w:rPr>
      </w:pPr>
      <w:r w:rsidRPr="00B04FDF">
        <w:rPr>
          <w:rFonts w:ascii="Rotis Sans Serif Std" w:hAnsi="Rotis Sans Serif Std" w:cs="RotisSansSerifStd-Regular"/>
          <w:color w:val="5E6061"/>
          <w:lang w:eastAsia="es-ES_tradnl"/>
        </w:rPr>
        <w:t>En relació a la jornada anual mitjana pactada a Catalunya ha sigut de 1</w:t>
      </w:r>
      <w:r w:rsidR="005B76F2">
        <w:rPr>
          <w:rFonts w:ascii="Rotis Sans Serif Std" w:hAnsi="Rotis Sans Serif Std" w:cs="RotisSansSerifStd-Regular"/>
          <w:color w:val="5E6061"/>
          <w:lang w:eastAsia="es-ES_tradnl"/>
        </w:rPr>
        <w:t>.</w:t>
      </w:r>
      <w:r w:rsidR="005451BD">
        <w:rPr>
          <w:rFonts w:ascii="Rotis Sans Serif Std" w:hAnsi="Rotis Sans Serif Std" w:cs="RotisSansSerifStd-Regular"/>
          <w:color w:val="5E6061"/>
          <w:lang w:eastAsia="es-ES_tradnl"/>
        </w:rPr>
        <w:t>774,46</w:t>
      </w:r>
      <w:r w:rsidRPr="00B04FDF">
        <w:rPr>
          <w:rFonts w:ascii="Rotis Sans Serif Std" w:hAnsi="Rotis Sans Serif Std" w:cs="RotisSansSerifStd-Regular"/>
          <w:color w:val="5E6061"/>
          <w:lang w:eastAsia="es-ES_tradnl"/>
        </w:rPr>
        <w:t xml:space="preserve"> hores </w:t>
      </w:r>
      <w:r w:rsidR="00C43D60">
        <w:rPr>
          <w:rFonts w:ascii="Rotis Sans Serif Std" w:hAnsi="Rotis Sans Serif Std" w:cs="RotisSansSerifStd-Regular"/>
          <w:color w:val="5E6061"/>
          <w:lang w:eastAsia="es-ES_tradnl"/>
        </w:rPr>
        <w:t>i al conjunt de l’Estat de 1.</w:t>
      </w:r>
      <w:r w:rsidR="005451BD">
        <w:rPr>
          <w:rFonts w:ascii="Rotis Sans Serif Std" w:hAnsi="Rotis Sans Serif Std" w:cs="RotisSansSerifStd-Regular"/>
          <w:color w:val="5E6061"/>
          <w:lang w:eastAsia="es-ES_tradnl"/>
        </w:rPr>
        <w:t>743,50</w:t>
      </w:r>
      <w:r>
        <w:rPr>
          <w:rFonts w:ascii="Rotis Sans Serif Std" w:hAnsi="Rotis Sans Serif Std" w:cs="RotisSansSerifStd-Regular"/>
          <w:color w:val="5E6061"/>
          <w:lang w:eastAsia="es-ES_tradnl"/>
        </w:rPr>
        <w:t xml:space="preserve"> </w:t>
      </w:r>
      <w:r w:rsidRPr="00B04FDF">
        <w:rPr>
          <w:rFonts w:ascii="Rotis Sans Serif Std" w:hAnsi="Rotis Sans Serif Std" w:cs="RotisSansSerifStd-Regular"/>
          <w:color w:val="5E6061"/>
          <w:lang w:eastAsia="es-ES_tradnl"/>
        </w:rPr>
        <w:t xml:space="preserve">hores. </w:t>
      </w:r>
    </w:p>
    <w:p w:rsidR="00EE6093" w:rsidRPr="00C87B5C" w:rsidRDefault="00EE6093" w:rsidP="00EE6093">
      <w:pPr>
        <w:autoSpaceDE w:val="0"/>
        <w:autoSpaceDN w:val="0"/>
        <w:adjustRightInd w:val="0"/>
        <w:spacing w:line="276" w:lineRule="auto"/>
        <w:jc w:val="both"/>
        <w:rPr>
          <w:rFonts w:ascii="Rotis Sans Serif Std" w:hAnsi="Rotis Sans Serif Std" w:cs="RotisSansSerifStd-Regular"/>
          <w:color w:val="5E6061"/>
          <w:sz w:val="22"/>
          <w:lang w:eastAsia="es-ES_tradnl"/>
        </w:rPr>
      </w:pPr>
    </w:p>
    <w:p w:rsidR="00EE6093" w:rsidRDefault="006E4C78" w:rsidP="00EE6093">
      <w:pPr>
        <w:autoSpaceDE w:val="0"/>
        <w:autoSpaceDN w:val="0"/>
        <w:adjustRightInd w:val="0"/>
        <w:spacing w:line="276" w:lineRule="auto"/>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A</w:t>
      </w:r>
      <w:r w:rsidR="00EE6093" w:rsidRPr="00DD20C2">
        <w:rPr>
          <w:rFonts w:ascii="Rotis Sans Serif Std" w:hAnsi="Rotis Sans Serif Std" w:cs="RotisSansSerifStd-Regular"/>
          <w:color w:val="5E6061"/>
          <w:lang w:eastAsia="es-ES_tradnl"/>
        </w:rPr>
        <w:t xml:space="preserve"> </w:t>
      </w:r>
      <w:r w:rsidR="005B76F2">
        <w:rPr>
          <w:rFonts w:ascii="Rotis Sans Serif Std" w:hAnsi="Rotis Sans Serif Std" w:cs="RotisSansSerifStd-Regular"/>
          <w:color w:val="5E6061"/>
          <w:lang w:eastAsia="es-ES_tradnl"/>
        </w:rPr>
        <w:t xml:space="preserve">Catalunya a </w:t>
      </w:r>
      <w:r w:rsidR="00EE6093" w:rsidRPr="00DD20C2">
        <w:rPr>
          <w:rFonts w:ascii="Rotis Sans Serif Std" w:hAnsi="Rotis Sans Serif Std" w:cs="RotisSansSerifStd-Regular"/>
          <w:color w:val="5E6061"/>
          <w:lang w:eastAsia="es-ES_tradnl"/>
        </w:rPr>
        <w:t xml:space="preserve">nivell salarial </w:t>
      </w:r>
      <w:r>
        <w:rPr>
          <w:rFonts w:ascii="Rotis Sans Serif Std" w:hAnsi="Rotis Sans Serif Std" w:cs="RotisSansSerifStd-Regular"/>
          <w:color w:val="5E6061"/>
          <w:lang w:eastAsia="es-ES_tradnl"/>
        </w:rPr>
        <w:t>s’ha</w:t>
      </w:r>
      <w:r w:rsidR="00EE6093" w:rsidRPr="00DD20C2">
        <w:rPr>
          <w:rFonts w:ascii="Rotis Sans Serif Std" w:hAnsi="Rotis Sans Serif Std" w:cs="RotisSansSerifStd-Regular"/>
          <w:color w:val="5E6061"/>
          <w:lang w:eastAsia="es-ES_tradnl"/>
        </w:rPr>
        <w:t xml:space="preserve"> passat del </w:t>
      </w:r>
      <w:r w:rsidR="005451BD">
        <w:rPr>
          <w:rFonts w:ascii="Rotis Sans Serif Std" w:hAnsi="Rotis Sans Serif Std" w:cs="RotisSansSerifStd-Regular"/>
          <w:color w:val="5E6061"/>
          <w:lang w:eastAsia="es-ES_tradnl"/>
        </w:rPr>
        <w:t>1,38</w:t>
      </w:r>
      <w:r w:rsidR="00EE6093" w:rsidRPr="00DD20C2">
        <w:rPr>
          <w:rFonts w:ascii="Rotis Sans Serif Std" w:hAnsi="Rotis Sans Serif Std" w:cs="RotisSansSerifStd-Regular"/>
          <w:color w:val="5E6061"/>
          <w:lang w:eastAsia="es-ES_tradnl"/>
        </w:rPr>
        <w:t xml:space="preserve">% pactat </w:t>
      </w:r>
      <w:r w:rsidR="00090823">
        <w:rPr>
          <w:rFonts w:ascii="Rotis Sans Serif Std" w:hAnsi="Rotis Sans Serif Std" w:cs="RotisSansSerifStd-Regular"/>
          <w:color w:val="5E6061"/>
          <w:lang w:eastAsia="es-ES_tradnl"/>
        </w:rPr>
        <w:t>fins a</w:t>
      </w:r>
      <w:r w:rsidR="005451BD">
        <w:rPr>
          <w:rFonts w:ascii="Rotis Sans Serif Std" w:hAnsi="Rotis Sans Serif Std" w:cs="RotisSansSerifStd-Regular"/>
          <w:color w:val="5E6061"/>
          <w:lang w:eastAsia="es-ES_tradnl"/>
        </w:rPr>
        <w:t xml:space="preserve"> </w:t>
      </w:r>
      <w:r w:rsidR="00090823">
        <w:rPr>
          <w:rFonts w:ascii="Rotis Sans Serif Std" w:hAnsi="Rotis Sans Serif Std" w:cs="RotisSansSerifStd-Regular"/>
          <w:color w:val="5E6061"/>
          <w:lang w:eastAsia="es-ES_tradnl"/>
        </w:rPr>
        <w:t>l</w:t>
      </w:r>
      <w:r w:rsidR="005451BD">
        <w:rPr>
          <w:rFonts w:ascii="Rotis Sans Serif Std" w:hAnsi="Rotis Sans Serif Std" w:cs="RotisSansSerifStd-Regular"/>
          <w:color w:val="5E6061"/>
          <w:lang w:eastAsia="es-ES_tradnl"/>
        </w:rPr>
        <w:t>’agost</w:t>
      </w:r>
      <w:r w:rsidR="00090823">
        <w:rPr>
          <w:rFonts w:ascii="Rotis Sans Serif Std" w:hAnsi="Rotis Sans Serif Std" w:cs="RotisSansSerifStd-Regular"/>
          <w:color w:val="5E6061"/>
          <w:lang w:eastAsia="es-ES_tradnl"/>
        </w:rPr>
        <w:t xml:space="preserve"> de 201</w:t>
      </w:r>
      <w:r w:rsidR="005B76F2">
        <w:rPr>
          <w:rFonts w:ascii="Rotis Sans Serif Std" w:hAnsi="Rotis Sans Serif Std" w:cs="RotisSansSerifStd-Regular"/>
          <w:color w:val="5E6061"/>
          <w:lang w:eastAsia="es-ES_tradnl"/>
        </w:rPr>
        <w:t>7</w:t>
      </w:r>
      <w:r w:rsidR="00EE6093" w:rsidRPr="00DD20C2">
        <w:rPr>
          <w:rFonts w:ascii="Rotis Sans Serif Std" w:hAnsi="Rotis Sans Serif Std" w:cs="RotisSansSerifStd-Regular"/>
          <w:color w:val="5E6061"/>
          <w:lang w:eastAsia="es-ES_tradnl"/>
        </w:rPr>
        <w:t xml:space="preserve"> al 1,</w:t>
      </w:r>
      <w:r w:rsidR="005451BD">
        <w:rPr>
          <w:rFonts w:ascii="Rotis Sans Serif Std" w:hAnsi="Rotis Sans Serif Std" w:cs="RotisSansSerifStd-Regular"/>
          <w:color w:val="5E6061"/>
          <w:lang w:eastAsia="es-ES_tradnl"/>
        </w:rPr>
        <w:t>64</w:t>
      </w:r>
      <w:r w:rsidR="00090823">
        <w:rPr>
          <w:rFonts w:ascii="Rotis Sans Serif Std" w:hAnsi="Rotis Sans Serif Std" w:cs="RotisSansSerifStd-Regular"/>
          <w:color w:val="5E6061"/>
          <w:lang w:eastAsia="es-ES_tradnl"/>
        </w:rPr>
        <w:t>% pactat en 201</w:t>
      </w:r>
      <w:r w:rsidR="005B76F2">
        <w:rPr>
          <w:rFonts w:ascii="Rotis Sans Serif Std" w:hAnsi="Rotis Sans Serif Std" w:cs="RotisSansSerifStd-Regular"/>
          <w:color w:val="5E6061"/>
          <w:lang w:eastAsia="es-ES_tradnl"/>
        </w:rPr>
        <w:t>8</w:t>
      </w:r>
      <w:r w:rsidR="00EE6093" w:rsidRPr="00DD20C2">
        <w:rPr>
          <w:rFonts w:ascii="Rotis Sans Serif Std" w:hAnsi="Rotis Sans Serif Std" w:cs="RotisSansSerifStd-Regular"/>
          <w:color w:val="5E6061"/>
          <w:lang w:eastAsia="es-ES_tradnl"/>
        </w:rPr>
        <w:t xml:space="preserve">, que suposa una variació d’un </w:t>
      </w:r>
      <w:r w:rsidR="005451BD">
        <w:rPr>
          <w:rFonts w:ascii="Rotis Sans Serif Std" w:hAnsi="Rotis Sans Serif Std" w:cs="RotisSansSerifStd-Regular"/>
          <w:color w:val="5E6061"/>
          <w:lang w:eastAsia="es-ES_tradnl"/>
        </w:rPr>
        <w:t>18,84</w:t>
      </w:r>
      <w:r w:rsidR="00EE6093" w:rsidRPr="00DD20C2">
        <w:rPr>
          <w:rFonts w:ascii="Rotis Sans Serif Std" w:hAnsi="Rotis Sans Serif Std" w:cs="RotisSansSerifStd-Regular"/>
          <w:color w:val="5E6061"/>
          <w:lang w:eastAsia="es-ES_tradnl"/>
        </w:rPr>
        <w:t>%, i en relació a la jornada aquesta s’ha</w:t>
      </w:r>
      <w:r w:rsidR="00090823">
        <w:rPr>
          <w:rFonts w:ascii="Rotis Sans Serif Std" w:hAnsi="Rotis Sans Serif Std" w:cs="RotisSansSerifStd-Regular"/>
          <w:color w:val="5E6061"/>
          <w:lang w:eastAsia="es-ES_tradnl"/>
        </w:rPr>
        <w:t xml:space="preserve"> </w:t>
      </w:r>
      <w:r w:rsidR="005451BD">
        <w:rPr>
          <w:rFonts w:ascii="Rotis Sans Serif Std" w:hAnsi="Rotis Sans Serif Std" w:cs="RotisSansSerifStd-Regular"/>
          <w:color w:val="5E6061"/>
          <w:lang w:eastAsia="es-ES_tradnl"/>
        </w:rPr>
        <w:t>incrementat</w:t>
      </w:r>
      <w:r w:rsidR="00090823">
        <w:rPr>
          <w:rFonts w:ascii="Rotis Sans Serif Std" w:hAnsi="Rotis Sans Serif Std" w:cs="RotisSansSerifStd-Regular"/>
          <w:color w:val="5E6061"/>
          <w:lang w:eastAsia="es-ES_tradnl"/>
        </w:rPr>
        <w:t xml:space="preserve"> en un </w:t>
      </w:r>
      <w:r w:rsidR="005451BD">
        <w:rPr>
          <w:rFonts w:ascii="Rotis Sans Serif Std" w:hAnsi="Rotis Sans Serif Std" w:cs="RotisSansSerifStd-Regular"/>
          <w:color w:val="5E6061"/>
          <w:lang w:eastAsia="es-ES_tradnl"/>
        </w:rPr>
        <w:t>3,23</w:t>
      </w:r>
      <w:r w:rsidR="00090823">
        <w:rPr>
          <w:rFonts w:ascii="Rotis Sans Serif Std" w:hAnsi="Rotis Sans Serif Std" w:cs="RotisSansSerifStd-Regular"/>
          <w:color w:val="5E6061"/>
          <w:lang w:eastAsia="es-ES_tradnl"/>
        </w:rPr>
        <w:t xml:space="preserve">%. </w:t>
      </w:r>
      <w:r w:rsidR="00EE6093" w:rsidRPr="00DD20C2">
        <w:rPr>
          <w:rFonts w:ascii="Rotis Sans Serif Std" w:hAnsi="Rotis Sans Serif Std" w:cs="RotisSansSerifStd-Regular"/>
          <w:color w:val="5E6061"/>
          <w:lang w:eastAsia="es-ES_tradnl"/>
        </w:rPr>
        <w:t xml:space="preserve"> </w:t>
      </w:r>
    </w:p>
    <w:p w:rsidR="00090823" w:rsidRDefault="00090823" w:rsidP="00EE6093">
      <w:pPr>
        <w:autoSpaceDE w:val="0"/>
        <w:autoSpaceDN w:val="0"/>
        <w:adjustRightInd w:val="0"/>
        <w:spacing w:line="276" w:lineRule="auto"/>
        <w:jc w:val="both"/>
        <w:rPr>
          <w:rFonts w:ascii="Rotis Sans Serif Std" w:hAnsi="Rotis Sans Serif Std" w:cs="RotisSansSerifStd-Regular"/>
          <w:color w:val="5E6061"/>
          <w:lang w:eastAsia="es-ES_tradn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222"/>
      </w:tblGrid>
      <w:tr w:rsidR="00EE6093" w:rsidRPr="000844D1" w:rsidTr="00754351">
        <w:trPr>
          <w:trHeight w:val="1290"/>
          <w:jc w:val="center"/>
        </w:trPr>
        <w:tc>
          <w:tcPr>
            <w:tcW w:w="5222" w:type="dxa"/>
            <w:shd w:val="clear" w:color="auto" w:fill="FFFFFF"/>
            <w:vAlign w:val="center"/>
          </w:tcPr>
          <w:p w:rsidR="00EE6093" w:rsidRPr="003E2B63" w:rsidRDefault="00EE6093" w:rsidP="006A4EC7">
            <w:pPr>
              <w:autoSpaceDE w:val="0"/>
              <w:autoSpaceDN w:val="0"/>
              <w:adjustRightInd w:val="0"/>
              <w:spacing w:line="276" w:lineRule="auto"/>
              <w:jc w:val="center"/>
              <w:rPr>
                <w:rFonts w:ascii="Rotis Sans Serif Std" w:hAnsi="Rotis Sans Serif Std" w:cs="RotisSansSerifStd-Regular"/>
                <w:b/>
                <w:color w:val="C00000"/>
                <w:lang w:eastAsia="es-ES"/>
              </w:rPr>
            </w:pPr>
            <w:r w:rsidRPr="003E2B63">
              <w:rPr>
                <w:rFonts w:ascii="Rotis Sans Serif Std" w:hAnsi="Rotis Sans Serif Std" w:cs="RotisSansSerifStd-Regular"/>
                <w:b/>
                <w:color w:val="C00000"/>
                <w:lang w:eastAsia="es-ES"/>
              </w:rPr>
              <w:t>A Catalunya la mitjana de variació salarial pactada</w:t>
            </w:r>
          </w:p>
          <w:p w:rsidR="00EE6093" w:rsidRPr="003E2B63" w:rsidRDefault="00EE6093" w:rsidP="006A4EC7">
            <w:pPr>
              <w:autoSpaceDE w:val="0"/>
              <w:autoSpaceDN w:val="0"/>
              <w:adjustRightInd w:val="0"/>
              <w:spacing w:line="276" w:lineRule="auto"/>
              <w:jc w:val="center"/>
              <w:rPr>
                <w:rFonts w:ascii="Rotis Sans Serif Std" w:hAnsi="Rotis Sans Serif Std" w:cs="RotisSansSerifStd-Regular"/>
                <w:b/>
                <w:color w:val="C00000"/>
                <w:lang w:eastAsia="es-ES"/>
              </w:rPr>
            </w:pPr>
            <w:r w:rsidRPr="003E2B63">
              <w:rPr>
                <w:rFonts w:ascii="Rotis Sans Serif Std" w:hAnsi="Rotis Sans Serif Std" w:cs="RotisSansSerifStd-Regular"/>
                <w:b/>
                <w:color w:val="C00000"/>
                <w:lang w:eastAsia="es-ES"/>
              </w:rPr>
              <w:t>ha sigut de</w:t>
            </w:r>
            <w:r>
              <w:rPr>
                <w:rFonts w:ascii="Rotis Sans Serif Std" w:hAnsi="Rotis Sans Serif Std" w:cs="RotisSansSerifStd-Regular"/>
                <w:b/>
                <w:color w:val="C00000"/>
                <w:lang w:eastAsia="es-ES"/>
              </w:rPr>
              <w:t>l</w:t>
            </w:r>
            <w:r w:rsidRPr="003E2B63">
              <w:rPr>
                <w:rFonts w:ascii="Rotis Sans Serif Std" w:hAnsi="Rotis Sans Serif Std" w:cs="RotisSansSerifStd-Regular"/>
                <w:b/>
                <w:color w:val="C00000"/>
                <w:lang w:eastAsia="es-ES"/>
              </w:rPr>
              <w:t xml:space="preserve"> 1,</w:t>
            </w:r>
            <w:r w:rsidR="005451BD">
              <w:rPr>
                <w:rFonts w:ascii="Rotis Sans Serif Std" w:hAnsi="Rotis Sans Serif Std" w:cs="RotisSansSerifStd-Regular"/>
                <w:b/>
                <w:color w:val="C00000"/>
                <w:lang w:eastAsia="es-ES"/>
              </w:rPr>
              <w:t>64</w:t>
            </w:r>
            <w:r w:rsidRPr="003E2B63">
              <w:rPr>
                <w:rFonts w:ascii="Rotis Sans Serif Std" w:hAnsi="Rotis Sans Serif Std" w:cs="RotisSansSerifStd-Regular"/>
                <w:b/>
                <w:color w:val="C00000"/>
                <w:lang w:eastAsia="es-ES"/>
              </w:rPr>
              <w:t>%</w:t>
            </w:r>
            <w:r>
              <w:rPr>
                <w:rFonts w:ascii="Rotis Sans Serif Std" w:hAnsi="Rotis Sans Serif Std" w:cs="RotisSansSerifStd-Regular"/>
                <w:b/>
                <w:color w:val="C00000"/>
                <w:lang w:eastAsia="es-ES"/>
              </w:rPr>
              <w:t xml:space="preserve"> (+</w:t>
            </w:r>
            <w:r w:rsidR="005451BD">
              <w:rPr>
                <w:rFonts w:ascii="Rotis Sans Serif Std" w:hAnsi="Rotis Sans Serif Std" w:cs="RotisSansSerifStd-Regular"/>
                <w:b/>
                <w:color w:val="C00000"/>
                <w:lang w:eastAsia="es-ES"/>
              </w:rPr>
              <w:t>18,84</w:t>
            </w:r>
            <w:r>
              <w:rPr>
                <w:rFonts w:ascii="Rotis Sans Serif Std" w:hAnsi="Rotis Sans Serif Std" w:cs="RotisSansSerifStd-Regular"/>
                <w:b/>
                <w:color w:val="C00000"/>
                <w:lang w:eastAsia="es-ES"/>
              </w:rPr>
              <w:t>%)</w:t>
            </w:r>
            <w:r w:rsidRPr="003E2B63">
              <w:rPr>
                <w:rFonts w:ascii="Rotis Sans Serif Std" w:hAnsi="Rotis Sans Serif Std" w:cs="RotisSansSerifStd-Regular"/>
                <w:b/>
                <w:color w:val="C00000"/>
                <w:lang w:eastAsia="es-ES"/>
              </w:rPr>
              <w:t xml:space="preserve">, </w:t>
            </w:r>
          </w:p>
          <w:p w:rsidR="00EE6093" w:rsidRPr="003E2B63" w:rsidRDefault="00EE6093" w:rsidP="005451BD">
            <w:pPr>
              <w:autoSpaceDE w:val="0"/>
              <w:autoSpaceDN w:val="0"/>
              <w:adjustRightInd w:val="0"/>
              <w:spacing w:line="276" w:lineRule="auto"/>
              <w:jc w:val="center"/>
              <w:rPr>
                <w:rFonts w:ascii="Rotis Sans Serif Std" w:hAnsi="Rotis Sans Serif Std" w:cs="RotisSansSerifStd-Regular"/>
                <w:b/>
                <w:color w:val="C00000"/>
                <w:lang w:eastAsia="es-ES"/>
              </w:rPr>
            </w:pPr>
            <w:r w:rsidRPr="003E2B63">
              <w:rPr>
                <w:rFonts w:ascii="Rotis Sans Serif Std" w:hAnsi="Rotis Sans Serif Std" w:cs="RotisSansSerifStd-Regular"/>
                <w:b/>
                <w:color w:val="C00000"/>
                <w:lang w:eastAsia="es-ES"/>
              </w:rPr>
              <w:t>i a Espanya la mitjana de la variació salarial pactada és del 1,</w:t>
            </w:r>
            <w:r w:rsidR="005451BD">
              <w:rPr>
                <w:rFonts w:ascii="Rotis Sans Serif Std" w:hAnsi="Rotis Sans Serif Std" w:cs="RotisSansSerifStd-Regular"/>
                <w:b/>
                <w:color w:val="C00000"/>
                <w:lang w:eastAsia="es-ES"/>
              </w:rPr>
              <w:t>65</w:t>
            </w:r>
            <w:r w:rsidRPr="003E2B63">
              <w:rPr>
                <w:rFonts w:ascii="Rotis Sans Serif Std" w:hAnsi="Rotis Sans Serif Std" w:cs="RotisSansSerifStd-Regular"/>
                <w:b/>
                <w:color w:val="C00000"/>
                <w:lang w:eastAsia="es-ES"/>
              </w:rPr>
              <w:t>%</w:t>
            </w:r>
            <w:r>
              <w:rPr>
                <w:rFonts w:ascii="Rotis Sans Serif Std" w:hAnsi="Rotis Sans Serif Std" w:cs="RotisSansSerifStd-Regular"/>
                <w:b/>
                <w:color w:val="C00000"/>
                <w:lang w:eastAsia="es-ES"/>
              </w:rPr>
              <w:t xml:space="preserve"> (+</w:t>
            </w:r>
            <w:r w:rsidR="005451BD">
              <w:rPr>
                <w:rFonts w:ascii="Rotis Sans Serif Std" w:hAnsi="Rotis Sans Serif Std" w:cs="RotisSansSerifStd-Regular"/>
                <w:b/>
                <w:color w:val="C00000"/>
                <w:lang w:eastAsia="es-ES"/>
              </w:rPr>
              <w:t>24,06</w:t>
            </w:r>
            <w:r>
              <w:rPr>
                <w:rFonts w:ascii="Rotis Sans Serif Std" w:hAnsi="Rotis Sans Serif Std" w:cs="RotisSansSerifStd-Regular"/>
                <w:b/>
                <w:color w:val="C00000"/>
                <w:lang w:eastAsia="es-ES"/>
              </w:rPr>
              <w:t>%)</w:t>
            </w:r>
            <w:r w:rsidRPr="003E2B63">
              <w:rPr>
                <w:rFonts w:ascii="Rotis Sans Serif Std" w:hAnsi="Rotis Sans Serif Std" w:cs="RotisSansSerifStd-Regular"/>
                <w:b/>
                <w:color w:val="C00000"/>
                <w:lang w:eastAsia="es-ES"/>
              </w:rPr>
              <w:t>.</w:t>
            </w:r>
          </w:p>
        </w:tc>
      </w:tr>
    </w:tbl>
    <w:p w:rsidR="006534D6" w:rsidRDefault="006534D6" w:rsidP="006E4C78">
      <w:pPr>
        <w:autoSpaceDE w:val="0"/>
        <w:autoSpaceDN w:val="0"/>
        <w:adjustRightInd w:val="0"/>
        <w:spacing w:line="276" w:lineRule="auto"/>
        <w:rPr>
          <w:rFonts w:ascii="Rotis Sans Serif Std" w:hAnsi="Rotis Sans Serif Std" w:cs="RotisSansSerifStd-Regular"/>
          <w:color w:val="5E6061"/>
          <w:lang w:eastAsia="es-ES_tradnl"/>
        </w:rPr>
      </w:pPr>
    </w:p>
    <w:p w:rsidR="00EE6093" w:rsidRPr="0038789C" w:rsidRDefault="00EE6093" w:rsidP="00AB0BAA">
      <w:pPr>
        <w:pStyle w:val="Prrafodelista"/>
        <w:numPr>
          <w:ilvl w:val="0"/>
          <w:numId w:val="5"/>
        </w:numPr>
        <w:autoSpaceDE w:val="0"/>
        <w:autoSpaceDN w:val="0"/>
        <w:adjustRightInd w:val="0"/>
        <w:spacing w:line="276" w:lineRule="auto"/>
        <w:jc w:val="both"/>
        <w:rPr>
          <w:rFonts w:ascii="Rotis Sans Serif Std ExtraBold" w:hAnsi="Rotis Sans Serif Std ExtraBold" w:cs="RotisSansSerifStd-Regular"/>
          <w:b/>
          <w:color w:val="C1002B"/>
          <w:szCs w:val="40"/>
          <w:u w:val="single"/>
          <w:lang w:eastAsia="es-ES_tradnl"/>
        </w:rPr>
      </w:pPr>
      <w:r>
        <w:rPr>
          <w:rFonts w:ascii="Rotis Sans Serif Std ExtraBold" w:hAnsi="Rotis Sans Serif Std ExtraBold" w:cs="RotisSansSerifStd-Regular"/>
          <w:b/>
          <w:color w:val="C1002B"/>
          <w:szCs w:val="40"/>
          <w:u w:val="single"/>
          <w:lang w:eastAsia="es-ES_tradnl"/>
        </w:rPr>
        <w:t>Inaplicacions de Conveni</w:t>
      </w:r>
    </w:p>
    <w:p w:rsidR="00EE6093" w:rsidRDefault="00EE6093" w:rsidP="00EE6093">
      <w:pPr>
        <w:autoSpaceDE w:val="0"/>
        <w:autoSpaceDN w:val="0"/>
        <w:adjustRightInd w:val="0"/>
        <w:spacing w:line="276" w:lineRule="auto"/>
        <w:jc w:val="both"/>
        <w:rPr>
          <w:rFonts w:ascii="Rotis Sans Serif Std" w:hAnsi="Rotis Sans Serif Std" w:cs="RotisSansSerifStd-Regular"/>
          <w:color w:val="5E6061"/>
          <w:lang w:eastAsia="es-ES_tradnl"/>
        </w:rPr>
      </w:pPr>
    </w:p>
    <w:p w:rsidR="00EE6093" w:rsidRPr="00EA5418" w:rsidRDefault="00EE6093" w:rsidP="00EE6093">
      <w:pPr>
        <w:pStyle w:val="TEXTBOLD"/>
        <w:spacing w:line="276" w:lineRule="auto"/>
        <w:rPr>
          <w:b w:val="0"/>
          <w:sz w:val="24"/>
          <w:szCs w:val="24"/>
          <w:lang w:val="ca-ES"/>
        </w:rPr>
      </w:pPr>
      <w:r w:rsidRPr="00EA5418">
        <w:rPr>
          <w:b w:val="0"/>
          <w:sz w:val="24"/>
          <w:szCs w:val="24"/>
          <w:lang w:val="ca-ES"/>
        </w:rPr>
        <w:t xml:space="preserve">De gener a </w:t>
      </w:r>
      <w:r w:rsidR="00847126">
        <w:rPr>
          <w:b w:val="0"/>
          <w:sz w:val="24"/>
          <w:szCs w:val="24"/>
          <w:lang w:val="ca-ES"/>
        </w:rPr>
        <w:t>agost</w:t>
      </w:r>
      <w:r>
        <w:rPr>
          <w:b w:val="0"/>
          <w:sz w:val="24"/>
          <w:szCs w:val="24"/>
          <w:lang w:val="ca-ES"/>
        </w:rPr>
        <w:t xml:space="preserve"> de 201</w:t>
      </w:r>
      <w:r w:rsidR="005B76F2">
        <w:rPr>
          <w:b w:val="0"/>
          <w:sz w:val="24"/>
          <w:szCs w:val="24"/>
          <w:lang w:val="ca-ES"/>
        </w:rPr>
        <w:t>8</w:t>
      </w:r>
      <w:r w:rsidRPr="00EA5418">
        <w:rPr>
          <w:b w:val="0"/>
          <w:sz w:val="24"/>
          <w:szCs w:val="24"/>
          <w:lang w:val="ca-ES"/>
        </w:rPr>
        <w:t xml:space="preserve"> s’han di</w:t>
      </w:r>
      <w:r>
        <w:rPr>
          <w:b w:val="0"/>
          <w:sz w:val="24"/>
          <w:szCs w:val="24"/>
          <w:lang w:val="ca-ES"/>
        </w:rPr>
        <w:t xml:space="preserve">positat </w:t>
      </w:r>
      <w:r w:rsidR="00847126">
        <w:rPr>
          <w:b w:val="0"/>
          <w:sz w:val="24"/>
          <w:szCs w:val="24"/>
          <w:lang w:val="ca-ES"/>
        </w:rPr>
        <w:t>711</w:t>
      </w:r>
      <w:r>
        <w:rPr>
          <w:b w:val="0"/>
          <w:sz w:val="24"/>
          <w:szCs w:val="24"/>
          <w:lang w:val="ca-ES"/>
        </w:rPr>
        <w:t xml:space="preserve"> </w:t>
      </w:r>
      <w:r w:rsidRPr="00EA5418">
        <w:rPr>
          <w:b w:val="0"/>
          <w:sz w:val="24"/>
          <w:szCs w:val="24"/>
          <w:lang w:val="ca-ES"/>
        </w:rPr>
        <w:t>inaplicacions de conveni</w:t>
      </w:r>
      <w:r>
        <w:rPr>
          <w:b w:val="0"/>
          <w:sz w:val="24"/>
          <w:szCs w:val="24"/>
          <w:lang w:val="ca-ES"/>
        </w:rPr>
        <w:t xml:space="preserve"> (un -</w:t>
      </w:r>
      <w:r w:rsidR="00847126">
        <w:rPr>
          <w:b w:val="0"/>
          <w:sz w:val="24"/>
          <w:szCs w:val="24"/>
          <w:lang w:val="ca-ES"/>
        </w:rPr>
        <w:t>6,69</w:t>
      </w:r>
      <w:r w:rsidRPr="00EA5418">
        <w:rPr>
          <w:b w:val="0"/>
          <w:sz w:val="24"/>
          <w:szCs w:val="24"/>
          <w:lang w:val="ca-ES"/>
        </w:rPr>
        <w:t>% respecte el mateix període de l’any 201</w:t>
      </w:r>
      <w:r w:rsidR="005B76F2">
        <w:rPr>
          <w:b w:val="0"/>
          <w:sz w:val="24"/>
          <w:szCs w:val="24"/>
          <w:lang w:val="ca-ES"/>
        </w:rPr>
        <w:t>7</w:t>
      </w:r>
      <w:r w:rsidRPr="00EA5418">
        <w:rPr>
          <w:b w:val="0"/>
          <w:sz w:val="24"/>
          <w:szCs w:val="24"/>
          <w:lang w:val="ca-ES"/>
        </w:rPr>
        <w:t xml:space="preserve">), </w:t>
      </w:r>
      <w:r>
        <w:rPr>
          <w:b w:val="0"/>
          <w:sz w:val="24"/>
          <w:szCs w:val="24"/>
          <w:lang w:val="ca-ES"/>
        </w:rPr>
        <w:t>l</w:t>
      </w:r>
      <w:r w:rsidRPr="00EA5418">
        <w:rPr>
          <w:b w:val="0"/>
          <w:sz w:val="24"/>
          <w:szCs w:val="24"/>
          <w:lang w:val="ca-ES"/>
        </w:rPr>
        <w:t xml:space="preserve">es quals han estat presentades per </w:t>
      </w:r>
      <w:r w:rsidR="00847126">
        <w:rPr>
          <w:b w:val="0"/>
          <w:sz w:val="24"/>
          <w:szCs w:val="24"/>
          <w:lang w:val="ca-ES"/>
        </w:rPr>
        <w:t xml:space="preserve">649 </w:t>
      </w:r>
      <w:r w:rsidRPr="00EA5418">
        <w:rPr>
          <w:b w:val="0"/>
          <w:sz w:val="24"/>
          <w:szCs w:val="24"/>
          <w:lang w:val="ca-ES"/>
        </w:rPr>
        <w:t>empreses</w:t>
      </w:r>
      <w:r w:rsidR="005B76F2">
        <w:rPr>
          <w:b w:val="0"/>
          <w:sz w:val="24"/>
          <w:szCs w:val="24"/>
          <w:lang w:val="ca-ES"/>
        </w:rPr>
        <w:t xml:space="preserve"> (-</w:t>
      </w:r>
      <w:r w:rsidR="00847126">
        <w:rPr>
          <w:b w:val="0"/>
          <w:sz w:val="24"/>
          <w:szCs w:val="24"/>
          <w:lang w:val="ca-ES"/>
        </w:rPr>
        <w:t>8,72</w:t>
      </w:r>
      <w:r w:rsidR="005B76F2">
        <w:rPr>
          <w:b w:val="0"/>
          <w:sz w:val="24"/>
          <w:szCs w:val="24"/>
          <w:lang w:val="ca-ES"/>
        </w:rPr>
        <w:t>% respecte el mateix període de l’any anterior)</w:t>
      </w:r>
      <w:r w:rsidR="00090823">
        <w:rPr>
          <w:b w:val="0"/>
          <w:sz w:val="24"/>
          <w:szCs w:val="24"/>
          <w:lang w:val="ca-ES"/>
        </w:rPr>
        <w:t xml:space="preserve">, i han afectat a un total de </w:t>
      </w:r>
      <w:r w:rsidR="00847126">
        <w:rPr>
          <w:b w:val="0"/>
          <w:sz w:val="24"/>
          <w:szCs w:val="24"/>
          <w:lang w:val="ca-ES"/>
        </w:rPr>
        <w:t>12.398</w:t>
      </w:r>
      <w:r>
        <w:rPr>
          <w:b w:val="0"/>
          <w:sz w:val="24"/>
          <w:szCs w:val="24"/>
          <w:lang w:val="ca-ES"/>
        </w:rPr>
        <w:t xml:space="preserve"> </w:t>
      </w:r>
      <w:r w:rsidRPr="00EA5418">
        <w:rPr>
          <w:b w:val="0"/>
          <w:sz w:val="24"/>
          <w:szCs w:val="24"/>
          <w:lang w:val="ca-ES"/>
        </w:rPr>
        <w:t>treballadors</w:t>
      </w:r>
      <w:r w:rsidR="00090823">
        <w:rPr>
          <w:b w:val="0"/>
          <w:sz w:val="24"/>
          <w:szCs w:val="24"/>
          <w:lang w:val="ca-ES"/>
        </w:rPr>
        <w:t xml:space="preserve"> (-</w:t>
      </w:r>
      <w:r w:rsidR="00847126">
        <w:rPr>
          <w:b w:val="0"/>
          <w:sz w:val="24"/>
          <w:szCs w:val="24"/>
          <w:lang w:val="ca-ES"/>
        </w:rPr>
        <w:t>16,30</w:t>
      </w:r>
      <w:r>
        <w:rPr>
          <w:b w:val="0"/>
          <w:sz w:val="24"/>
          <w:szCs w:val="24"/>
          <w:lang w:val="ca-ES"/>
        </w:rPr>
        <w:t>% re</w:t>
      </w:r>
      <w:r w:rsidR="00090823">
        <w:rPr>
          <w:b w:val="0"/>
          <w:sz w:val="24"/>
          <w:szCs w:val="24"/>
          <w:lang w:val="ca-ES"/>
        </w:rPr>
        <w:t>specte el mateix període de 201</w:t>
      </w:r>
      <w:r w:rsidR="005B76F2">
        <w:rPr>
          <w:b w:val="0"/>
          <w:sz w:val="24"/>
          <w:szCs w:val="24"/>
          <w:lang w:val="ca-ES"/>
        </w:rPr>
        <w:t>7</w:t>
      </w:r>
      <w:r>
        <w:rPr>
          <w:b w:val="0"/>
          <w:sz w:val="24"/>
          <w:szCs w:val="24"/>
          <w:lang w:val="ca-ES"/>
        </w:rPr>
        <w:t>)</w:t>
      </w:r>
      <w:r w:rsidRPr="00EA5418">
        <w:rPr>
          <w:b w:val="0"/>
          <w:sz w:val="24"/>
          <w:szCs w:val="24"/>
          <w:lang w:val="ca-ES"/>
        </w:rPr>
        <w:t xml:space="preserve">. Per sector d’activitat, </w:t>
      </w:r>
      <w:r>
        <w:rPr>
          <w:b w:val="0"/>
          <w:sz w:val="24"/>
          <w:szCs w:val="24"/>
          <w:lang w:val="ca-ES"/>
        </w:rPr>
        <w:t xml:space="preserve">el </w:t>
      </w:r>
      <w:r w:rsidR="00847126">
        <w:rPr>
          <w:b w:val="0"/>
          <w:sz w:val="24"/>
          <w:szCs w:val="24"/>
          <w:lang w:val="ca-ES"/>
        </w:rPr>
        <w:t>74,54</w:t>
      </w:r>
      <w:r>
        <w:rPr>
          <w:b w:val="0"/>
          <w:sz w:val="24"/>
          <w:szCs w:val="24"/>
          <w:lang w:val="ca-ES"/>
        </w:rPr>
        <w:t xml:space="preserve">% de les inaplicacions presentades han sigut en el sector serveis. </w:t>
      </w:r>
    </w:p>
    <w:p w:rsidR="00EE6093" w:rsidRDefault="00EE6093" w:rsidP="00EE6093">
      <w:pPr>
        <w:autoSpaceDE w:val="0"/>
        <w:autoSpaceDN w:val="0"/>
        <w:adjustRightInd w:val="0"/>
        <w:spacing w:line="276" w:lineRule="auto"/>
        <w:jc w:val="both"/>
        <w:rPr>
          <w:rFonts w:ascii="Rotis Sans Serif Std" w:hAnsi="Rotis Sans Serif Std" w:cs="RotisSansSerifStd-Regular"/>
          <w:color w:val="5E6061"/>
          <w:lang w:eastAsia="es-ES_tradnl"/>
        </w:rPr>
      </w:pPr>
    </w:p>
    <w:p w:rsidR="00EE6093" w:rsidRDefault="00EE6093" w:rsidP="00EE6093">
      <w:pPr>
        <w:pStyle w:val="TEXTBOLD"/>
        <w:spacing w:line="276" w:lineRule="auto"/>
        <w:rPr>
          <w:b w:val="0"/>
          <w:sz w:val="24"/>
          <w:lang w:val="ca-ES"/>
        </w:rPr>
      </w:pPr>
      <w:r w:rsidRPr="00EA5418">
        <w:rPr>
          <w:b w:val="0"/>
          <w:sz w:val="24"/>
          <w:lang w:val="ca-ES"/>
        </w:rPr>
        <w:t xml:space="preserve">Pel que fa a les </w:t>
      </w:r>
      <w:r w:rsidRPr="00D86BFA">
        <w:rPr>
          <w:b w:val="0"/>
          <w:sz w:val="24"/>
          <w:u w:val="single"/>
          <w:lang w:val="ca-ES"/>
        </w:rPr>
        <w:t>condicions de treball inaplicades</w:t>
      </w:r>
      <w:r w:rsidRPr="00EA5418">
        <w:rPr>
          <w:b w:val="0"/>
          <w:sz w:val="24"/>
          <w:lang w:val="ca-ES"/>
        </w:rPr>
        <w:t xml:space="preserve">, el </w:t>
      </w:r>
      <w:r w:rsidR="00236A0F">
        <w:rPr>
          <w:b w:val="0"/>
          <w:sz w:val="24"/>
          <w:lang w:val="ca-ES"/>
        </w:rPr>
        <w:t>58</w:t>
      </w:r>
      <w:r w:rsidRPr="00EA5418">
        <w:rPr>
          <w:b w:val="0"/>
          <w:sz w:val="24"/>
          <w:lang w:val="ca-ES"/>
        </w:rPr>
        <w:t>% d’inaplicacions són de quantia salarial exclusivament, encara que e</w:t>
      </w:r>
      <w:r>
        <w:rPr>
          <w:b w:val="0"/>
          <w:sz w:val="24"/>
          <w:lang w:val="ca-ES"/>
        </w:rPr>
        <w:t xml:space="preserve">n la resta, </w:t>
      </w:r>
      <w:proofErr w:type="spellStart"/>
      <w:r w:rsidRPr="00EA5418">
        <w:rPr>
          <w:b w:val="0"/>
          <w:sz w:val="24"/>
          <w:lang w:val="ca-ES"/>
        </w:rPr>
        <w:t>s’inaplica</w:t>
      </w:r>
      <w:proofErr w:type="spellEnd"/>
      <w:r w:rsidRPr="00EA5418">
        <w:rPr>
          <w:b w:val="0"/>
          <w:sz w:val="24"/>
          <w:lang w:val="ca-ES"/>
        </w:rPr>
        <w:t xml:space="preserve"> conjuntament amb d’altres condicions.</w:t>
      </w:r>
    </w:p>
    <w:p w:rsidR="00EE6093" w:rsidRDefault="00EE6093" w:rsidP="00EE6093">
      <w:pPr>
        <w:autoSpaceDE w:val="0"/>
        <w:autoSpaceDN w:val="0"/>
        <w:adjustRightInd w:val="0"/>
        <w:spacing w:line="276" w:lineRule="auto"/>
        <w:jc w:val="both"/>
        <w:rPr>
          <w:rFonts w:ascii="Rotis Sans Serif Std" w:hAnsi="Rotis Sans Serif Std" w:cs="RotisSansSerifStd-Regular"/>
          <w:color w:val="5E6061"/>
          <w:lang w:eastAsia="es-ES_tradnl"/>
        </w:rPr>
      </w:pPr>
    </w:p>
    <w:p w:rsidR="00EE6093" w:rsidRDefault="00090823" w:rsidP="00EE6093">
      <w:pPr>
        <w:autoSpaceDE w:val="0"/>
        <w:autoSpaceDN w:val="0"/>
        <w:adjustRightInd w:val="0"/>
        <w:spacing w:line="276" w:lineRule="auto"/>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 xml:space="preserve">El </w:t>
      </w:r>
      <w:r w:rsidR="00236A0F">
        <w:rPr>
          <w:rFonts w:ascii="Rotis Sans Serif Std" w:hAnsi="Rotis Sans Serif Std" w:cs="RotisSansSerifStd-Regular"/>
          <w:color w:val="5E6061"/>
          <w:lang w:eastAsia="es-ES_tradnl"/>
        </w:rPr>
        <w:t>91</w:t>
      </w:r>
      <w:r w:rsidR="00EE6093" w:rsidRPr="0038789C">
        <w:rPr>
          <w:rFonts w:ascii="Rotis Sans Serif Std" w:hAnsi="Rotis Sans Serif Std" w:cs="RotisSansSerifStd-Regular"/>
          <w:color w:val="5E6061"/>
          <w:lang w:eastAsia="es-ES_tradnl"/>
        </w:rPr>
        <w:t>% de les inaplicacions s’han resolt amb acord entre l’empresa i els representants legals dels treballadors durant el període de consultes.</w:t>
      </w:r>
    </w:p>
    <w:p w:rsidR="00EE6093" w:rsidRDefault="00EE6093" w:rsidP="00EE6093">
      <w:pPr>
        <w:autoSpaceDE w:val="0"/>
        <w:autoSpaceDN w:val="0"/>
        <w:adjustRightInd w:val="0"/>
        <w:spacing w:line="276" w:lineRule="auto"/>
        <w:jc w:val="both"/>
        <w:rPr>
          <w:rFonts w:ascii="Rotis Sans Serif Std" w:hAnsi="Rotis Sans Serif Std" w:cs="RotisSansSerifStd-Regular"/>
          <w:color w:val="5E6061"/>
          <w:lang w:eastAsia="es-ES_tradn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6011"/>
      </w:tblGrid>
      <w:tr w:rsidR="00716ECA" w:rsidRPr="000844D1" w:rsidTr="00716ECA">
        <w:trPr>
          <w:trHeight w:val="306"/>
          <w:jc w:val="center"/>
        </w:trPr>
        <w:tc>
          <w:tcPr>
            <w:tcW w:w="6011" w:type="dxa"/>
            <w:shd w:val="clear" w:color="auto" w:fill="FFFFFF"/>
            <w:vAlign w:val="center"/>
          </w:tcPr>
          <w:p w:rsidR="00716ECA" w:rsidRPr="003E2B63" w:rsidRDefault="00236A0F" w:rsidP="00080790">
            <w:pPr>
              <w:autoSpaceDE w:val="0"/>
              <w:autoSpaceDN w:val="0"/>
              <w:adjustRightInd w:val="0"/>
              <w:spacing w:line="276" w:lineRule="auto"/>
              <w:jc w:val="center"/>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t>Fins al mes d’agost</w:t>
            </w:r>
            <w:r w:rsidR="00090823">
              <w:rPr>
                <w:rFonts w:ascii="Rotis Sans Serif Std" w:hAnsi="Rotis Sans Serif Std" w:cs="RotisSansSerifStd-Regular"/>
                <w:b/>
                <w:color w:val="C00000"/>
                <w:lang w:eastAsia="es-ES"/>
              </w:rPr>
              <w:t xml:space="preserve"> de 201</w:t>
            </w:r>
            <w:r w:rsidR="005B76F2">
              <w:rPr>
                <w:rFonts w:ascii="Rotis Sans Serif Std" w:hAnsi="Rotis Sans Serif Std" w:cs="RotisSansSerifStd-Regular"/>
                <w:b/>
                <w:color w:val="C00000"/>
                <w:lang w:eastAsia="es-ES"/>
              </w:rPr>
              <w:t>8</w:t>
            </w:r>
            <w:r w:rsidR="00716ECA">
              <w:rPr>
                <w:rFonts w:ascii="Rotis Sans Serif Std" w:hAnsi="Rotis Sans Serif Std" w:cs="RotisSansSerifStd-Regular"/>
                <w:b/>
                <w:color w:val="C00000"/>
                <w:lang w:eastAsia="es-ES"/>
              </w:rPr>
              <w:t xml:space="preserve"> </w:t>
            </w:r>
            <w:r w:rsidR="00716ECA" w:rsidRPr="003E2B63">
              <w:rPr>
                <w:rFonts w:ascii="Rotis Sans Serif Std" w:hAnsi="Rotis Sans Serif Std" w:cs="RotisSansSerifStd-Regular"/>
                <w:b/>
                <w:color w:val="C00000"/>
                <w:lang w:eastAsia="es-ES"/>
              </w:rPr>
              <w:t xml:space="preserve">s’han dipositat </w:t>
            </w:r>
            <w:r>
              <w:rPr>
                <w:rFonts w:ascii="Rotis Sans Serif Std" w:hAnsi="Rotis Sans Serif Std" w:cs="RotisSansSerifStd-Regular"/>
                <w:b/>
                <w:color w:val="C00000"/>
                <w:lang w:eastAsia="es-ES"/>
              </w:rPr>
              <w:t>711</w:t>
            </w:r>
            <w:r w:rsidR="00716ECA" w:rsidRPr="003E2B63">
              <w:rPr>
                <w:rFonts w:ascii="Rotis Sans Serif Std" w:hAnsi="Rotis Sans Serif Std" w:cs="RotisSansSerifStd-Regular"/>
                <w:b/>
                <w:color w:val="C00000"/>
                <w:lang w:eastAsia="es-ES"/>
              </w:rPr>
              <w:t xml:space="preserve"> inaplicacions de conveni (-</w:t>
            </w:r>
            <w:r>
              <w:rPr>
                <w:rFonts w:ascii="Rotis Sans Serif Std" w:hAnsi="Rotis Sans Serif Std" w:cs="RotisSansSerifStd-Regular"/>
                <w:b/>
                <w:color w:val="C00000"/>
                <w:lang w:eastAsia="es-ES"/>
              </w:rPr>
              <w:t>6,69</w:t>
            </w:r>
            <w:r w:rsidR="00716ECA" w:rsidRPr="003E2B63">
              <w:rPr>
                <w:rFonts w:ascii="Rotis Sans Serif Std" w:hAnsi="Rotis Sans Serif Std" w:cs="RotisSansSerifStd-Regular"/>
                <w:b/>
                <w:color w:val="C00000"/>
                <w:lang w:eastAsia="es-ES"/>
              </w:rPr>
              <w:t xml:space="preserve">%) de les quals </w:t>
            </w:r>
          </w:p>
          <w:p w:rsidR="00716ECA" w:rsidRPr="003E2B63" w:rsidRDefault="00090823" w:rsidP="00236A0F">
            <w:pPr>
              <w:autoSpaceDE w:val="0"/>
              <w:autoSpaceDN w:val="0"/>
              <w:adjustRightInd w:val="0"/>
              <w:spacing w:line="276" w:lineRule="auto"/>
              <w:jc w:val="center"/>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t xml:space="preserve">el </w:t>
            </w:r>
            <w:r w:rsidR="00236A0F">
              <w:rPr>
                <w:rFonts w:ascii="Rotis Sans Serif Std" w:hAnsi="Rotis Sans Serif Std" w:cs="RotisSansSerifStd-Regular"/>
                <w:b/>
                <w:color w:val="C00000"/>
                <w:lang w:eastAsia="es-ES"/>
              </w:rPr>
              <w:t>58</w:t>
            </w:r>
            <w:r w:rsidR="00716ECA" w:rsidRPr="003E2B63">
              <w:rPr>
                <w:rFonts w:ascii="Rotis Sans Serif Std" w:hAnsi="Rotis Sans Serif Std" w:cs="RotisSansSerifStd-Regular"/>
                <w:b/>
                <w:color w:val="C00000"/>
                <w:lang w:eastAsia="es-ES"/>
              </w:rPr>
              <w:t xml:space="preserve">% són de </w:t>
            </w:r>
            <w:r w:rsidR="006E4C78">
              <w:rPr>
                <w:rFonts w:ascii="Rotis Sans Serif Std" w:hAnsi="Rotis Sans Serif Std" w:cs="RotisSansSerifStd-Regular"/>
                <w:b/>
                <w:color w:val="C00000"/>
                <w:lang w:eastAsia="es-ES"/>
              </w:rPr>
              <w:t xml:space="preserve">quantia salarial exclusivament. </w:t>
            </w:r>
            <w:r>
              <w:rPr>
                <w:rFonts w:ascii="Rotis Sans Serif Std" w:hAnsi="Rotis Sans Serif Std" w:cs="RotisSansSerifStd-Regular"/>
                <w:b/>
                <w:color w:val="C00000"/>
                <w:lang w:eastAsia="es-ES"/>
              </w:rPr>
              <w:t xml:space="preserve">El </w:t>
            </w:r>
            <w:r w:rsidR="005B76F2">
              <w:rPr>
                <w:rFonts w:ascii="Rotis Sans Serif Std" w:hAnsi="Rotis Sans Serif Std" w:cs="RotisSansSerifStd-Regular"/>
                <w:b/>
                <w:color w:val="C00000"/>
                <w:lang w:eastAsia="es-ES"/>
              </w:rPr>
              <w:t>91</w:t>
            </w:r>
            <w:r w:rsidR="00716ECA">
              <w:rPr>
                <w:rFonts w:ascii="Rotis Sans Serif Std" w:hAnsi="Rotis Sans Serif Std" w:cs="RotisSansSerifStd-Regular"/>
                <w:b/>
                <w:color w:val="C00000"/>
                <w:lang w:eastAsia="es-ES"/>
              </w:rPr>
              <w:t>% de les inaplicacions s’han resolt amb acord.</w:t>
            </w:r>
          </w:p>
        </w:tc>
      </w:tr>
      <w:tr w:rsidR="00716ECA" w:rsidRPr="000844D1" w:rsidTr="00716ECA">
        <w:trPr>
          <w:trHeight w:val="306"/>
          <w:jc w:val="center"/>
        </w:trPr>
        <w:tc>
          <w:tcPr>
            <w:tcW w:w="6011" w:type="dxa"/>
            <w:shd w:val="clear" w:color="auto" w:fill="FFFFFF"/>
            <w:vAlign w:val="center"/>
          </w:tcPr>
          <w:p w:rsidR="00716ECA" w:rsidRPr="003E2B63" w:rsidRDefault="00716ECA" w:rsidP="00080790">
            <w:pPr>
              <w:autoSpaceDE w:val="0"/>
              <w:autoSpaceDN w:val="0"/>
              <w:adjustRightInd w:val="0"/>
              <w:spacing w:line="276" w:lineRule="auto"/>
              <w:rPr>
                <w:rFonts w:ascii="Rotis Sans Serif Std" w:hAnsi="Rotis Sans Serif Std" w:cs="RotisSansSerifStd-Regular"/>
                <w:b/>
                <w:color w:val="C00000"/>
                <w:lang w:eastAsia="es-ES"/>
              </w:rPr>
            </w:pPr>
          </w:p>
        </w:tc>
      </w:tr>
    </w:tbl>
    <w:p w:rsidR="00716ECA" w:rsidRDefault="00716ECA" w:rsidP="00EE6093">
      <w:pPr>
        <w:rPr>
          <w:rFonts w:ascii="Rotis Sans Serif Std" w:hAnsi="Rotis Sans Serif Std" w:cs="RotisSansSerifStd-Regular"/>
          <w:color w:val="5E6061"/>
          <w:lang w:eastAsia="es-ES_tradnl"/>
        </w:rPr>
      </w:pPr>
    </w:p>
    <w:p w:rsidR="00EE6093" w:rsidRPr="003171F9" w:rsidRDefault="00EE6093" w:rsidP="00EE6093">
      <w:pPr>
        <w:shd w:val="clear" w:color="auto" w:fill="F2F2F2"/>
        <w:spacing w:line="276" w:lineRule="auto"/>
        <w:jc w:val="both"/>
        <w:rPr>
          <w:rFonts w:ascii="Rotis Sans Serif Std" w:hAnsi="Rotis Sans Serif Std" w:cs="RotisSansSerifStd-Regular"/>
          <w:b/>
          <w:color w:val="C00000"/>
          <w:lang w:eastAsia="es-ES"/>
        </w:rPr>
      </w:pPr>
      <w:r w:rsidRPr="003171F9">
        <w:rPr>
          <w:rFonts w:ascii="Rotis Sans Serif Std" w:hAnsi="Rotis Sans Serif Std" w:cs="RotisSansSerifStd-Regular"/>
          <w:b/>
          <w:color w:val="C00000"/>
          <w:lang w:eastAsia="es-ES"/>
        </w:rPr>
        <w:t>Expedients de Regulació d’Ocupació</w:t>
      </w:r>
    </w:p>
    <w:p w:rsidR="00EE6093" w:rsidRDefault="00EE6093" w:rsidP="00EE6093">
      <w:pPr>
        <w:tabs>
          <w:tab w:val="left" w:pos="6135"/>
        </w:tabs>
        <w:spacing w:line="276" w:lineRule="auto"/>
        <w:jc w:val="both"/>
        <w:rPr>
          <w:rFonts w:ascii="Rotis Sans Serif Std" w:hAnsi="Rotis Sans Serif Std" w:cs="RotisSansSerifStd-Regular"/>
          <w:bCs/>
          <w:color w:val="5E6061"/>
          <w:lang w:eastAsia="es-ES_tradnl"/>
        </w:rPr>
      </w:pPr>
    </w:p>
    <w:p w:rsidR="00EE6093" w:rsidRDefault="004C5389" w:rsidP="00EE6093">
      <w:pPr>
        <w:tabs>
          <w:tab w:val="left" w:pos="6135"/>
        </w:tabs>
        <w:spacing w:line="276" w:lineRule="auto"/>
        <w:jc w:val="both"/>
        <w:rPr>
          <w:rFonts w:ascii="Rotis Sans Serif Std" w:hAnsi="Rotis Sans Serif Std" w:cs="RotisSansSerifStd-Regular"/>
          <w:bCs/>
          <w:color w:val="5E6061"/>
          <w:lang w:eastAsia="es-ES_tradnl"/>
        </w:rPr>
      </w:pPr>
      <w:r>
        <w:rPr>
          <w:rFonts w:ascii="Rotis Sans Serif Std" w:hAnsi="Rotis Sans Serif Std" w:cs="RotisSansSerifStd-Regular"/>
          <w:bCs/>
          <w:color w:val="5E6061"/>
          <w:lang w:eastAsia="es-ES_tradnl"/>
        </w:rPr>
        <w:t xml:space="preserve">Fins al mes </w:t>
      </w:r>
      <w:r w:rsidR="00BA6F4F">
        <w:rPr>
          <w:rFonts w:ascii="Rotis Sans Serif Std" w:hAnsi="Rotis Sans Serif Std" w:cs="RotisSansSerifStd-Regular"/>
          <w:bCs/>
          <w:color w:val="5E6061"/>
          <w:lang w:eastAsia="es-ES_tradnl"/>
        </w:rPr>
        <w:t>d’agost</w:t>
      </w:r>
      <w:r>
        <w:rPr>
          <w:rFonts w:ascii="Rotis Sans Serif Std" w:hAnsi="Rotis Sans Serif Std" w:cs="RotisSansSerifStd-Regular"/>
          <w:bCs/>
          <w:color w:val="5E6061"/>
          <w:lang w:eastAsia="es-ES_tradnl"/>
        </w:rPr>
        <w:t xml:space="preserve"> de 201</w:t>
      </w:r>
      <w:r w:rsidR="008A1FA2">
        <w:rPr>
          <w:rFonts w:ascii="Rotis Sans Serif Std" w:hAnsi="Rotis Sans Serif Std" w:cs="RotisSansSerifStd-Regular"/>
          <w:bCs/>
          <w:color w:val="5E6061"/>
          <w:lang w:eastAsia="es-ES_tradnl"/>
        </w:rPr>
        <w:t>8</w:t>
      </w:r>
      <w:r w:rsidR="00EE6093" w:rsidRPr="00EA5418">
        <w:rPr>
          <w:rFonts w:ascii="Rotis Sans Serif Std" w:hAnsi="Rotis Sans Serif Std" w:cs="RotisSansSerifStd-Regular"/>
          <w:color w:val="5E6061"/>
          <w:lang w:eastAsia="es-ES_tradnl"/>
        </w:rPr>
        <w:t xml:space="preserve">, s’han comunicat o resolt </w:t>
      </w:r>
      <w:r w:rsidR="00BA6F4F">
        <w:rPr>
          <w:rFonts w:ascii="Rotis Sans Serif Std" w:hAnsi="Rotis Sans Serif Std" w:cs="RotisSansSerifStd-Regular"/>
          <w:color w:val="5E6061"/>
          <w:lang w:eastAsia="es-ES_tradnl"/>
        </w:rPr>
        <w:t>185</w:t>
      </w:r>
      <w:r w:rsidR="00EE6093" w:rsidRPr="00EA5418">
        <w:rPr>
          <w:rFonts w:ascii="Rotis Sans Serif Std" w:hAnsi="Rotis Sans Serif Std" w:cs="RotisSansSerifStd-Regular"/>
          <w:color w:val="5E6061"/>
          <w:lang w:eastAsia="es-ES_tradnl"/>
        </w:rPr>
        <w:t xml:space="preserve"> expedients</w:t>
      </w:r>
      <w:r w:rsidR="00EE6093">
        <w:rPr>
          <w:rFonts w:ascii="Rotis Sans Serif Std" w:hAnsi="Rotis Sans Serif Std" w:cs="RotisSansSerifStd-Regular"/>
          <w:color w:val="5E6061"/>
          <w:lang w:eastAsia="es-ES_tradnl"/>
        </w:rPr>
        <w:t xml:space="preserve"> (-</w:t>
      </w:r>
      <w:r w:rsidR="00BA6F4F">
        <w:rPr>
          <w:rFonts w:ascii="Rotis Sans Serif Std" w:hAnsi="Rotis Sans Serif Std" w:cs="RotisSansSerifStd-Regular"/>
          <w:color w:val="5E6061"/>
          <w:lang w:eastAsia="es-ES_tradnl"/>
        </w:rPr>
        <w:t>20,60</w:t>
      </w:r>
      <w:r w:rsidR="00EE6093">
        <w:rPr>
          <w:rFonts w:ascii="Rotis Sans Serif Std" w:hAnsi="Rotis Sans Serif Std" w:cs="RotisSansSerifStd-Regular"/>
          <w:color w:val="5E6061"/>
          <w:lang w:eastAsia="es-ES_tradnl"/>
        </w:rPr>
        <w:t>% respecte 201</w:t>
      </w:r>
      <w:r w:rsidR="005F5E4F">
        <w:rPr>
          <w:rFonts w:ascii="Rotis Sans Serif Std" w:hAnsi="Rotis Sans Serif Std" w:cs="RotisSansSerifStd-Regular"/>
          <w:color w:val="5E6061"/>
          <w:lang w:eastAsia="es-ES_tradnl"/>
        </w:rPr>
        <w:t>7</w:t>
      </w:r>
      <w:r w:rsidR="00EE6093">
        <w:rPr>
          <w:rFonts w:ascii="Rotis Sans Serif Std" w:hAnsi="Rotis Sans Serif Std" w:cs="RotisSansSerifStd-Regular"/>
          <w:color w:val="5E6061"/>
          <w:lang w:eastAsia="es-ES_tradnl"/>
        </w:rPr>
        <w:t>)</w:t>
      </w:r>
      <w:r>
        <w:rPr>
          <w:rFonts w:ascii="Rotis Sans Serif Std" w:hAnsi="Rotis Sans Serif Std" w:cs="RotisSansSerifStd-Regular"/>
          <w:color w:val="5E6061"/>
          <w:lang w:eastAsia="es-ES_tradnl"/>
        </w:rPr>
        <w:t xml:space="preserve"> que han afectat a un total de</w:t>
      </w:r>
      <w:r w:rsidR="006E4C78">
        <w:rPr>
          <w:rFonts w:ascii="Rotis Sans Serif Std" w:hAnsi="Rotis Sans Serif Std" w:cs="RotisSansSerifStd-Regular"/>
          <w:color w:val="5E6061"/>
          <w:lang w:eastAsia="es-ES_tradnl"/>
        </w:rPr>
        <w:t xml:space="preserve"> </w:t>
      </w:r>
      <w:r w:rsidR="00BA6F4F">
        <w:rPr>
          <w:rFonts w:ascii="Rotis Sans Serif Std" w:hAnsi="Rotis Sans Serif Std" w:cs="RotisSansSerifStd-Regular"/>
          <w:color w:val="5E6061"/>
          <w:lang w:eastAsia="es-ES_tradnl"/>
        </w:rPr>
        <w:t>4.132</w:t>
      </w:r>
      <w:r w:rsidR="005F5E4F">
        <w:rPr>
          <w:rFonts w:ascii="Rotis Sans Serif Std" w:hAnsi="Rotis Sans Serif Std" w:cs="RotisSansSerifStd-Regular"/>
          <w:color w:val="5E6061"/>
          <w:lang w:eastAsia="es-ES_tradnl"/>
        </w:rPr>
        <w:t xml:space="preserve"> treballadors (</w:t>
      </w:r>
      <w:r w:rsidR="00BA6F4F">
        <w:rPr>
          <w:rFonts w:ascii="Rotis Sans Serif Std" w:hAnsi="Rotis Sans Serif Std" w:cs="RotisSansSerifStd-Regular"/>
          <w:color w:val="5E6061"/>
          <w:lang w:eastAsia="es-ES_tradnl"/>
        </w:rPr>
        <w:t>28,24</w:t>
      </w:r>
      <w:r w:rsidR="00EE6093">
        <w:rPr>
          <w:rFonts w:ascii="Rotis Sans Serif Std" w:hAnsi="Rotis Sans Serif Std" w:cs="RotisSansSerifStd-Regular"/>
          <w:color w:val="5E6061"/>
          <w:lang w:eastAsia="es-ES_tradnl"/>
        </w:rPr>
        <w:t>% respecte l’any 201</w:t>
      </w:r>
      <w:r w:rsidR="005F5E4F">
        <w:rPr>
          <w:rFonts w:ascii="Rotis Sans Serif Std" w:hAnsi="Rotis Sans Serif Std" w:cs="RotisSansSerifStd-Regular"/>
          <w:color w:val="5E6061"/>
          <w:lang w:eastAsia="es-ES_tradnl"/>
        </w:rPr>
        <w:t>7</w:t>
      </w:r>
      <w:r w:rsidR="00EE6093">
        <w:rPr>
          <w:rFonts w:ascii="Rotis Sans Serif Std" w:hAnsi="Rotis Sans Serif Std" w:cs="RotisSansSerifStd-Regular"/>
          <w:color w:val="5E6061"/>
          <w:lang w:eastAsia="es-ES_tradnl"/>
        </w:rPr>
        <w:t xml:space="preserve">). </w:t>
      </w:r>
      <w:r w:rsidR="00EE6093">
        <w:rPr>
          <w:rFonts w:ascii="Rotis Sans Serif Std" w:hAnsi="Rotis Sans Serif Std" w:cs="RotisSansSerifStd-Regular"/>
          <w:bCs/>
          <w:color w:val="5E6061"/>
          <w:lang w:eastAsia="es-ES_tradnl"/>
        </w:rPr>
        <w:t xml:space="preserve">D’aquests </w:t>
      </w:r>
      <w:r w:rsidR="00EE6093" w:rsidRPr="00EA5418">
        <w:rPr>
          <w:rFonts w:ascii="Rotis Sans Serif Std" w:hAnsi="Rotis Sans Serif Std" w:cs="RotisSansSerifStd-Regular"/>
          <w:bCs/>
          <w:color w:val="5E6061"/>
          <w:lang w:eastAsia="es-ES_tradnl"/>
        </w:rPr>
        <w:t xml:space="preserve">expedients </w:t>
      </w:r>
      <w:r w:rsidR="00BA6F4F">
        <w:rPr>
          <w:rFonts w:ascii="Rotis Sans Serif Std" w:hAnsi="Rotis Sans Serif Std" w:cs="RotisSansSerifStd-Regular"/>
          <w:bCs/>
          <w:color w:val="5E6061"/>
          <w:lang w:eastAsia="es-ES_tradnl"/>
        </w:rPr>
        <w:t>71</w:t>
      </w:r>
      <w:r w:rsidR="005F5E4F">
        <w:rPr>
          <w:rFonts w:ascii="Rotis Sans Serif Std" w:hAnsi="Rotis Sans Serif Std" w:cs="RotisSansSerifStd-Regular"/>
          <w:bCs/>
          <w:color w:val="5E6061"/>
          <w:lang w:eastAsia="es-ES_tradnl"/>
        </w:rPr>
        <w:t xml:space="preserve"> </w:t>
      </w:r>
      <w:r w:rsidR="00EE6093">
        <w:rPr>
          <w:rFonts w:ascii="Rotis Sans Serif Std" w:hAnsi="Rotis Sans Serif Std" w:cs="RotisSansSerifStd-Regular"/>
          <w:bCs/>
          <w:color w:val="5E6061"/>
          <w:lang w:eastAsia="es-ES_tradnl"/>
        </w:rPr>
        <w:t>van ser d’extinci</w:t>
      </w:r>
      <w:r>
        <w:rPr>
          <w:rFonts w:ascii="Rotis Sans Serif Std" w:hAnsi="Rotis Sans Serif Std" w:cs="RotisSansSerifStd-Regular"/>
          <w:bCs/>
          <w:color w:val="5E6061"/>
          <w:lang w:eastAsia="es-ES_tradnl"/>
        </w:rPr>
        <w:t xml:space="preserve">ó, </w:t>
      </w:r>
      <w:r w:rsidR="00BA6F4F">
        <w:rPr>
          <w:rFonts w:ascii="Rotis Sans Serif Std" w:hAnsi="Rotis Sans Serif Std" w:cs="RotisSansSerifStd-Regular"/>
          <w:bCs/>
          <w:color w:val="5E6061"/>
          <w:lang w:eastAsia="es-ES_tradnl"/>
        </w:rPr>
        <w:t>87</w:t>
      </w:r>
      <w:r w:rsidR="005F5E4F">
        <w:rPr>
          <w:rFonts w:ascii="Rotis Sans Serif Std" w:hAnsi="Rotis Sans Serif Std" w:cs="RotisSansSerifStd-Regular"/>
          <w:bCs/>
          <w:color w:val="5E6061"/>
          <w:lang w:eastAsia="es-ES_tradnl"/>
        </w:rPr>
        <w:t xml:space="preserve"> </w:t>
      </w:r>
      <w:r w:rsidR="00EE6093" w:rsidRPr="00EA5418">
        <w:rPr>
          <w:rFonts w:ascii="Rotis Sans Serif Std" w:hAnsi="Rotis Sans Serif Std" w:cs="RotisSansSerifStd-Regular"/>
          <w:bCs/>
          <w:color w:val="5E6061"/>
          <w:lang w:eastAsia="es-ES_tradnl"/>
        </w:rPr>
        <w:t>de susp</w:t>
      </w:r>
      <w:r w:rsidR="00EE6093">
        <w:rPr>
          <w:rFonts w:ascii="Rotis Sans Serif Std" w:hAnsi="Rotis Sans Serif Std" w:cs="RotisSansSerifStd-Regular"/>
          <w:bCs/>
          <w:color w:val="5E6061"/>
          <w:lang w:eastAsia="es-ES_tradnl"/>
        </w:rPr>
        <w:t xml:space="preserve">ensió del contracte de treball </w:t>
      </w:r>
      <w:r w:rsidR="00EE6093" w:rsidRPr="00EA5418">
        <w:rPr>
          <w:rFonts w:ascii="Rotis Sans Serif Std" w:hAnsi="Rotis Sans Serif Std" w:cs="RotisSansSerifStd-Regular"/>
          <w:bCs/>
          <w:color w:val="5E6061"/>
          <w:lang w:eastAsia="es-ES_tradnl"/>
        </w:rPr>
        <w:t xml:space="preserve">i </w:t>
      </w:r>
      <w:r w:rsidR="00BA6F4F">
        <w:rPr>
          <w:rFonts w:ascii="Rotis Sans Serif Std" w:hAnsi="Rotis Sans Serif Std" w:cs="RotisSansSerifStd-Regular"/>
          <w:bCs/>
          <w:color w:val="5E6061"/>
          <w:lang w:eastAsia="es-ES_tradnl"/>
        </w:rPr>
        <w:t>27</w:t>
      </w:r>
      <w:r w:rsidR="00EE6093" w:rsidRPr="00EA5418">
        <w:rPr>
          <w:rFonts w:ascii="Rotis Sans Serif Std" w:hAnsi="Rotis Sans Serif Std" w:cs="RotisSansSerifStd-Regular"/>
          <w:bCs/>
          <w:color w:val="5E6061"/>
          <w:lang w:eastAsia="es-ES_tradnl"/>
        </w:rPr>
        <w:t xml:space="preserve"> de reducció de </w:t>
      </w:r>
      <w:r w:rsidR="00EE6093">
        <w:rPr>
          <w:rFonts w:ascii="Rotis Sans Serif Std" w:hAnsi="Rotis Sans Serif Std" w:cs="RotisSansSerifStd-Regular"/>
          <w:bCs/>
          <w:color w:val="5E6061"/>
          <w:lang w:eastAsia="es-ES_tradnl"/>
        </w:rPr>
        <w:t xml:space="preserve">jornada </w:t>
      </w:r>
    </w:p>
    <w:p w:rsidR="00EE6093" w:rsidRDefault="00EE6093" w:rsidP="00EE6093">
      <w:pPr>
        <w:tabs>
          <w:tab w:val="left" w:pos="6135"/>
        </w:tabs>
        <w:spacing w:line="276" w:lineRule="auto"/>
        <w:jc w:val="both"/>
        <w:rPr>
          <w:rFonts w:ascii="Rotis Sans Serif Std" w:hAnsi="Rotis Sans Serif Std" w:cs="RotisSansSerifStd-Regular"/>
          <w:bCs/>
          <w:color w:val="5E6061"/>
          <w:lang w:eastAsia="es-ES_tradnl"/>
        </w:rPr>
      </w:pPr>
    </w:p>
    <w:p w:rsidR="00EE6093" w:rsidRPr="00075DA5" w:rsidRDefault="00EE6093" w:rsidP="00075DA5">
      <w:pPr>
        <w:pStyle w:val="TEXTBOLD"/>
        <w:spacing w:line="276" w:lineRule="auto"/>
        <w:rPr>
          <w:b w:val="0"/>
          <w:sz w:val="24"/>
          <w:szCs w:val="24"/>
          <w:lang w:val="ca-ES"/>
        </w:rPr>
      </w:pPr>
      <w:r w:rsidRPr="001654D2">
        <w:rPr>
          <w:b w:val="0"/>
          <w:sz w:val="24"/>
          <w:szCs w:val="24"/>
          <w:lang w:val="ca-ES"/>
        </w:rPr>
        <w:t xml:space="preserve">Si comparem </w:t>
      </w:r>
      <w:r w:rsidR="004C5389">
        <w:rPr>
          <w:b w:val="0"/>
          <w:sz w:val="24"/>
          <w:szCs w:val="24"/>
          <w:lang w:val="ca-ES"/>
        </w:rPr>
        <w:t xml:space="preserve">el mateix </w:t>
      </w:r>
      <w:r w:rsidR="00BE3D60">
        <w:rPr>
          <w:b w:val="0"/>
          <w:sz w:val="24"/>
          <w:szCs w:val="24"/>
          <w:lang w:val="ca-ES"/>
        </w:rPr>
        <w:t>període</w:t>
      </w:r>
      <w:r w:rsidR="004C5389">
        <w:rPr>
          <w:b w:val="0"/>
          <w:sz w:val="24"/>
          <w:szCs w:val="24"/>
          <w:lang w:val="ca-ES"/>
        </w:rPr>
        <w:t xml:space="preserve"> de l’any </w:t>
      </w:r>
      <w:r w:rsidRPr="001654D2">
        <w:rPr>
          <w:b w:val="0"/>
          <w:sz w:val="24"/>
          <w:szCs w:val="24"/>
          <w:lang w:val="ca-ES"/>
        </w:rPr>
        <w:t xml:space="preserve"> 201</w:t>
      </w:r>
      <w:r w:rsidR="005F5E4F">
        <w:rPr>
          <w:b w:val="0"/>
          <w:sz w:val="24"/>
          <w:szCs w:val="24"/>
          <w:lang w:val="ca-ES"/>
        </w:rPr>
        <w:t>8</w:t>
      </w:r>
      <w:r w:rsidRPr="001654D2">
        <w:rPr>
          <w:b w:val="0"/>
          <w:sz w:val="24"/>
          <w:szCs w:val="24"/>
          <w:lang w:val="ca-ES"/>
        </w:rPr>
        <w:t xml:space="preserve"> amb el </w:t>
      </w:r>
      <w:r w:rsidR="004C5389">
        <w:rPr>
          <w:b w:val="0"/>
          <w:sz w:val="24"/>
          <w:szCs w:val="24"/>
          <w:lang w:val="ca-ES"/>
        </w:rPr>
        <w:t xml:space="preserve">del </w:t>
      </w:r>
      <w:r w:rsidRPr="001654D2">
        <w:rPr>
          <w:b w:val="0"/>
          <w:sz w:val="24"/>
          <w:szCs w:val="24"/>
          <w:lang w:val="ca-ES"/>
        </w:rPr>
        <w:t>201</w:t>
      </w:r>
      <w:r w:rsidR="005F5E4F">
        <w:rPr>
          <w:b w:val="0"/>
          <w:sz w:val="24"/>
          <w:szCs w:val="24"/>
          <w:lang w:val="ca-ES"/>
        </w:rPr>
        <w:t>7</w:t>
      </w:r>
      <w:r w:rsidRPr="001654D2">
        <w:rPr>
          <w:b w:val="0"/>
          <w:sz w:val="24"/>
          <w:szCs w:val="24"/>
          <w:lang w:val="ca-ES"/>
        </w:rPr>
        <w:t>,</w:t>
      </w:r>
      <w:r w:rsidR="00364845">
        <w:rPr>
          <w:b w:val="0"/>
          <w:sz w:val="24"/>
          <w:szCs w:val="24"/>
          <w:lang w:val="ca-ES"/>
        </w:rPr>
        <w:t xml:space="preserve"> </w:t>
      </w:r>
      <w:r w:rsidRPr="00EA5418">
        <w:rPr>
          <w:b w:val="0"/>
          <w:sz w:val="24"/>
          <w:szCs w:val="24"/>
          <w:lang w:val="ca-ES"/>
        </w:rPr>
        <w:t xml:space="preserve">el total d’expedients de regulació d’ocupació ha disminuït en un </w:t>
      </w:r>
      <w:r w:rsidR="00BA6F4F">
        <w:rPr>
          <w:b w:val="0"/>
          <w:sz w:val="24"/>
          <w:szCs w:val="24"/>
          <w:lang w:val="ca-ES"/>
        </w:rPr>
        <w:t>20,60</w:t>
      </w:r>
      <w:r w:rsidRPr="00EA5418">
        <w:rPr>
          <w:b w:val="0"/>
          <w:sz w:val="24"/>
          <w:szCs w:val="24"/>
          <w:lang w:val="ca-ES"/>
        </w:rPr>
        <w:t>%, registrant-se un decreixement pels exped</w:t>
      </w:r>
      <w:r w:rsidR="005F5E4F">
        <w:rPr>
          <w:b w:val="0"/>
          <w:sz w:val="24"/>
          <w:szCs w:val="24"/>
          <w:lang w:val="ca-ES"/>
        </w:rPr>
        <w:t>ients de suspensió</w:t>
      </w:r>
      <w:r w:rsidR="003940E2">
        <w:rPr>
          <w:b w:val="0"/>
          <w:sz w:val="24"/>
          <w:szCs w:val="24"/>
          <w:lang w:val="ca-ES"/>
        </w:rPr>
        <w:t xml:space="preserve">    </w:t>
      </w:r>
      <w:r w:rsidR="005F5E4F">
        <w:rPr>
          <w:b w:val="0"/>
          <w:sz w:val="24"/>
          <w:szCs w:val="24"/>
          <w:lang w:val="ca-ES"/>
        </w:rPr>
        <w:t>-</w:t>
      </w:r>
      <w:r w:rsidR="00BA6F4F">
        <w:rPr>
          <w:b w:val="0"/>
          <w:sz w:val="24"/>
          <w:szCs w:val="24"/>
          <w:lang w:val="ca-ES"/>
        </w:rPr>
        <w:t>21,62</w:t>
      </w:r>
      <w:r w:rsidRPr="00EA5418">
        <w:rPr>
          <w:b w:val="0"/>
          <w:sz w:val="24"/>
          <w:szCs w:val="24"/>
          <w:lang w:val="ca-ES"/>
        </w:rPr>
        <w:t>%</w:t>
      </w:r>
      <w:r w:rsidR="005F5E4F">
        <w:rPr>
          <w:b w:val="0"/>
          <w:sz w:val="24"/>
          <w:szCs w:val="24"/>
          <w:lang w:val="ca-ES"/>
        </w:rPr>
        <w:t xml:space="preserve"> i</w:t>
      </w:r>
      <w:r w:rsidRPr="00EA5418">
        <w:rPr>
          <w:b w:val="0"/>
          <w:sz w:val="24"/>
          <w:szCs w:val="24"/>
          <w:lang w:val="ca-ES"/>
        </w:rPr>
        <w:t xml:space="preserve"> els de reducció un </w:t>
      </w:r>
      <w:r>
        <w:rPr>
          <w:b w:val="0"/>
          <w:sz w:val="24"/>
          <w:szCs w:val="24"/>
          <w:lang w:val="ca-ES"/>
        </w:rPr>
        <w:t>–</w:t>
      </w:r>
      <w:r w:rsidR="00BA6F4F">
        <w:rPr>
          <w:b w:val="0"/>
          <w:sz w:val="24"/>
          <w:szCs w:val="24"/>
          <w:lang w:val="ca-ES"/>
        </w:rPr>
        <w:t>48,08</w:t>
      </w:r>
      <w:r w:rsidRPr="00EA5418">
        <w:rPr>
          <w:b w:val="0"/>
          <w:sz w:val="24"/>
          <w:szCs w:val="24"/>
          <w:lang w:val="ca-ES"/>
        </w:rPr>
        <w:t>%</w:t>
      </w:r>
      <w:r w:rsidR="005F5E4F">
        <w:rPr>
          <w:b w:val="0"/>
          <w:sz w:val="24"/>
          <w:szCs w:val="24"/>
          <w:lang w:val="ca-ES"/>
        </w:rPr>
        <w:t>,</w:t>
      </w:r>
      <w:r w:rsidR="003940E2">
        <w:rPr>
          <w:b w:val="0"/>
          <w:sz w:val="24"/>
          <w:szCs w:val="24"/>
          <w:lang w:val="ca-ES"/>
        </w:rPr>
        <w:t xml:space="preserve"> </w:t>
      </w:r>
      <w:r>
        <w:rPr>
          <w:b w:val="0"/>
          <w:sz w:val="24"/>
          <w:szCs w:val="24"/>
          <w:lang w:val="ca-ES"/>
        </w:rPr>
        <w:t>els</w:t>
      </w:r>
      <w:r w:rsidRPr="00EA5418">
        <w:rPr>
          <w:b w:val="0"/>
          <w:sz w:val="24"/>
          <w:szCs w:val="24"/>
          <w:lang w:val="ca-ES"/>
        </w:rPr>
        <w:t xml:space="preserve"> d’extinció</w:t>
      </w:r>
      <w:r w:rsidR="005F5E4F">
        <w:rPr>
          <w:b w:val="0"/>
          <w:sz w:val="24"/>
          <w:szCs w:val="24"/>
          <w:lang w:val="ca-ES"/>
        </w:rPr>
        <w:t xml:space="preserve">, en canvi, s’han incrementat en un </w:t>
      </w:r>
      <w:r w:rsidR="00BA6F4F">
        <w:rPr>
          <w:b w:val="0"/>
          <w:sz w:val="24"/>
          <w:szCs w:val="24"/>
          <w:lang w:val="ca-ES"/>
        </w:rPr>
        <w:t>1,43</w:t>
      </w:r>
      <w:r>
        <w:rPr>
          <w:b w:val="0"/>
          <w:sz w:val="24"/>
          <w:szCs w:val="24"/>
          <w:lang w:val="ca-ES"/>
        </w:rPr>
        <w:t>%</w:t>
      </w:r>
      <w:r w:rsidRPr="00EA5418">
        <w:rPr>
          <w:b w:val="0"/>
          <w:sz w:val="24"/>
          <w:szCs w:val="24"/>
          <w:lang w:val="ca-ES"/>
        </w:rPr>
        <w:t>.</w:t>
      </w:r>
    </w:p>
    <w:p w:rsidR="00EE6093" w:rsidRDefault="00EE6093" w:rsidP="00EE6093">
      <w:pPr>
        <w:tabs>
          <w:tab w:val="left" w:pos="-4962"/>
          <w:tab w:val="left" w:pos="-4678"/>
        </w:tabs>
        <w:spacing w:line="276" w:lineRule="auto"/>
        <w:jc w:val="both"/>
        <w:rPr>
          <w:rFonts w:ascii="Rotis Sans Serif Std" w:hAnsi="Rotis Sans Serif Std" w:cs="RotisSansSerifStd-Regular"/>
          <w:bCs/>
          <w:color w:val="5E6061"/>
          <w:lang w:eastAsia="es-ES_tradnl"/>
        </w:rPr>
      </w:pPr>
    </w:p>
    <w:tbl>
      <w:tblPr>
        <w:tblpPr w:leftFromText="141" w:rightFromText="141" w:vertAnchor="text" w:horzAnchor="page" w:tblpX="3313" w:tblpY="-4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809"/>
      </w:tblGrid>
      <w:tr w:rsidR="00EE6093" w:rsidRPr="000844D1" w:rsidTr="00C87B5C">
        <w:trPr>
          <w:trHeight w:val="1598"/>
        </w:trPr>
        <w:tc>
          <w:tcPr>
            <w:tcW w:w="4809" w:type="dxa"/>
            <w:shd w:val="clear" w:color="auto" w:fill="FFFFFF"/>
            <w:vAlign w:val="center"/>
          </w:tcPr>
          <w:p w:rsidR="00EE6093" w:rsidRPr="003E2B63" w:rsidRDefault="005F5E4F" w:rsidP="006A4EC7">
            <w:pPr>
              <w:autoSpaceDE w:val="0"/>
              <w:autoSpaceDN w:val="0"/>
              <w:adjustRightInd w:val="0"/>
              <w:spacing w:line="276" w:lineRule="auto"/>
              <w:jc w:val="center"/>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t>Fins al mes d</w:t>
            </w:r>
            <w:r w:rsidR="00BA6F4F">
              <w:rPr>
                <w:rFonts w:ascii="Rotis Sans Serif Std" w:hAnsi="Rotis Sans Serif Std" w:cs="RotisSansSerifStd-Regular"/>
                <w:b/>
                <w:color w:val="C00000"/>
                <w:lang w:eastAsia="es-ES"/>
              </w:rPr>
              <w:t>’agost</w:t>
            </w:r>
            <w:r>
              <w:rPr>
                <w:rFonts w:ascii="Rotis Sans Serif Std" w:hAnsi="Rotis Sans Serif Std" w:cs="RotisSansSerifStd-Regular"/>
                <w:b/>
                <w:color w:val="C00000"/>
                <w:lang w:eastAsia="es-ES"/>
              </w:rPr>
              <w:t xml:space="preserve"> de 2018</w:t>
            </w:r>
            <w:r w:rsidR="00EE6093" w:rsidRPr="003E2B63">
              <w:rPr>
                <w:rFonts w:ascii="Rotis Sans Serif Std" w:hAnsi="Rotis Sans Serif Std" w:cs="RotisSansSerifStd-Regular"/>
                <w:b/>
                <w:color w:val="C00000"/>
                <w:lang w:eastAsia="es-ES"/>
              </w:rPr>
              <w:t xml:space="preserve">, s’han comunicat o resolt </w:t>
            </w:r>
            <w:r w:rsidR="00BA6F4F">
              <w:rPr>
                <w:rFonts w:ascii="Rotis Sans Serif Std" w:hAnsi="Rotis Sans Serif Std" w:cs="RotisSansSerifStd-Regular"/>
                <w:b/>
                <w:color w:val="C00000"/>
                <w:lang w:eastAsia="es-ES"/>
              </w:rPr>
              <w:t>185</w:t>
            </w:r>
            <w:r>
              <w:rPr>
                <w:rFonts w:ascii="Rotis Sans Serif Std" w:hAnsi="Rotis Sans Serif Std" w:cs="RotisSansSerifStd-Regular"/>
                <w:b/>
                <w:color w:val="C00000"/>
                <w:lang w:eastAsia="es-ES"/>
              </w:rPr>
              <w:t xml:space="preserve"> </w:t>
            </w:r>
            <w:r w:rsidR="00EE6093" w:rsidRPr="003E2B63">
              <w:rPr>
                <w:rFonts w:ascii="Rotis Sans Serif Std" w:hAnsi="Rotis Sans Serif Std" w:cs="RotisSansSerifStd-Regular"/>
                <w:b/>
                <w:color w:val="C00000"/>
                <w:lang w:eastAsia="es-ES"/>
              </w:rPr>
              <w:t>expedients (-</w:t>
            </w:r>
            <w:r w:rsidR="00BA6F4F">
              <w:rPr>
                <w:rFonts w:ascii="Rotis Sans Serif Std" w:hAnsi="Rotis Sans Serif Std" w:cs="RotisSansSerifStd-Regular"/>
                <w:b/>
                <w:color w:val="C00000"/>
                <w:lang w:eastAsia="es-ES"/>
              </w:rPr>
              <w:t>20,60</w:t>
            </w:r>
            <w:r w:rsidR="00EE6093" w:rsidRPr="003E2B63">
              <w:rPr>
                <w:rFonts w:ascii="Rotis Sans Serif Std" w:hAnsi="Rotis Sans Serif Std" w:cs="RotisSansSerifStd-Regular"/>
                <w:b/>
                <w:color w:val="C00000"/>
                <w:lang w:eastAsia="es-ES"/>
              </w:rPr>
              <w:t>%)</w:t>
            </w:r>
          </w:p>
          <w:p w:rsidR="00EE6093" w:rsidRPr="003E2B63" w:rsidRDefault="00EE6093" w:rsidP="00BA6F4F">
            <w:pPr>
              <w:autoSpaceDE w:val="0"/>
              <w:autoSpaceDN w:val="0"/>
              <w:adjustRightInd w:val="0"/>
              <w:spacing w:line="276" w:lineRule="auto"/>
              <w:jc w:val="center"/>
              <w:rPr>
                <w:rFonts w:ascii="Rotis Sans Serif Std" w:hAnsi="Rotis Sans Serif Std" w:cs="RotisSansSerifStd-Regular"/>
                <w:b/>
                <w:color w:val="C00000"/>
                <w:lang w:eastAsia="es-ES"/>
              </w:rPr>
            </w:pPr>
            <w:r w:rsidRPr="003E2B63">
              <w:rPr>
                <w:rFonts w:ascii="Rotis Sans Serif Std" w:hAnsi="Rotis Sans Serif Std" w:cs="RotisSansSerifStd-Regular"/>
                <w:b/>
                <w:color w:val="C00000"/>
                <w:lang w:eastAsia="es-ES"/>
              </w:rPr>
              <w:t xml:space="preserve">que han afectat a un total de </w:t>
            </w:r>
            <w:r w:rsidR="00BA6F4F">
              <w:rPr>
                <w:rFonts w:ascii="Rotis Sans Serif Std" w:hAnsi="Rotis Sans Serif Std" w:cs="RotisSansSerifStd-Regular"/>
                <w:b/>
                <w:color w:val="C00000"/>
                <w:lang w:eastAsia="es-ES"/>
              </w:rPr>
              <w:t>4.132</w:t>
            </w:r>
            <w:r w:rsidR="00C5470C">
              <w:rPr>
                <w:rFonts w:ascii="Rotis Sans Serif Std" w:hAnsi="Rotis Sans Serif Std" w:cs="RotisSansSerifStd-Regular"/>
                <w:b/>
                <w:color w:val="C00000"/>
                <w:lang w:eastAsia="es-ES"/>
              </w:rPr>
              <w:t xml:space="preserve"> t</w:t>
            </w:r>
            <w:r w:rsidR="005F5E4F">
              <w:rPr>
                <w:rFonts w:ascii="Rotis Sans Serif Std" w:hAnsi="Rotis Sans Serif Std" w:cs="RotisSansSerifStd-Regular"/>
                <w:b/>
                <w:color w:val="C00000"/>
                <w:lang w:eastAsia="es-ES"/>
              </w:rPr>
              <w:t>reballadors (</w:t>
            </w:r>
            <w:r w:rsidR="00BA6F4F">
              <w:rPr>
                <w:rFonts w:ascii="Rotis Sans Serif Std" w:hAnsi="Rotis Sans Serif Std" w:cs="RotisSansSerifStd-Regular"/>
                <w:b/>
                <w:color w:val="C00000"/>
                <w:lang w:eastAsia="es-ES"/>
              </w:rPr>
              <w:t>28,24</w:t>
            </w:r>
            <w:r w:rsidRPr="003E2B63">
              <w:rPr>
                <w:rFonts w:ascii="Rotis Sans Serif Std" w:hAnsi="Rotis Sans Serif Std" w:cs="RotisSansSerifStd-Regular"/>
                <w:b/>
                <w:color w:val="C00000"/>
                <w:lang w:eastAsia="es-ES"/>
              </w:rPr>
              <w:t>%).</w:t>
            </w:r>
          </w:p>
        </w:tc>
      </w:tr>
    </w:tbl>
    <w:p w:rsidR="00EE6093" w:rsidRDefault="00EE6093" w:rsidP="00EE6093">
      <w:pPr>
        <w:tabs>
          <w:tab w:val="left" w:pos="-4962"/>
          <w:tab w:val="left" w:pos="-4678"/>
        </w:tabs>
        <w:spacing w:line="276" w:lineRule="auto"/>
        <w:jc w:val="both"/>
        <w:rPr>
          <w:rFonts w:ascii="Rotis Sans Serif Std" w:hAnsi="Rotis Sans Serif Std" w:cs="RotisSansSerifStd-Regular"/>
          <w:bCs/>
          <w:color w:val="5E6061"/>
          <w:lang w:eastAsia="es-ES_tradnl"/>
        </w:rPr>
      </w:pPr>
    </w:p>
    <w:p w:rsidR="00EE6093" w:rsidRDefault="00EE6093" w:rsidP="00EE6093">
      <w:pPr>
        <w:tabs>
          <w:tab w:val="left" w:pos="-4962"/>
          <w:tab w:val="left" w:pos="-4678"/>
        </w:tabs>
        <w:spacing w:line="276" w:lineRule="auto"/>
        <w:jc w:val="both"/>
        <w:rPr>
          <w:rFonts w:ascii="Rotis Sans Serif Std" w:hAnsi="Rotis Sans Serif Std" w:cs="RotisSansSerifStd-Regular"/>
          <w:bCs/>
          <w:color w:val="5E6061"/>
          <w:lang w:eastAsia="es-ES_tradnl"/>
        </w:rPr>
      </w:pPr>
    </w:p>
    <w:p w:rsidR="00EE6093" w:rsidRDefault="00EE6093" w:rsidP="00EE6093">
      <w:pPr>
        <w:tabs>
          <w:tab w:val="left" w:pos="-4962"/>
          <w:tab w:val="left" w:pos="-4678"/>
        </w:tabs>
        <w:spacing w:line="276" w:lineRule="auto"/>
        <w:jc w:val="both"/>
        <w:rPr>
          <w:rFonts w:ascii="Rotis Sans Serif Std" w:hAnsi="Rotis Sans Serif Std" w:cs="RotisSansSerifStd-Regular"/>
          <w:bCs/>
          <w:color w:val="5E6061"/>
          <w:lang w:eastAsia="es-ES_tradnl"/>
        </w:rPr>
      </w:pPr>
    </w:p>
    <w:p w:rsidR="00EE6093" w:rsidRDefault="00EE6093" w:rsidP="00EE6093">
      <w:pPr>
        <w:tabs>
          <w:tab w:val="left" w:pos="-4962"/>
          <w:tab w:val="left" w:pos="-4678"/>
        </w:tabs>
        <w:spacing w:line="276" w:lineRule="auto"/>
        <w:jc w:val="both"/>
        <w:rPr>
          <w:rFonts w:ascii="Rotis Sans Serif Std" w:hAnsi="Rotis Sans Serif Std" w:cs="RotisSansSerifStd-Regular"/>
          <w:bCs/>
          <w:color w:val="5E6061"/>
          <w:lang w:eastAsia="es-ES_tradnl"/>
        </w:rPr>
      </w:pPr>
    </w:p>
    <w:p w:rsidR="00EE6093" w:rsidRDefault="00EE6093" w:rsidP="00EE6093">
      <w:pPr>
        <w:pStyle w:val="TEXTBOLD"/>
        <w:spacing w:line="276" w:lineRule="auto"/>
        <w:rPr>
          <w:b w:val="0"/>
          <w:sz w:val="24"/>
          <w:szCs w:val="24"/>
          <w:lang w:val="ca-ES"/>
        </w:rPr>
      </w:pPr>
    </w:p>
    <w:p w:rsidR="00EE6093" w:rsidRDefault="00EE6093" w:rsidP="00EE6093">
      <w:pPr>
        <w:tabs>
          <w:tab w:val="left" w:pos="6135"/>
        </w:tabs>
        <w:spacing w:line="276" w:lineRule="auto"/>
        <w:jc w:val="both"/>
        <w:rPr>
          <w:rFonts w:ascii="Rotis Sans Serif Std" w:hAnsi="Rotis Sans Serif Std" w:cs="RotisSansSerifStd-Regular"/>
          <w:bCs/>
          <w:color w:val="5E6061"/>
          <w:lang w:eastAsia="es-ES_tradnl"/>
        </w:rPr>
      </w:pPr>
    </w:p>
    <w:p w:rsidR="00EE6093" w:rsidRDefault="00EE6093" w:rsidP="00EE6093">
      <w:pPr>
        <w:tabs>
          <w:tab w:val="left" w:pos="6135"/>
        </w:tabs>
        <w:spacing w:line="276" w:lineRule="auto"/>
        <w:jc w:val="both"/>
        <w:rPr>
          <w:rFonts w:ascii="Rotis Sans Serif Std" w:hAnsi="Rotis Sans Serif Std" w:cs="RotisSansSerifStd-Regular"/>
          <w:bCs/>
          <w:color w:val="5E6061"/>
          <w:lang w:eastAsia="es-ES_tradnl"/>
        </w:rPr>
      </w:pPr>
      <w:r>
        <w:rPr>
          <w:rFonts w:ascii="Rotis Sans Serif Std" w:hAnsi="Rotis Sans Serif Std" w:cs="RotisSansSerifStd-Regular"/>
          <w:bCs/>
          <w:color w:val="5E6061"/>
          <w:lang w:eastAsia="es-ES_tradnl"/>
        </w:rPr>
        <w:t>E</w:t>
      </w:r>
      <w:r w:rsidRPr="00EA5418">
        <w:rPr>
          <w:rFonts w:ascii="Rotis Sans Serif Std" w:hAnsi="Rotis Sans Serif Std" w:cs="RotisSansSerifStd-Regular"/>
          <w:bCs/>
          <w:color w:val="5E6061"/>
          <w:lang w:eastAsia="es-ES_tradnl"/>
        </w:rPr>
        <w:t>ls expedients que suposen l’adopció de mesures de flexibilitat interna (suspensió de contracte de treball i reducció de la jornada de treballador) han anat guanyant major pes</w:t>
      </w:r>
      <w:r w:rsidR="00364845">
        <w:rPr>
          <w:rFonts w:ascii="Rotis Sans Serif Std" w:hAnsi="Rotis Sans Serif Std" w:cs="RotisSansSerifStd-Regular"/>
          <w:bCs/>
          <w:color w:val="5E6061"/>
          <w:lang w:eastAsia="es-ES_tradnl"/>
        </w:rPr>
        <w:t>, amb caràcter general,</w:t>
      </w:r>
      <w:r w:rsidRPr="00EA5418">
        <w:rPr>
          <w:rFonts w:ascii="Rotis Sans Serif Std" w:hAnsi="Rotis Sans Serif Std" w:cs="RotisSansSerifStd-Regular"/>
          <w:bCs/>
          <w:color w:val="5E6061"/>
          <w:lang w:eastAsia="es-ES_tradnl"/>
        </w:rPr>
        <w:t xml:space="preserve"> vers els que suposen l’extinció de la relació de treball. Per tant, del total d’expedients que es van presentar en l’any 2003 els expedients d’extinció suposaven el </w:t>
      </w:r>
      <w:r>
        <w:rPr>
          <w:rFonts w:ascii="Rotis Sans Serif Std" w:hAnsi="Rotis Sans Serif Std" w:cs="RotisSansSerifStd-Regular"/>
          <w:bCs/>
          <w:color w:val="5E6061"/>
          <w:lang w:eastAsia="es-ES_tradnl"/>
        </w:rPr>
        <w:t>68,74</w:t>
      </w:r>
      <w:r w:rsidRPr="00EA5418">
        <w:rPr>
          <w:rFonts w:ascii="Rotis Sans Serif Std" w:hAnsi="Rotis Sans Serif Std" w:cs="RotisSansSerifStd-Regular"/>
          <w:bCs/>
          <w:color w:val="5E6061"/>
          <w:lang w:eastAsia="es-ES_tradnl"/>
        </w:rPr>
        <w:t xml:space="preserve">%, l‘any 2007 </w:t>
      </w:r>
      <w:r w:rsidR="00364845">
        <w:rPr>
          <w:rFonts w:ascii="Rotis Sans Serif Std" w:hAnsi="Rotis Sans Serif Std" w:cs="RotisSansSerifStd-Regular"/>
          <w:bCs/>
          <w:color w:val="5E6061"/>
          <w:lang w:eastAsia="es-ES_tradnl"/>
        </w:rPr>
        <w:t>comportaven</w:t>
      </w:r>
      <w:r>
        <w:rPr>
          <w:rFonts w:ascii="Rotis Sans Serif Std" w:hAnsi="Rotis Sans Serif Std" w:cs="RotisSansSerifStd-Regular"/>
          <w:bCs/>
          <w:color w:val="5E6061"/>
          <w:lang w:eastAsia="es-ES_tradnl"/>
        </w:rPr>
        <w:t xml:space="preserve"> </w:t>
      </w:r>
      <w:r w:rsidRPr="00EA5418">
        <w:rPr>
          <w:rFonts w:ascii="Rotis Sans Serif Std" w:hAnsi="Rotis Sans Serif Std" w:cs="RotisSansSerifStd-Regular"/>
          <w:bCs/>
          <w:color w:val="5E6061"/>
          <w:lang w:eastAsia="es-ES_tradnl"/>
        </w:rPr>
        <w:t xml:space="preserve">el </w:t>
      </w:r>
      <w:r>
        <w:rPr>
          <w:rFonts w:ascii="Rotis Sans Serif Std" w:hAnsi="Rotis Sans Serif Std" w:cs="RotisSansSerifStd-Regular"/>
          <w:bCs/>
          <w:color w:val="5E6061"/>
          <w:lang w:eastAsia="es-ES_tradnl"/>
        </w:rPr>
        <w:t>60,41</w:t>
      </w:r>
      <w:r w:rsidRPr="00EA5418">
        <w:rPr>
          <w:rFonts w:ascii="Rotis Sans Serif Std" w:hAnsi="Rotis Sans Serif Std" w:cs="RotisSansSerifStd-Regular"/>
          <w:bCs/>
          <w:color w:val="5E6061"/>
          <w:lang w:eastAsia="es-ES_tradnl"/>
        </w:rPr>
        <w:t>%</w:t>
      </w:r>
      <w:r>
        <w:rPr>
          <w:rFonts w:ascii="Rotis Sans Serif Std" w:hAnsi="Rotis Sans Serif Std" w:cs="RotisSansSerifStd-Regular"/>
          <w:bCs/>
          <w:color w:val="5E6061"/>
          <w:lang w:eastAsia="es-ES_tradnl"/>
        </w:rPr>
        <w:t>, el 20,03% en 2015</w:t>
      </w:r>
      <w:r w:rsidR="00A74AF6">
        <w:rPr>
          <w:rFonts w:ascii="Rotis Sans Serif Std" w:hAnsi="Rotis Sans Serif Std" w:cs="RotisSansSerifStd-Regular"/>
          <w:bCs/>
          <w:color w:val="5E6061"/>
          <w:lang w:eastAsia="es-ES_tradnl"/>
        </w:rPr>
        <w:t>, en</w:t>
      </w:r>
      <w:r>
        <w:rPr>
          <w:rFonts w:ascii="Rotis Sans Serif Std" w:hAnsi="Rotis Sans Serif Std" w:cs="RotisSansSerifStd-Regular"/>
          <w:bCs/>
          <w:color w:val="5E6061"/>
          <w:lang w:eastAsia="es-ES_tradnl"/>
        </w:rPr>
        <w:t xml:space="preserve"> 2016 suposen </w:t>
      </w:r>
      <w:r w:rsidRPr="00EA5418">
        <w:rPr>
          <w:rFonts w:ascii="Rotis Sans Serif Std" w:hAnsi="Rotis Sans Serif Std" w:cs="RotisSansSerifStd-Regular"/>
          <w:bCs/>
          <w:color w:val="5E6061"/>
          <w:lang w:eastAsia="es-ES_tradnl"/>
        </w:rPr>
        <w:t xml:space="preserve">el </w:t>
      </w:r>
      <w:r>
        <w:rPr>
          <w:rFonts w:ascii="Rotis Sans Serif Std" w:hAnsi="Rotis Sans Serif Std" w:cs="RotisSansSerifStd-Regular"/>
          <w:bCs/>
          <w:color w:val="5E6061"/>
          <w:lang w:eastAsia="es-ES_tradnl"/>
        </w:rPr>
        <w:t>28,43</w:t>
      </w:r>
      <w:r w:rsidRPr="00EA5418">
        <w:rPr>
          <w:rFonts w:ascii="Rotis Sans Serif Std" w:hAnsi="Rotis Sans Serif Std" w:cs="RotisSansSerifStd-Regular"/>
          <w:bCs/>
          <w:color w:val="5E6061"/>
          <w:lang w:eastAsia="es-ES_tradnl"/>
        </w:rPr>
        <w:t>%</w:t>
      </w:r>
      <w:r w:rsidR="00364845">
        <w:rPr>
          <w:rFonts w:ascii="Rotis Sans Serif Std" w:hAnsi="Rotis Sans Serif Std" w:cs="RotisSansSerifStd-Regular"/>
          <w:bCs/>
          <w:color w:val="5E6061"/>
          <w:lang w:eastAsia="es-ES_tradnl"/>
        </w:rPr>
        <w:t>,</w:t>
      </w:r>
      <w:r w:rsidR="00F4369A">
        <w:rPr>
          <w:rFonts w:ascii="Rotis Sans Serif Std" w:hAnsi="Rotis Sans Serif Std" w:cs="RotisSansSerifStd-Regular"/>
          <w:bCs/>
          <w:color w:val="5E6061"/>
          <w:lang w:eastAsia="es-ES_tradnl"/>
        </w:rPr>
        <w:t xml:space="preserve"> en 2017 el 32,29% i</w:t>
      </w:r>
      <w:r w:rsidR="005F5E4F">
        <w:rPr>
          <w:rFonts w:ascii="Rotis Sans Serif Std" w:hAnsi="Rotis Sans Serif Std" w:cs="RotisSansSerifStd-Regular"/>
          <w:bCs/>
          <w:color w:val="5E6061"/>
          <w:lang w:eastAsia="es-ES_tradnl"/>
        </w:rPr>
        <w:t xml:space="preserve"> fins a</w:t>
      </w:r>
      <w:r w:rsidR="00BA6F4F">
        <w:rPr>
          <w:rFonts w:ascii="Rotis Sans Serif Std" w:hAnsi="Rotis Sans Serif Std" w:cs="RotisSansSerifStd-Regular"/>
          <w:bCs/>
          <w:color w:val="5E6061"/>
          <w:lang w:eastAsia="es-ES_tradnl"/>
        </w:rPr>
        <w:t xml:space="preserve"> </w:t>
      </w:r>
      <w:r w:rsidR="005F5E4F">
        <w:rPr>
          <w:rFonts w:ascii="Rotis Sans Serif Std" w:hAnsi="Rotis Sans Serif Std" w:cs="RotisSansSerifStd-Regular"/>
          <w:bCs/>
          <w:color w:val="5E6061"/>
          <w:lang w:eastAsia="es-ES_tradnl"/>
        </w:rPr>
        <w:t>l</w:t>
      </w:r>
      <w:r w:rsidR="00BA6F4F">
        <w:rPr>
          <w:rFonts w:ascii="Rotis Sans Serif Std" w:hAnsi="Rotis Sans Serif Std" w:cs="RotisSansSerifStd-Regular"/>
          <w:bCs/>
          <w:color w:val="5E6061"/>
          <w:lang w:eastAsia="es-ES_tradnl"/>
        </w:rPr>
        <w:t>’agost</w:t>
      </w:r>
      <w:r w:rsidR="005F5E4F">
        <w:rPr>
          <w:rFonts w:ascii="Rotis Sans Serif Std" w:hAnsi="Rotis Sans Serif Std" w:cs="RotisSansSerifStd-Regular"/>
          <w:bCs/>
          <w:color w:val="5E6061"/>
          <w:lang w:eastAsia="es-ES_tradnl"/>
        </w:rPr>
        <w:t xml:space="preserve"> del 2018</w:t>
      </w:r>
      <w:r w:rsidR="00A74AF6">
        <w:rPr>
          <w:rFonts w:ascii="Rotis Sans Serif Std" w:hAnsi="Rotis Sans Serif Std" w:cs="RotisSansSerifStd-Regular"/>
          <w:bCs/>
          <w:color w:val="5E6061"/>
          <w:lang w:eastAsia="es-ES_tradnl"/>
        </w:rPr>
        <w:t xml:space="preserve"> </w:t>
      </w:r>
      <w:r w:rsidR="00364845">
        <w:rPr>
          <w:rFonts w:ascii="Rotis Sans Serif Std" w:hAnsi="Rotis Sans Serif Std" w:cs="RotisSansSerifStd-Regular"/>
          <w:bCs/>
          <w:color w:val="5E6061"/>
          <w:lang w:eastAsia="es-ES_tradnl"/>
        </w:rPr>
        <w:t xml:space="preserve"> </w:t>
      </w:r>
      <w:r w:rsidR="00A74AF6">
        <w:rPr>
          <w:rFonts w:ascii="Rotis Sans Serif Std" w:hAnsi="Rotis Sans Serif Std" w:cs="RotisSansSerifStd-Regular"/>
          <w:bCs/>
          <w:color w:val="5E6061"/>
          <w:lang w:eastAsia="es-ES_tradnl"/>
        </w:rPr>
        <w:t xml:space="preserve">un  </w:t>
      </w:r>
      <w:r w:rsidR="00BA6F4F">
        <w:rPr>
          <w:rFonts w:ascii="Rotis Sans Serif Std" w:hAnsi="Rotis Sans Serif Std" w:cs="RotisSansSerifStd-Regular"/>
          <w:bCs/>
          <w:color w:val="5E6061"/>
          <w:lang w:eastAsia="es-ES_tradnl"/>
        </w:rPr>
        <w:t>38,38</w:t>
      </w:r>
      <w:r w:rsidR="00A74AF6">
        <w:rPr>
          <w:rFonts w:ascii="Rotis Sans Serif Std" w:hAnsi="Rotis Sans Serif Std" w:cs="RotisSansSerifStd-Regular"/>
          <w:bCs/>
          <w:color w:val="5E6061"/>
          <w:lang w:eastAsia="es-ES_tradnl"/>
        </w:rPr>
        <w:t>%</w:t>
      </w:r>
      <w:r w:rsidRPr="00EA5418">
        <w:rPr>
          <w:rFonts w:ascii="Rotis Sans Serif Std" w:hAnsi="Rotis Sans Serif Std" w:cs="RotisSansSerifStd-Regular"/>
          <w:bCs/>
          <w:color w:val="5E6061"/>
          <w:lang w:eastAsia="es-ES_tradnl"/>
        </w:rPr>
        <w:t>.</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054"/>
      </w:tblGrid>
      <w:tr w:rsidR="00EE6093" w:rsidRPr="000844D1" w:rsidTr="00C87B5C">
        <w:trPr>
          <w:trHeight w:val="1592"/>
          <w:jc w:val="center"/>
        </w:trPr>
        <w:tc>
          <w:tcPr>
            <w:tcW w:w="5054" w:type="dxa"/>
            <w:shd w:val="clear" w:color="auto" w:fill="FFFFFF"/>
            <w:vAlign w:val="center"/>
          </w:tcPr>
          <w:p w:rsidR="00EE6093" w:rsidRPr="003E2B63" w:rsidRDefault="00EE6093" w:rsidP="00680A1D">
            <w:pPr>
              <w:autoSpaceDE w:val="0"/>
              <w:autoSpaceDN w:val="0"/>
              <w:adjustRightInd w:val="0"/>
              <w:spacing w:line="276" w:lineRule="auto"/>
              <w:jc w:val="center"/>
              <w:rPr>
                <w:rFonts w:ascii="Rotis Sans Serif Std" w:hAnsi="Rotis Sans Serif Std" w:cs="RotisSansSerifStd-Regular"/>
                <w:b/>
                <w:color w:val="C00000"/>
                <w:lang w:eastAsia="es-ES"/>
              </w:rPr>
            </w:pPr>
            <w:r w:rsidRPr="003E2B63">
              <w:rPr>
                <w:rFonts w:ascii="Rotis Sans Serif Std" w:hAnsi="Rotis Sans Serif Std" w:cs="RotisSansSerifStd-Regular"/>
                <w:b/>
                <w:color w:val="C00000"/>
                <w:lang w:eastAsia="es-ES"/>
              </w:rPr>
              <w:t>Del total d’expedients que es van presentar en l’any 2003</w:t>
            </w:r>
            <w:r w:rsidR="00A74AF6">
              <w:rPr>
                <w:rFonts w:ascii="Rotis Sans Serif Std" w:hAnsi="Rotis Sans Serif Std" w:cs="RotisSansSerifStd-Regular"/>
                <w:b/>
                <w:color w:val="C00000"/>
                <w:lang w:eastAsia="es-ES"/>
              </w:rPr>
              <w:t xml:space="preserve"> </w:t>
            </w:r>
            <w:r w:rsidRPr="003E2B63">
              <w:rPr>
                <w:rFonts w:ascii="Rotis Sans Serif Std" w:hAnsi="Rotis Sans Serif Std" w:cs="RotisSansSerifStd-Regular"/>
                <w:b/>
                <w:color w:val="C00000"/>
                <w:lang w:eastAsia="es-ES"/>
              </w:rPr>
              <w:t xml:space="preserve"> els d’extinció suposaven el 68,74%, l‘any 2007</w:t>
            </w:r>
            <w:r>
              <w:rPr>
                <w:rFonts w:ascii="Rotis Sans Serif Std" w:hAnsi="Rotis Sans Serif Std" w:cs="RotisSansSerifStd-Regular"/>
                <w:b/>
                <w:color w:val="C00000"/>
                <w:lang w:eastAsia="es-ES"/>
              </w:rPr>
              <w:t xml:space="preserve"> comporten</w:t>
            </w:r>
            <w:r w:rsidRPr="003E2B63">
              <w:rPr>
                <w:rFonts w:ascii="Rotis Sans Serif Std" w:hAnsi="Rotis Sans Serif Std" w:cs="RotisSansSerifStd-Regular"/>
                <w:b/>
                <w:color w:val="C00000"/>
                <w:lang w:eastAsia="es-ES"/>
              </w:rPr>
              <w:t xml:space="preserve"> el 60,41%, el 20,03% en 2015</w:t>
            </w:r>
            <w:r w:rsidR="00A74AF6">
              <w:rPr>
                <w:rFonts w:ascii="Rotis Sans Serif Std" w:hAnsi="Rotis Sans Serif Std" w:cs="RotisSansSerifStd-Regular"/>
                <w:b/>
                <w:color w:val="C00000"/>
                <w:lang w:eastAsia="es-ES"/>
              </w:rPr>
              <w:t>, en 2016 el 28,43%</w:t>
            </w:r>
            <w:r w:rsidR="00F4369A">
              <w:rPr>
                <w:rFonts w:ascii="Rotis Sans Serif Std" w:hAnsi="Rotis Sans Serif Std" w:cs="RotisSansSerifStd-Regular"/>
                <w:b/>
                <w:color w:val="C00000"/>
                <w:lang w:eastAsia="es-ES"/>
              </w:rPr>
              <w:t>, en 2017 el 32,29 i fins al març del 2018</w:t>
            </w:r>
            <w:r w:rsidR="00A74AF6">
              <w:rPr>
                <w:rFonts w:ascii="Rotis Sans Serif Std" w:hAnsi="Rotis Sans Serif Std" w:cs="RotisSansSerifStd-Regular"/>
                <w:b/>
                <w:color w:val="C00000"/>
                <w:lang w:eastAsia="es-ES"/>
              </w:rPr>
              <w:t xml:space="preserve"> el </w:t>
            </w:r>
            <w:r w:rsidR="00680A1D">
              <w:rPr>
                <w:rFonts w:ascii="Rotis Sans Serif Std" w:hAnsi="Rotis Sans Serif Std" w:cs="RotisSansSerifStd-Regular"/>
                <w:b/>
                <w:color w:val="C00000"/>
                <w:lang w:eastAsia="es-ES"/>
              </w:rPr>
              <w:t>38,38</w:t>
            </w:r>
            <w:r w:rsidR="00A74AF6">
              <w:rPr>
                <w:rFonts w:ascii="Rotis Sans Serif Std" w:hAnsi="Rotis Sans Serif Std" w:cs="RotisSansSerifStd-Regular"/>
                <w:b/>
                <w:color w:val="C00000"/>
                <w:lang w:eastAsia="es-ES"/>
              </w:rPr>
              <w:t>%.</w:t>
            </w:r>
          </w:p>
        </w:tc>
      </w:tr>
    </w:tbl>
    <w:p w:rsidR="006E4C78" w:rsidRDefault="006E4C78" w:rsidP="00EE6093">
      <w:pPr>
        <w:pStyle w:val="TEXTBOLD"/>
        <w:spacing w:line="276" w:lineRule="auto"/>
        <w:rPr>
          <w:b w:val="0"/>
          <w:sz w:val="24"/>
          <w:szCs w:val="24"/>
          <w:lang w:val="ca-ES"/>
        </w:rPr>
      </w:pPr>
    </w:p>
    <w:p w:rsidR="00EE6093" w:rsidRDefault="00EE6093" w:rsidP="00EE6093">
      <w:pPr>
        <w:pStyle w:val="TEXTBOLD"/>
        <w:spacing w:line="276" w:lineRule="auto"/>
        <w:rPr>
          <w:b w:val="0"/>
          <w:sz w:val="24"/>
          <w:szCs w:val="24"/>
          <w:lang w:val="ca-ES"/>
        </w:rPr>
      </w:pPr>
      <w:r w:rsidRPr="00DB6DC4">
        <w:rPr>
          <w:b w:val="0"/>
          <w:sz w:val="24"/>
          <w:szCs w:val="24"/>
          <w:lang w:val="ca-ES"/>
        </w:rPr>
        <w:t>Segons l’àmbit territorial</w:t>
      </w:r>
      <w:r w:rsidR="000D6288">
        <w:rPr>
          <w:b w:val="0"/>
          <w:sz w:val="24"/>
          <w:szCs w:val="24"/>
          <w:lang w:val="ca-ES"/>
        </w:rPr>
        <w:t xml:space="preserve">, dels </w:t>
      </w:r>
      <w:r w:rsidR="00680A1D">
        <w:rPr>
          <w:b w:val="0"/>
          <w:sz w:val="24"/>
          <w:szCs w:val="24"/>
          <w:lang w:val="ca-ES"/>
        </w:rPr>
        <w:t>185</w:t>
      </w:r>
      <w:r w:rsidRPr="003B34A5">
        <w:rPr>
          <w:b w:val="0"/>
          <w:sz w:val="24"/>
          <w:szCs w:val="24"/>
          <w:lang w:val="ca-ES"/>
        </w:rPr>
        <w:t xml:space="preserve"> expedients presentats, </w:t>
      </w:r>
      <w:r w:rsidR="00680A1D">
        <w:rPr>
          <w:b w:val="0"/>
          <w:sz w:val="24"/>
          <w:szCs w:val="24"/>
          <w:lang w:val="ca-ES"/>
        </w:rPr>
        <w:t>138</w:t>
      </w:r>
      <w:r w:rsidRPr="003B34A5">
        <w:rPr>
          <w:b w:val="0"/>
          <w:sz w:val="24"/>
          <w:szCs w:val="24"/>
          <w:lang w:val="ca-ES"/>
        </w:rPr>
        <w:t xml:space="preserve"> es van presentar als serveis t</w:t>
      </w:r>
      <w:r w:rsidR="000D6288">
        <w:rPr>
          <w:b w:val="0"/>
          <w:sz w:val="24"/>
          <w:szCs w:val="24"/>
          <w:lang w:val="ca-ES"/>
        </w:rPr>
        <w:t>erritorials de Barcelona (</w:t>
      </w:r>
      <w:r w:rsidR="00680A1D">
        <w:rPr>
          <w:b w:val="0"/>
          <w:sz w:val="24"/>
          <w:szCs w:val="24"/>
          <w:lang w:val="ca-ES"/>
        </w:rPr>
        <w:t>74,59</w:t>
      </w:r>
      <w:r w:rsidRPr="003B34A5">
        <w:rPr>
          <w:b w:val="0"/>
          <w:sz w:val="24"/>
          <w:szCs w:val="24"/>
          <w:lang w:val="ca-ES"/>
        </w:rPr>
        <w:t>%),</w:t>
      </w:r>
      <w:r w:rsidR="000D6288">
        <w:rPr>
          <w:b w:val="0"/>
          <w:sz w:val="24"/>
          <w:szCs w:val="24"/>
          <w:lang w:val="ca-ES"/>
        </w:rPr>
        <w:t>1</w:t>
      </w:r>
      <w:r w:rsidR="00680A1D">
        <w:rPr>
          <w:b w:val="0"/>
          <w:sz w:val="24"/>
          <w:szCs w:val="24"/>
          <w:lang w:val="ca-ES"/>
        </w:rPr>
        <w:t>7</w:t>
      </w:r>
      <w:r w:rsidR="000D6288">
        <w:rPr>
          <w:b w:val="0"/>
          <w:sz w:val="24"/>
          <w:szCs w:val="24"/>
          <w:lang w:val="ca-ES"/>
        </w:rPr>
        <w:t xml:space="preserve"> als de Girona (</w:t>
      </w:r>
      <w:r w:rsidR="00680A1D">
        <w:rPr>
          <w:b w:val="0"/>
          <w:sz w:val="24"/>
          <w:szCs w:val="24"/>
          <w:lang w:val="ca-ES"/>
        </w:rPr>
        <w:t>9,19</w:t>
      </w:r>
      <w:r w:rsidRPr="003B34A5">
        <w:rPr>
          <w:b w:val="0"/>
          <w:sz w:val="24"/>
          <w:szCs w:val="24"/>
          <w:lang w:val="ca-ES"/>
        </w:rPr>
        <w:t xml:space="preserve">%), </w:t>
      </w:r>
      <w:r w:rsidR="00F60B7C">
        <w:rPr>
          <w:b w:val="0"/>
          <w:sz w:val="24"/>
          <w:szCs w:val="24"/>
          <w:lang w:val="ca-ES"/>
        </w:rPr>
        <w:t>5</w:t>
      </w:r>
      <w:r w:rsidR="000D6288">
        <w:rPr>
          <w:b w:val="0"/>
          <w:sz w:val="24"/>
          <w:szCs w:val="24"/>
          <w:lang w:val="ca-ES"/>
        </w:rPr>
        <w:t xml:space="preserve"> a Lleida (</w:t>
      </w:r>
      <w:r w:rsidR="00680A1D">
        <w:rPr>
          <w:b w:val="0"/>
          <w:sz w:val="24"/>
          <w:szCs w:val="24"/>
          <w:lang w:val="ca-ES"/>
        </w:rPr>
        <w:t>2,70</w:t>
      </w:r>
      <w:r w:rsidR="000D6288">
        <w:rPr>
          <w:b w:val="0"/>
          <w:sz w:val="24"/>
          <w:szCs w:val="24"/>
          <w:lang w:val="ca-ES"/>
        </w:rPr>
        <w:t xml:space="preserve">%), </w:t>
      </w:r>
      <w:r w:rsidR="00680A1D">
        <w:rPr>
          <w:b w:val="0"/>
          <w:sz w:val="24"/>
          <w:szCs w:val="24"/>
          <w:lang w:val="ca-ES"/>
        </w:rPr>
        <w:t>11</w:t>
      </w:r>
      <w:r w:rsidR="000D6288">
        <w:rPr>
          <w:b w:val="0"/>
          <w:sz w:val="24"/>
          <w:szCs w:val="24"/>
          <w:lang w:val="ca-ES"/>
        </w:rPr>
        <w:t xml:space="preserve"> a Tarragona (</w:t>
      </w:r>
      <w:r w:rsidR="00680A1D">
        <w:rPr>
          <w:b w:val="0"/>
          <w:sz w:val="24"/>
          <w:szCs w:val="24"/>
          <w:lang w:val="ca-ES"/>
        </w:rPr>
        <w:t>5,95</w:t>
      </w:r>
      <w:r w:rsidR="000D6288">
        <w:rPr>
          <w:b w:val="0"/>
          <w:sz w:val="24"/>
          <w:szCs w:val="24"/>
          <w:lang w:val="ca-ES"/>
        </w:rPr>
        <w:t xml:space="preserve">%),  </w:t>
      </w:r>
      <w:r w:rsidR="00680A1D">
        <w:rPr>
          <w:b w:val="0"/>
          <w:sz w:val="24"/>
          <w:szCs w:val="24"/>
          <w:lang w:val="ca-ES"/>
        </w:rPr>
        <w:t>11</w:t>
      </w:r>
      <w:r w:rsidRPr="003B34A5">
        <w:rPr>
          <w:b w:val="0"/>
          <w:sz w:val="24"/>
          <w:szCs w:val="24"/>
          <w:lang w:val="ca-ES"/>
        </w:rPr>
        <w:t xml:space="preserve"> a Terres de l’Ebre (</w:t>
      </w:r>
      <w:r w:rsidR="00680A1D">
        <w:rPr>
          <w:b w:val="0"/>
          <w:sz w:val="24"/>
          <w:szCs w:val="24"/>
          <w:lang w:val="ca-ES"/>
        </w:rPr>
        <w:t>5,95</w:t>
      </w:r>
      <w:r w:rsidRPr="003B34A5">
        <w:rPr>
          <w:b w:val="0"/>
          <w:sz w:val="24"/>
          <w:szCs w:val="24"/>
          <w:lang w:val="ca-ES"/>
        </w:rPr>
        <w:t xml:space="preserve">%) i </w:t>
      </w:r>
      <w:r w:rsidR="00F60B7C">
        <w:rPr>
          <w:b w:val="0"/>
          <w:sz w:val="24"/>
          <w:szCs w:val="24"/>
          <w:lang w:val="ca-ES"/>
        </w:rPr>
        <w:t>3</w:t>
      </w:r>
      <w:r w:rsidRPr="003B34A5">
        <w:rPr>
          <w:b w:val="0"/>
          <w:sz w:val="24"/>
          <w:szCs w:val="24"/>
          <w:lang w:val="ca-ES"/>
        </w:rPr>
        <w:t xml:space="preserve"> a la Direcció General de Relacions Laboral</w:t>
      </w:r>
      <w:r w:rsidR="000D6288">
        <w:rPr>
          <w:b w:val="0"/>
          <w:sz w:val="24"/>
          <w:szCs w:val="24"/>
          <w:lang w:val="ca-ES"/>
        </w:rPr>
        <w:t>s i Qualitat en el Treball (</w:t>
      </w:r>
      <w:r w:rsidR="00680A1D">
        <w:rPr>
          <w:b w:val="0"/>
          <w:sz w:val="24"/>
          <w:szCs w:val="24"/>
          <w:lang w:val="ca-ES"/>
        </w:rPr>
        <w:t>1,62</w:t>
      </w:r>
      <w:r w:rsidRPr="003B34A5">
        <w:rPr>
          <w:b w:val="0"/>
          <w:sz w:val="24"/>
          <w:szCs w:val="24"/>
          <w:lang w:val="ca-ES"/>
        </w:rPr>
        <w:t>%).</w:t>
      </w:r>
    </w:p>
    <w:p w:rsidR="004905FD" w:rsidRDefault="004905FD" w:rsidP="00EE6093">
      <w:pPr>
        <w:pStyle w:val="TEXTBOLD"/>
        <w:spacing w:line="276" w:lineRule="auto"/>
        <w:rPr>
          <w:b w:val="0"/>
          <w:sz w:val="24"/>
          <w:szCs w:val="24"/>
          <w:lang w:val="ca-ES"/>
        </w:rPr>
      </w:pPr>
    </w:p>
    <w:p w:rsidR="004905FD" w:rsidRPr="003B34A5" w:rsidRDefault="004905FD" w:rsidP="00EE6093">
      <w:pPr>
        <w:pStyle w:val="TEXTBOLD"/>
        <w:spacing w:line="276" w:lineRule="auto"/>
        <w:rPr>
          <w:b w:val="0"/>
          <w:sz w:val="24"/>
          <w:szCs w:val="24"/>
          <w:lang w:val="ca-ES"/>
        </w:rPr>
      </w:pPr>
    </w:p>
    <w:p w:rsidR="001477A8" w:rsidRPr="003171F9" w:rsidRDefault="001477A8" w:rsidP="001477A8">
      <w:pPr>
        <w:shd w:val="clear" w:color="auto" w:fill="F2F2F2"/>
        <w:spacing w:line="276" w:lineRule="auto"/>
        <w:jc w:val="both"/>
        <w:rPr>
          <w:rFonts w:ascii="Rotis Sans Serif Std" w:hAnsi="Rotis Sans Serif Std" w:cs="RotisSansSerifStd-Regular"/>
          <w:b/>
          <w:color w:val="C00000"/>
          <w:lang w:eastAsia="es-ES"/>
        </w:rPr>
      </w:pPr>
      <w:r w:rsidRPr="003171F9">
        <w:rPr>
          <w:rFonts w:ascii="Rotis Sans Serif Std" w:hAnsi="Rotis Sans Serif Std" w:cs="RotisSansSerifStd-Regular"/>
          <w:b/>
          <w:color w:val="C00000"/>
          <w:lang w:eastAsia="es-ES"/>
        </w:rPr>
        <w:t>Conflictivitat laboral</w:t>
      </w:r>
    </w:p>
    <w:p w:rsidR="00A77379" w:rsidRDefault="00A77379" w:rsidP="00926453">
      <w:pPr>
        <w:pStyle w:val="TEXTBOLD"/>
        <w:spacing w:line="276" w:lineRule="auto"/>
        <w:rPr>
          <w:b w:val="0"/>
          <w:bCs/>
          <w:sz w:val="24"/>
          <w:szCs w:val="24"/>
          <w:lang w:val="ca-ES"/>
        </w:rPr>
      </w:pPr>
    </w:p>
    <w:p w:rsidR="00AF01EC" w:rsidRDefault="00AF01EC" w:rsidP="00AF01EC">
      <w:pPr>
        <w:pStyle w:val="TEXTBOLD"/>
        <w:spacing w:line="276" w:lineRule="auto"/>
        <w:rPr>
          <w:b w:val="0"/>
          <w:sz w:val="24"/>
          <w:lang w:val="ca-ES"/>
        </w:rPr>
      </w:pPr>
      <w:r w:rsidRPr="003171F9">
        <w:rPr>
          <w:b w:val="0"/>
          <w:sz w:val="24"/>
          <w:lang w:val="ca-ES"/>
        </w:rPr>
        <w:t>Segons les darreres dades publicades per</w:t>
      </w:r>
      <w:r w:rsidRPr="00FF33F3">
        <w:rPr>
          <w:b w:val="0"/>
          <w:sz w:val="18"/>
          <w:szCs w:val="20"/>
          <w:lang w:val="ca-ES"/>
        </w:rPr>
        <w:t xml:space="preserve"> </w:t>
      </w:r>
      <w:r w:rsidRPr="00FF33F3">
        <w:rPr>
          <w:b w:val="0"/>
          <w:sz w:val="24"/>
          <w:lang w:val="ca-ES"/>
        </w:rPr>
        <w:t>l’Observatori del Treball i Model Productiu</w:t>
      </w:r>
      <w:r w:rsidRPr="003171F9">
        <w:rPr>
          <w:b w:val="0"/>
          <w:sz w:val="24"/>
          <w:lang w:val="ca-ES"/>
        </w:rPr>
        <w:t xml:space="preserve">, a Catalunya </w:t>
      </w:r>
      <w:r>
        <w:rPr>
          <w:b w:val="0"/>
          <w:sz w:val="24"/>
          <w:lang w:val="ca-ES"/>
        </w:rPr>
        <w:t xml:space="preserve">fins al mes de maig de 2018, </w:t>
      </w:r>
      <w:r w:rsidRPr="003171F9">
        <w:rPr>
          <w:b w:val="0"/>
          <w:sz w:val="24"/>
          <w:lang w:val="ca-ES"/>
        </w:rPr>
        <w:t xml:space="preserve">s’han produït </w:t>
      </w:r>
      <w:r>
        <w:rPr>
          <w:b w:val="0"/>
          <w:sz w:val="24"/>
          <w:lang w:val="ca-ES"/>
        </w:rPr>
        <w:t xml:space="preserve">44 </w:t>
      </w:r>
      <w:r w:rsidRPr="003171F9">
        <w:rPr>
          <w:b w:val="0"/>
          <w:sz w:val="24"/>
          <w:lang w:val="ca-ES"/>
        </w:rPr>
        <w:t>va</w:t>
      </w:r>
      <w:r>
        <w:rPr>
          <w:b w:val="0"/>
          <w:sz w:val="24"/>
          <w:lang w:val="ca-ES"/>
        </w:rPr>
        <w:t>gues</w:t>
      </w:r>
      <w:r w:rsidRPr="003171F9">
        <w:rPr>
          <w:b w:val="0"/>
          <w:sz w:val="24"/>
          <w:lang w:val="ca-ES"/>
        </w:rPr>
        <w:t xml:space="preserve">, amb un total de </w:t>
      </w:r>
      <w:r>
        <w:rPr>
          <w:b w:val="0"/>
          <w:sz w:val="24"/>
          <w:lang w:val="ca-ES"/>
        </w:rPr>
        <w:t>17.082</w:t>
      </w:r>
      <w:r w:rsidRPr="003171F9">
        <w:rPr>
          <w:b w:val="0"/>
          <w:sz w:val="24"/>
          <w:lang w:val="ca-ES"/>
        </w:rPr>
        <w:t xml:space="preserve"> treballadors participants i </w:t>
      </w:r>
      <w:r>
        <w:rPr>
          <w:b w:val="0"/>
          <w:sz w:val="24"/>
          <w:lang w:val="ca-ES"/>
        </w:rPr>
        <w:t>75.773</w:t>
      </w:r>
      <w:r w:rsidRPr="003171F9">
        <w:rPr>
          <w:b w:val="0"/>
          <w:sz w:val="24"/>
          <w:lang w:val="ca-ES"/>
        </w:rPr>
        <w:t xml:space="preserve"> jornades laborals perdudes, </w:t>
      </w:r>
      <w:r>
        <w:rPr>
          <w:b w:val="0"/>
          <w:sz w:val="24"/>
          <w:lang w:val="ca-ES"/>
        </w:rPr>
        <w:t>disminuint</w:t>
      </w:r>
      <w:r w:rsidRPr="003171F9">
        <w:rPr>
          <w:b w:val="0"/>
          <w:sz w:val="24"/>
          <w:lang w:val="ca-ES"/>
        </w:rPr>
        <w:t xml:space="preserve"> e</w:t>
      </w:r>
      <w:r>
        <w:rPr>
          <w:b w:val="0"/>
          <w:sz w:val="24"/>
          <w:lang w:val="ca-ES"/>
        </w:rPr>
        <w:t xml:space="preserve">l nombre de vagues registrades un -23% respecte el mateix període de l’any 2017. No obstant, augmenten en un 143% el nombre de jornades perdudes </w:t>
      </w:r>
      <w:r w:rsidRPr="003171F9">
        <w:rPr>
          <w:b w:val="0"/>
          <w:sz w:val="24"/>
          <w:lang w:val="ca-ES"/>
        </w:rPr>
        <w:t>(</w:t>
      </w:r>
      <w:r>
        <w:rPr>
          <w:b w:val="0"/>
          <w:sz w:val="24"/>
          <w:lang w:val="ca-ES"/>
        </w:rPr>
        <w:t>44.576 jornades perdudes més</w:t>
      </w:r>
      <w:r w:rsidRPr="003171F9">
        <w:rPr>
          <w:b w:val="0"/>
          <w:sz w:val="24"/>
          <w:lang w:val="ca-ES"/>
        </w:rPr>
        <w:t xml:space="preserve">) </w:t>
      </w:r>
      <w:r>
        <w:rPr>
          <w:b w:val="0"/>
          <w:sz w:val="24"/>
          <w:lang w:val="ca-ES"/>
        </w:rPr>
        <w:t xml:space="preserve">i en un 23% </w:t>
      </w:r>
      <w:r w:rsidRPr="003171F9">
        <w:rPr>
          <w:b w:val="0"/>
          <w:sz w:val="24"/>
          <w:lang w:val="ca-ES"/>
        </w:rPr>
        <w:t>el nombre</w:t>
      </w:r>
      <w:r>
        <w:rPr>
          <w:b w:val="0"/>
          <w:sz w:val="24"/>
          <w:lang w:val="ca-ES"/>
        </w:rPr>
        <w:t xml:space="preserve"> de treballadors participants (3.197 més</w:t>
      </w:r>
      <w:r w:rsidRPr="003171F9">
        <w:rPr>
          <w:b w:val="0"/>
          <w:sz w:val="24"/>
          <w:lang w:val="ca-ES"/>
        </w:rPr>
        <w:t>) i per tant, l’índex d’inci</w:t>
      </w:r>
      <w:r>
        <w:rPr>
          <w:b w:val="0"/>
          <w:sz w:val="24"/>
          <w:lang w:val="ca-ES"/>
        </w:rPr>
        <w:t xml:space="preserve">dència </w:t>
      </w:r>
      <w:r w:rsidRPr="003171F9">
        <w:rPr>
          <w:b w:val="0"/>
          <w:sz w:val="24"/>
          <w:lang w:val="ca-ES"/>
        </w:rPr>
        <w:t xml:space="preserve">passa del </w:t>
      </w:r>
      <w:r>
        <w:rPr>
          <w:b w:val="0"/>
          <w:sz w:val="24"/>
          <w:lang w:val="ca-ES"/>
        </w:rPr>
        <w:t>7,8</w:t>
      </w:r>
      <w:r w:rsidRPr="003171F9">
        <w:rPr>
          <w:b w:val="0"/>
          <w:sz w:val="24"/>
          <w:lang w:val="ca-ES"/>
        </w:rPr>
        <w:t xml:space="preserve">% </w:t>
      </w:r>
      <w:r>
        <w:rPr>
          <w:b w:val="0"/>
          <w:sz w:val="24"/>
          <w:lang w:val="ca-ES"/>
        </w:rPr>
        <w:t>en</w:t>
      </w:r>
      <w:r w:rsidRPr="003171F9">
        <w:rPr>
          <w:b w:val="0"/>
          <w:sz w:val="24"/>
          <w:lang w:val="ca-ES"/>
        </w:rPr>
        <w:t xml:space="preserve"> 201</w:t>
      </w:r>
      <w:r>
        <w:rPr>
          <w:b w:val="0"/>
          <w:sz w:val="24"/>
          <w:lang w:val="ca-ES"/>
        </w:rPr>
        <w:t>7</w:t>
      </w:r>
      <w:r w:rsidRPr="003171F9">
        <w:rPr>
          <w:b w:val="0"/>
          <w:sz w:val="24"/>
          <w:lang w:val="ca-ES"/>
        </w:rPr>
        <w:t xml:space="preserve"> al </w:t>
      </w:r>
      <w:r>
        <w:rPr>
          <w:b w:val="0"/>
          <w:sz w:val="24"/>
          <w:lang w:val="ca-ES"/>
        </w:rPr>
        <w:t>69,9% en 2018</w:t>
      </w:r>
      <w:r w:rsidRPr="003171F9">
        <w:rPr>
          <w:b w:val="0"/>
          <w:sz w:val="24"/>
          <w:lang w:val="ca-ES"/>
        </w:rPr>
        <w:t xml:space="preserve">. </w:t>
      </w:r>
    </w:p>
    <w:p w:rsidR="00AF01EC" w:rsidRDefault="00AF01EC" w:rsidP="00AF01EC">
      <w:pPr>
        <w:pStyle w:val="TEXTBOLD"/>
        <w:spacing w:line="276" w:lineRule="auto"/>
        <w:rPr>
          <w:b w:val="0"/>
          <w:bCs/>
          <w:sz w:val="24"/>
          <w:szCs w:val="24"/>
          <w:lang w:val="ca-ES"/>
        </w:rPr>
      </w:pPr>
    </w:p>
    <w:p w:rsidR="00AF01EC" w:rsidRDefault="00AF01EC" w:rsidP="00AF01EC">
      <w:pPr>
        <w:pStyle w:val="TEXTBOLD"/>
        <w:spacing w:line="276" w:lineRule="auto"/>
        <w:rPr>
          <w:b w:val="0"/>
          <w:sz w:val="24"/>
          <w:lang w:val="ca-ES"/>
        </w:rPr>
      </w:pPr>
      <w:r w:rsidRPr="00880D9F">
        <w:rPr>
          <w:b w:val="0"/>
          <w:sz w:val="24"/>
          <w:lang w:val="ca-ES"/>
        </w:rPr>
        <w:t>Fins al mes de maig,</w:t>
      </w:r>
      <w:r w:rsidRPr="003171F9">
        <w:rPr>
          <w:b w:val="0"/>
          <w:sz w:val="24"/>
          <w:lang w:val="ca-ES"/>
        </w:rPr>
        <w:t xml:space="preserve"> la major part de les vagues es van produir en </w:t>
      </w:r>
      <w:r>
        <w:rPr>
          <w:b w:val="0"/>
          <w:sz w:val="24"/>
          <w:lang w:val="ca-ES"/>
        </w:rPr>
        <w:t>el sector serveis (50</w:t>
      </w:r>
      <w:r w:rsidRPr="003171F9">
        <w:rPr>
          <w:b w:val="0"/>
          <w:sz w:val="24"/>
          <w:lang w:val="ca-ES"/>
        </w:rPr>
        <w:t>% de</w:t>
      </w:r>
      <w:r w:rsidR="003940E2">
        <w:rPr>
          <w:b w:val="0"/>
          <w:sz w:val="24"/>
          <w:lang w:val="ca-ES"/>
        </w:rPr>
        <w:t>l</w:t>
      </w:r>
      <w:r w:rsidRPr="003171F9">
        <w:rPr>
          <w:b w:val="0"/>
          <w:sz w:val="24"/>
          <w:lang w:val="ca-ES"/>
        </w:rPr>
        <w:t xml:space="preserve"> total), </w:t>
      </w:r>
      <w:r>
        <w:rPr>
          <w:b w:val="0"/>
          <w:sz w:val="24"/>
          <w:lang w:val="ca-ES"/>
        </w:rPr>
        <w:t>i en la indústria (48,28%).</w:t>
      </w:r>
    </w:p>
    <w:tbl>
      <w:tblPr>
        <w:tblpPr w:leftFromText="141" w:rightFromText="141" w:vertAnchor="text" w:horzAnchor="margin" w:tblpXSpec="center" w:tblpY="16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54"/>
      </w:tblGrid>
      <w:tr w:rsidR="008B44A1" w:rsidRPr="003171F9" w:rsidTr="008B44A1">
        <w:trPr>
          <w:trHeight w:val="1097"/>
        </w:trPr>
        <w:tc>
          <w:tcPr>
            <w:tcW w:w="4954" w:type="dxa"/>
            <w:shd w:val="clear" w:color="auto" w:fill="FFFFFF"/>
            <w:vAlign w:val="center"/>
          </w:tcPr>
          <w:p w:rsidR="008B44A1" w:rsidRPr="003171F9" w:rsidRDefault="008B44A1" w:rsidP="008B44A1">
            <w:pPr>
              <w:autoSpaceDE w:val="0"/>
              <w:autoSpaceDN w:val="0"/>
              <w:adjustRightInd w:val="0"/>
              <w:spacing w:line="276" w:lineRule="auto"/>
              <w:jc w:val="center"/>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t xml:space="preserve">A Catalunya s’han produït 44 vagues fins al mes de maig, </w:t>
            </w:r>
            <w:r>
              <w:rPr>
                <w:b/>
              </w:rPr>
              <w:t xml:space="preserve"> </w:t>
            </w:r>
            <w:r w:rsidRPr="00FB2466">
              <w:rPr>
                <w:rFonts w:ascii="Rotis Sans Serif Std" w:hAnsi="Rotis Sans Serif Std" w:cs="RotisSansSerifStd-Regular"/>
                <w:b/>
                <w:color w:val="C00000"/>
                <w:lang w:eastAsia="es-ES"/>
              </w:rPr>
              <w:t>disminuint el nombre de vagues registrades un -23% respecte el mateix període de l’any 2017</w:t>
            </w:r>
            <w:r>
              <w:rPr>
                <w:rFonts w:ascii="Rotis Sans Serif Std" w:hAnsi="Rotis Sans Serif Std" w:cs="RotisSansSerifStd-Regular"/>
                <w:b/>
                <w:color w:val="C00000"/>
                <w:lang w:eastAsia="es-ES"/>
              </w:rPr>
              <w:t>.</w:t>
            </w:r>
          </w:p>
        </w:tc>
      </w:tr>
    </w:tbl>
    <w:p w:rsidR="008B44A1" w:rsidRDefault="008B44A1" w:rsidP="00AF01EC">
      <w:pPr>
        <w:pStyle w:val="TEXTBOLD"/>
        <w:spacing w:line="276" w:lineRule="auto"/>
        <w:rPr>
          <w:b w:val="0"/>
          <w:bCs/>
          <w:sz w:val="24"/>
          <w:szCs w:val="24"/>
          <w:lang w:val="ca-ES"/>
        </w:rPr>
      </w:pPr>
    </w:p>
    <w:p w:rsidR="008B44A1" w:rsidRDefault="008B44A1" w:rsidP="00AF01EC">
      <w:pPr>
        <w:pStyle w:val="TEXTBOLD"/>
        <w:spacing w:line="276" w:lineRule="auto"/>
        <w:rPr>
          <w:b w:val="0"/>
          <w:bCs/>
          <w:sz w:val="24"/>
          <w:szCs w:val="24"/>
          <w:lang w:val="ca-ES"/>
        </w:rPr>
      </w:pPr>
    </w:p>
    <w:p w:rsidR="00AF01EC" w:rsidRDefault="00AF01EC" w:rsidP="00AF01EC">
      <w:pPr>
        <w:pStyle w:val="TEXTBOLD"/>
        <w:spacing w:line="276" w:lineRule="auto"/>
        <w:rPr>
          <w:b w:val="0"/>
          <w:bCs/>
          <w:sz w:val="24"/>
          <w:szCs w:val="24"/>
          <w:lang w:val="ca-ES"/>
        </w:rPr>
      </w:pPr>
    </w:p>
    <w:p w:rsidR="00AF01EC" w:rsidRDefault="00AF01EC" w:rsidP="00AF01EC">
      <w:pPr>
        <w:pStyle w:val="TEXTBOLD"/>
        <w:spacing w:line="276" w:lineRule="auto"/>
        <w:rPr>
          <w:b w:val="0"/>
          <w:bCs/>
          <w:sz w:val="24"/>
          <w:szCs w:val="24"/>
          <w:lang w:val="ca-ES"/>
        </w:rPr>
      </w:pPr>
    </w:p>
    <w:p w:rsidR="00C87B5C" w:rsidRDefault="00C87B5C" w:rsidP="00AF01EC">
      <w:pPr>
        <w:pStyle w:val="TEXTBOLD"/>
        <w:spacing w:line="276" w:lineRule="auto"/>
        <w:rPr>
          <w:b w:val="0"/>
          <w:sz w:val="24"/>
          <w:lang w:val="ca-ES"/>
        </w:rPr>
      </w:pPr>
    </w:p>
    <w:p w:rsidR="00C87B5C" w:rsidRDefault="00C87B5C" w:rsidP="00AF01EC">
      <w:pPr>
        <w:pStyle w:val="TEXTBOLD"/>
        <w:spacing w:line="276" w:lineRule="auto"/>
        <w:rPr>
          <w:b w:val="0"/>
          <w:sz w:val="24"/>
          <w:lang w:val="ca-ES"/>
        </w:rPr>
      </w:pPr>
    </w:p>
    <w:p w:rsidR="00AF01EC" w:rsidRDefault="00AF01EC" w:rsidP="00AF01EC">
      <w:pPr>
        <w:pStyle w:val="TEXTBOLD"/>
        <w:spacing w:line="276" w:lineRule="auto"/>
        <w:rPr>
          <w:b w:val="0"/>
          <w:sz w:val="24"/>
          <w:lang w:val="ca-ES"/>
        </w:rPr>
      </w:pPr>
      <w:r>
        <w:rPr>
          <w:b w:val="0"/>
          <w:sz w:val="24"/>
          <w:lang w:val="ca-ES"/>
        </w:rPr>
        <w:t xml:space="preserve">Segons l’informe de Conflictivitat Laboral de la CEOE del mes de setembre, en els dos primers quadrimestres de l’any s’han produït 348 vagues a tot l’Estat, amb 633.936 treballadors implicats i 9.487.772 hores laborals perdudes. Respecte el mateix període de l’any anterior, han disminuït un 35,31% el nombre de vagues, si bé han augmentat un 217,35% els treballadors participants i un 46,42% d’hores perdudes. </w:t>
      </w:r>
    </w:p>
    <w:p w:rsidR="00AF01EC" w:rsidRDefault="00AF01EC" w:rsidP="00AF01EC">
      <w:pPr>
        <w:pStyle w:val="TEXTBOLD"/>
        <w:spacing w:line="276" w:lineRule="auto"/>
        <w:rPr>
          <w:b w:val="0"/>
          <w:sz w:val="24"/>
          <w:lang w:val="ca-ES"/>
        </w:rPr>
      </w:pPr>
    </w:p>
    <w:tbl>
      <w:tblPr>
        <w:tblpPr w:leftFromText="141" w:rightFromText="141" w:vertAnchor="text" w:horzAnchor="margin" w:tblpXSpec="center" w:tblpY="11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376"/>
      </w:tblGrid>
      <w:tr w:rsidR="00AF01EC" w:rsidRPr="003171F9" w:rsidTr="00AF01EC">
        <w:trPr>
          <w:trHeight w:val="835"/>
        </w:trPr>
        <w:tc>
          <w:tcPr>
            <w:tcW w:w="5376" w:type="dxa"/>
            <w:shd w:val="clear" w:color="auto" w:fill="FFFFFF"/>
            <w:vAlign w:val="center"/>
          </w:tcPr>
          <w:p w:rsidR="00AF01EC" w:rsidRPr="003171F9" w:rsidRDefault="00AF01EC" w:rsidP="00AF01EC">
            <w:pPr>
              <w:autoSpaceDE w:val="0"/>
              <w:autoSpaceDN w:val="0"/>
              <w:adjustRightInd w:val="0"/>
              <w:spacing w:line="276" w:lineRule="auto"/>
              <w:jc w:val="center"/>
              <w:rPr>
                <w:rFonts w:ascii="Rotis Sans Serif Std" w:hAnsi="Rotis Sans Serif Std" w:cs="RotisSansSerifStd-Regular"/>
                <w:b/>
                <w:color w:val="C00000"/>
                <w:lang w:eastAsia="es-ES"/>
              </w:rPr>
            </w:pPr>
            <w:r w:rsidRPr="00FB2466">
              <w:rPr>
                <w:rFonts w:ascii="Rotis Sans Serif Std" w:hAnsi="Rotis Sans Serif Std" w:cs="RotisSansSerifStd-Regular"/>
                <w:b/>
                <w:color w:val="C00000"/>
                <w:lang w:eastAsia="es-ES"/>
              </w:rPr>
              <w:t>En els dos primers quadrimestres de l’any s’han produït 348 vagues a tot l’Estat, amb 633.936 treballadors implicats i 9.487.772 hores laborals perdudes.</w:t>
            </w:r>
          </w:p>
        </w:tc>
      </w:tr>
    </w:tbl>
    <w:p w:rsidR="00AF01EC" w:rsidRDefault="00AF01EC" w:rsidP="00AF01EC">
      <w:pPr>
        <w:pStyle w:val="TEXTBOLD"/>
        <w:spacing w:line="276" w:lineRule="auto"/>
        <w:rPr>
          <w:b w:val="0"/>
          <w:sz w:val="24"/>
          <w:lang w:val="ca-ES"/>
        </w:rPr>
      </w:pPr>
    </w:p>
    <w:p w:rsidR="00AF01EC" w:rsidRDefault="00AF01EC" w:rsidP="00AF01EC">
      <w:pPr>
        <w:pStyle w:val="TEXTBOLD"/>
        <w:spacing w:line="276" w:lineRule="auto"/>
        <w:rPr>
          <w:b w:val="0"/>
          <w:sz w:val="24"/>
          <w:lang w:val="ca-ES"/>
        </w:rPr>
      </w:pPr>
    </w:p>
    <w:p w:rsidR="00AF01EC" w:rsidRDefault="00AF01EC" w:rsidP="00AF01EC">
      <w:pPr>
        <w:pStyle w:val="TEXTBOLD"/>
        <w:spacing w:line="276" w:lineRule="auto"/>
        <w:rPr>
          <w:b w:val="0"/>
          <w:sz w:val="24"/>
          <w:lang w:val="ca-ES"/>
        </w:rPr>
      </w:pPr>
    </w:p>
    <w:p w:rsidR="00AF01EC" w:rsidRDefault="00AF01EC" w:rsidP="00AF01EC">
      <w:pPr>
        <w:pStyle w:val="TEXTBOLD"/>
        <w:spacing w:line="276" w:lineRule="auto"/>
        <w:rPr>
          <w:b w:val="0"/>
          <w:sz w:val="24"/>
          <w:lang w:val="ca-ES"/>
        </w:rPr>
      </w:pPr>
    </w:p>
    <w:p w:rsidR="00AF01EC" w:rsidRDefault="00AF01EC" w:rsidP="00AF01EC">
      <w:pPr>
        <w:pStyle w:val="TEXTBOLD"/>
        <w:spacing w:line="276" w:lineRule="auto"/>
        <w:rPr>
          <w:b w:val="0"/>
          <w:sz w:val="24"/>
          <w:lang w:val="ca-ES"/>
        </w:rPr>
      </w:pPr>
    </w:p>
    <w:p w:rsidR="00AF01EC" w:rsidRPr="00080CDE" w:rsidRDefault="00AF01EC" w:rsidP="00AF01EC">
      <w:pPr>
        <w:pStyle w:val="TEXTBOLD"/>
        <w:spacing w:line="276" w:lineRule="auto"/>
        <w:rPr>
          <w:b w:val="0"/>
          <w:sz w:val="24"/>
          <w:lang w:val="ca-ES"/>
        </w:rPr>
      </w:pPr>
      <w:r>
        <w:rPr>
          <w:b w:val="0"/>
          <w:sz w:val="24"/>
          <w:lang w:val="ca-ES"/>
        </w:rPr>
        <w:t xml:space="preserve">En matèria de conflictivitat laboral, s’ha de tenir en compte, la repercussió que van tenir les vagues del sector del transport i les comunicacions al març, abril, maig, juny i juliol, especialment en el sector del taxi, </w:t>
      </w:r>
      <w:r w:rsidR="003940E2">
        <w:rPr>
          <w:b w:val="0"/>
          <w:sz w:val="24"/>
          <w:lang w:val="ca-ES"/>
        </w:rPr>
        <w:t>i</w:t>
      </w:r>
      <w:r>
        <w:rPr>
          <w:b w:val="0"/>
          <w:sz w:val="24"/>
          <w:lang w:val="ca-ES"/>
        </w:rPr>
        <w:t xml:space="preserve"> d’estibadors en el mes de juny, així com la incidència de la vaga convocada el Dia Internacional de la Dona i la d’estudiants de Catalunya davant de l’aplicació de l’article</w:t>
      </w:r>
      <w:r w:rsidR="003940E2">
        <w:rPr>
          <w:b w:val="0"/>
          <w:sz w:val="24"/>
          <w:lang w:val="ca-ES"/>
        </w:rPr>
        <w:t xml:space="preserve"> 155</w:t>
      </w:r>
      <w:r>
        <w:rPr>
          <w:b w:val="0"/>
          <w:sz w:val="24"/>
          <w:lang w:val="ca-ES"/>
        </w:rPr>
        <w:t xml:space="preserve"> de la Constitució Española </w:t>
      </w:r>
      <w:r w:rsidR="003940E2">
        <w:rPr>
          <w:b w:val="0"/>
          <w:sz w:val="24"/>
          <w:lang w:val="ca-ES"/>
        </w:rPr>
        <w:t>i</w:t>
      </w:r>
      <w:r>
        <w:rPr>
          <w:b w:val="0"/>
          <w:sz w:val="24"/>
          <w:lang w:val="ca-ES"/>
        </w:rPr>
        <w:t xml:space="preserve"> en </w:t>
      </w:r>
      <w:r w:rsidR="000068B4">
        <w:rPr>
          <w:b w:val="0"/>
          <w:sz w:val="24"/>
          <w:lang w:val="ca-ES"/>
        </w:rPr>
        <w:t>tot l’Estat davant la sentè</w:t>
      </w:r>
      <w:r>
        <w:rPr>
          <w:b w:val="0"/>
          <w:sz w:val="24"/>
          <w:lang w:val="ca-ES"/>
        </w:rPr>
        <w:t>ncia de “La Manada”.</w:t>
      </w:r>
    </w:p>
    <w:p w:rsidR="00AF01EC" w:rsidRDefault="00AF01EC" w:rsidP="00AF01EC">
      <w:pPr>
        <w:pStyle w:val="TEXTBOLD"/>
        <w:spacing w:line="276" w:lineRule="auto"/>
        <w:rPr>
          <w:b w:val="0"/>
          <w:bCs/>
          <w:sz w:val="24"/>
          <w:szCs w:val="24"/>
          <w:lang w:val="ca-ES"/>
        </w:rPr>
      </w:pPr>
    </w:p>
    <w:p w:rsidR="008B44A1" w:rsidRDefault="008B44A1">
      <w:pPr>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br w:type="page"/>
      </w:r>
    </w:p>
    <w:p w:rsidR="001477A8" w:rsidRPr="003171F9" w:rsidRDefault="001477A8" w:rsidP="001477A8">
      <w:pPr>
        <w:shd w:val="clear" w:color="auto" w:fill="F2F2F2"/>
        <w:spacing w:line="276" w:lineRule="auto"/>
        <w:jc w:val="both"/>
        <w:rPr>
          <w:rFonts w:ascii="Rotis Sans Serif Std" w:hAnsi="Rotis Sans Serif Std" w:cs="RotisSansSerifStd-Regular"/>
          <w:b/>
          <w:color w:val="C00000"/>
          <w:lang w:eastAsia="es-ES"/>
        </w:rPr>
      </w:pPr>
      <w:r w:rsidRPr="003171F9">
        <w:rPr>
          <w:rFonts w:ascii="Rotis Sans Serif Std" w:hAnsi="Rotis Sans Serif Std" w:cs="RotisSansSerifStd-Regular"/>
          <w:b/>
          <w:color w:val="C00000"/>
          <w:lang w:eastAsia="es-ES"/>
        </w:rPr>
        <w:t>Resolució extrajudicial de conflictes</w:t>
      </w:r>
    </w:p>
    <w:p w:rsidR="001477A8" w:rsidRPr="003171F9" w:rsidRDefault="001477A8" w:rsidP="001477A8">
      <w:pPr>
        <w:autoSpaceDE w:val="0"/>
        <w:autoSpaceDN w:val="0"/>
        <w:adjustRightInd w:val="0"/>
        <w:spacing w:line="276" w:lineRule="auto"/>
        <w:ind w:left="1843"/>
        <w:jc w:val="both"/>
        <w:rPr>
          <w:rFonts w:ascii="Rotis Sans Serif Std" w:hAnsi="Rotis Sans Serif Std" w:cs="RotisSansSerifStd-Regular"/>
          <w:b/>
          <w:color w:val="C00000"/>
          <w:lang w:eastAsia="es-ES"/>
        </w:rPr>
      </w:pPr>
    </w:p>
    <w:p w:rsidR="001477A8" w:rsidRPr="003171F9" w:rsidRDefault="001477A8" w:rsidP="00AB0BAA">
      <w:pPr>
        <w:pStyle w:val="Prrafodelista"/>
        <w:numPr>
          <w:ilvl w:val="0"/>
          <w:numId w:val="5"/>
        </w:numPr>
        <w:autoSpaceDE w:val="0"/>
        <w:autoSpaceDN w:val="0"/>
        <w:adjustRightInd w:val="0"/>
        <w:spacing w:line="276" w:lineRule="auto"/>
        <w:jc w:val="both"/>
        <w:rPr>
          <w:rFonts w:ascii="Rotis Sans Serif Std ExtraBold" w:hAnsi="Rotis Sans Serif Std ExtraBold" w:cs="RotisSansSerifStd-Regular"/>
          <w:b/>
          <w:color w:val="C1002B"/>
          <w:szCs w:val="40"/>
          <w:u w:val="single"/>
          <w:lang w:eastAsia="es-ES_tradnl"/>
        </w:rPr>
      </w:pPr>
      <w:r w:rsidRPr="003171F9">
        <w:rPr>
          <w:rFonts w:ascii="Rotis Sans Serif Std ExtraBold" w:hAnsi="Rotis Sans Serif Std ExtraBold" w:cs="RotisSansSerifStd-Regular"/>
          <w:b/>
          <w:color w:val="C1002B"/>
          <w:szCs w:val="40"/>
          <w:u w:val="single"/>
          <w:lang w:eastAsia="es-ES_tradnl"/>
        </w:rPr>
        <w:t>Tribunal Laboral de Catalunya</w:t>
      </w:r>
    </w:p>
    <w:p w:rsidR="00EE6093" w:rsidRDefault="00EE6093" w:rsidP="00EE6093">
      <w:pPr>
        <w:spacing w:line="276" w:lineRule="auto"/>
        <w:jc w:val="both"/>
        <w:rPr>
          <w:rFonts w:ascii="Rotis Sans Serif Std" w:hAnsi="Rotis Sans Serif Std" w:cs="RotisSansSerifStd-Regular"/>
          <w:bCs/>
          <w:color w:val="5E6061"/>
          <w:lang w:eastAsia="es-ES_tradnl"/>
        </w:rPr>
      </w:pPr>
    </w:p>
    <w:p w:rsidR="00150F9C" w:rsidRDefault="00150F9C" w:rsidP="00150F9C">
      <w:pPr>
        <w:spacing w:line="276" w:lineRule="auto"/>
        <w:jc w:val="both"/>
        <w:rPr>
          <w:rFonts w:ascii="Rotis Sans Serif Std" w:hAnsi="Rotis Sans Serif Std" w:cs="RotisSansSerifStd-Regular"/>
          <w:bCs/>
          <w:color w:val="5E6061"/>
          <w:lang w:eastAsia="es-ES_tradnl"/>
        </w:rPr>
      </w:pPr>
      <w:r>
        <w:rPr>
          <w:rFonts w:ascii="Rotis Sans Serif Std" w:hAnsi="Rotis Sans Serif Std" w:cs="RotisSansSerifStd-Regular"/>
          <w:bCs/>
          <w:color w:val="5E6061"/>
          <w:lang w:eastAsia="es-ES_tradnl"/>
        </w:rPr>
        <w:t xml:space="preserve">Fins al mes de setembre de l’any 2018 </w:t>
      </w:r>
      <w:r w:rsidRPr="00A5080A">
        <w:rPr>
          <w:rFonts w:ascii="Rotis Sans Serif Std" w:hAnsi="Rotis Sans Serif Std" w:cs="RotisSansSerifStd-Regular"/>
          <w:bCs/>
          <w:color w:val="5E6061"/>
          <w:lang w:eastAsia="es-ES_tradnl"/>
        </w:rPr>
        <w:t xml:space="preserve"> s’han presentat un total de </w:t>
      </w:r>
      <w:r>
        <w:rPr>
          <w:rFonts w:ascii="Rotis Sans Serif Std" w:hAnsi="Rotis Sans Serif Std" w:cs="RotisSansSerifStd-Regular"/>
          <w:bCs/>
          <w:color w:val="5E6061"/>
          <w:lang w:eastAsia="es-ES_tradnl"/>
        </w:rPr>
        <w:t>675</w:t>
      </w:r>
      <w:r w:rsidRPr="00A5080A">
        <w:rPr>
          <w:rFonts w:ascii="Rotis Sans Serif Std" w:hAnsi="Rotis Sans Serif Std" w:cs="RotisSansSerifStd-Regular"/>
          <w:bCs/>
          <w:color w:val="5E6061"/>
          <w:lang w:eastAsia="es-ES_tradnl"/>
        </w:rPr>
        <w:t xml:space="preserve"> expedients, dels quals </w:t>
      </w:r>
      <w:r>
        <w:rPr>
          <w:rFonts w:ascii="Rotis Sans Serif Std" w:hAnsi="Rotis Sans Serif Std" w:cs="RotisSansSerifStd-Regular"/>
          <w:bCs/>
          <w:color w:val="5E6061"/>
          <w:lang w:eastAsia="es-ES_tradnl"/>
        </w:rPr>
        <w:t xml:space="preserve">2 han sigut arbitratges, 487 han sigut conciliacions i 186 mediacions. </w:t>
      </w:r>
      <w:proofErr w:type="spellStart"/>
      <w:r w:rsidRPr="00B777C6">
        <w:rPr>
          <w:rFonts w:ascii="Rotis Sans Serif Std" w:hAnsi="Rotis Sans Serif Std" w:cs="RotisSansSerifStd-Regular"/>
          <w:bCs/>
          <w:color w:val="5E6061"/>
          <w:lang w:eastAsia="es-ES_tradnl"/>
        </w:rPr>
        <w:t>Interanualment</w:t>
      </w:r>
      <w:proofErr w:type="spellEnd"/>
      <w:r w:rsidRPr="00B777C6">
        <w:rPr>
          <w:rFonts w:ascii="Rotis Sans Serif Std" w:hAnsi="Rotis Sans Serif Std" w:cs="RotisSansSerifStd-Regular"/>
          <w:bCs/>
          <w:color w:val="5E6061"/>
          <w:lang w:eastAsia="es-ES_tradnl"/>
        </w:rPr>
        <w:t>, el total d’expe</w:t>
      </w:r>
      <w:r>
        <w:rPr>
          <w:rFonts w:ascii="Rotis Sans Serif Std" w:hAnsi="Rotis Sans Serif Std" w:cs="RotisSansSerifStd-Regular"/>
          <w:bCs/>
          <w:color w:val="5E6061"/>
          <w:lang w:eastAsia="es-ES_tradnl"/>
        </w:rPr>
        <w:t>dients s’ ha reduït en un 13,02%.</w:t>
      </w:r>
    </w:p>
    <w:p w:rsidR="00150F9C" w:rsidRDefault="00150F9C" w:rsidP="00150F9C">
      <w:pPr>
        <w:spacing w:line="276" w:lineRule="auto"/>
        <w:jc w:val="center"/>
        <w:rPr>
          <w:rFonts w:ascii="Rotis Sans Serif Std" w:hAnsi="Rotis Sans Serif Std" w:cs="RotisSansSerifStd-Regular"/>
          <w:b/>
          <w:color w:val="C00000"/>
          <w:lang w:eastAsia="es-ES"/>
        </w:rPr>
      </w:pPr>
    </w:p>
    <w:p w:rsidR="00150F9C" w:rsidRPr="0010606F" w:rsidRDefault="00150F9C" w:rsidP="00150F9C">
      <w:pPr>
        <w:spacing w:line="276" w:lineRule="auto"/>
        <w:jc w:val="center"/>
        <w:rPr>
          <w:rFonts w:ascii="Rotis Sans Serif Std" w:hAnsi="Rotis Sans Serif Std" w:cs="RotisSansSerifStd-Regular"/>
          <w:b/>
          <w:color w:val="C00000"/>
          <w:lang w:eastAsia="es-ES"/>
        </w:rPr>
      </w:pPr>
      <w:proofErr w:type="spellStart"/>
      <w:r w:rsidRPr="003E2B63">
        <w:rPr>
          <w:rFonts w:ascii="Rotis Sans Serif Std" w:hAnsi="Rotis Sans Serif Std" w:cs="RotisSansSerifStd-Regular"/>
          <w:b/>
          <w:color w:val="C00000"/>
          <w:lang w:eastAsia="es-ES"/>
        </w:rPr>
        <w:t>Interanualment</w:t>
      </w:r>
      <w:proofErr w:type="spellEnd"/>
      <w:r w:rsidRPr="003E2B63">
        <w:rPr>
          <w:rFonts w:ascii="Rotis Sans Serif Std" w:hAnsi="Rotis Sans Serif Std" w:cs="RotisSansSerifStd-Regular"/>
          <w:b/>
          <w:color w:val="C00000"/>
          <w:lang w:eastAsia="es-ES"/>
        </w:rPr>
        <w:t xml:space="preserve">, el total d’expedients </w:t>
      </w:r>
      <w:r>
        <w:rPr>
          <w:rFonts w:ascii="Rotis Sans Serif Std" w:hAnsi="Rotis Sans Serif Std" w:cs="RotisSansSerifStd-Regular"/>
          <w:b/>
          <w:color w:val="C00000"/>
          <w:lang w:eastAsia="es-ES"/>
        </w:rPr>
        <w:t>s’</w:t>
      </w:r>
      <w:r w:rsidRPr="003E2B63">
        <w:rPr>
          <w:rFonts w:ascii="Rotis Sans Serif Std" w:hAnsi="Rotis Sans Serif Std" w:cs="RotisSansSerifStd-Regular"/>
          <w:b/>
          <w:color w:val="C00000"/>
          <w:lang w:eastAsia="es-ES"/>
        </w:rPr>
        <w:t xml:space="preserve">ha </w:t>
      </w:r>
      <w:r>
        <w:rPr>
          <w:rFonts w:ascii="Rotis Sans Serif Std" w:hAnsi="Rotis Sans Serif Std" w:cs="RotisSansSerifStd-Regular"/>
          <w:b/>
          <w:color w:val="C00000"/>
          <w:lang w:eastAsia="es-ES"/>
        </w:rPr>
        <w:t>reduït en un 13,02</w:t>
      </w:r>
      <w:r w:rsidRPr="003E2B63">
        <w:rPr>
          <w:rFonts w:ascii="Rotis Sans Serif Std" w:hAnsi="Rotis Sans Serif Std" w:cs="RotisSansSerifStd-Regular"/>
          <w:b/>
          <w:color w:val="C00000"/>
          <w:lang w:eastAsia="es-ES"/>
        </w:rPr>
        <w:t>%.</w:t>
      </w:r>
    </w:p>
    <w:p w:rsidR="00150F9C" w:rsidRDefault="00150F9C" w:rsidP="00150F9C">
      <w:pPr>
        <w:spacing w:line="276" w:lineRule="auto"/>
        <w:jc w:val="both"/>
        <w:rPr>
          <w:rFonts w:ascii="Rotis Sans Serif Std" w:hAnsi="Rotis Sans Serif Std" w:cs="RotisSansSerifStd-Regular"/>
          <w:bCs/>
          <w:color w:val="5E6061"/>
          <w:lang w:eastAsia="es-ES_tradnl"/>
        </w:rPr>
      </w:pPr>
    </w:p>
    <w:p w:rsidR="00150F9C" w:rsidRDefault="00150F9C" w:rsidP="00150F9C">
      <w:pPr>
        <w:pStyle w:val="TEXTBOLD"/>
        <w:spacing w:line="276" w:lineRule="auto"/>
        <w:rPr>
          <w:b w:val="0"/>
          <w:sz w:val="24"/>
          <w:szCs w:val="24"/>
          <w:lang w:val="ca-ES"/>
        </w:rPr>
      </w:pPr>
      <w:r w:rsidRPr="00A5080A">
        <w:rPr>
          <w:b w:val="0"/>
          <w:sz w:val="24"/>
          <w:szCs w:val="24"/>
          <w:lang w:val="ca-ES"/>
        </w:rPr>
        <w:t>A nivell de vagues,</w:t>
      </w:r>
      <w:r w:rsidRPr="00EA5418">
        <w:rPr>
          <w:b w:val="0"/>
          <w:sz w:val="24"/>
          <w:szCs w:val="24"/>
          <w:lang w:val="ca-ES"/>
        </w:rPr>
        <w:t xml:space="preserve"> </w:t>
      </w:r>
      <w:r>
        <w:rPr>
          <w:b w:val="0"/>
          <w:sz w:val="24"/>
          <w:szCs w:val="24"/>
          <w:lang w:val="ca-ES"/>
        </w:rPr>
        <w:t>en el que portem d’any,</w:t>
      </w:r>
      <w:r w:rsidRPr="00EA5418">
        <w:rPr>
          <w:b w:val="0"/>
          <w:sz w:val="24"/>
          <w:szCs w:val="24"/>
          <w:lang w:val="ca-ES"/>
        </w:rPr>
        <w:t xml:space="preserve"> s’han desconvocat un total de </w:t>
      </w:r>
      <w:r w:rsidR="00AE6481">
        <w:rPr>
          <w:b w:val="0"/>
          <w:sz w:val="24"/>
          <w:szCs w:val="24"/>
          <w:lang w:val="ca-ES"/>
        </w:rPr>
        <w:t>21</w:t>
      </w:r>
      <w:r w:rsidRPr="00EA5418">
        <w:rPr>
          <w:b w:val="0"/>
          <w:sz w:val="24"/>
          <w:szCs w:val="24"/>
          <w:lang w:val="ca-ES"/>
        </w:rPr>
        <w:t xml:space="preserve"> vagues</w:t>
      </w:r>
      <w:r w:rsidR="00AE6481">
        <w:rPr>
          <w:b w:val="0"/>
          <w:sz w:val="24"/>
          <w:szCs w:val="24"/>
          <w:lang w:val="ca-ES"/>
        </w:rPr>
        <w:t xml:space="preserve"> (4</w:t>
      </w:r>
      <w:r>
        <w:rPr>
          <w:b w:val="0"/>
          <w:sz w:val="24"/>
          <w:szCs w:val="24"/>
          <w:lang w:val="ca-ES"/>
        </w:rPr>
        <w:t xml:space="preserve"> de caràcter indefinit)</w:t>
      </w:r>
      <w:r w:rsidRPr="00EA5418">
        <w:rPr>
          <w:b w:val="0"/>
          <w:sz w:val="24"/>
          <w:szCs w:val="24"/>
          <w:lang w:val="ca-ES"/>
        </w:rPr>
        <w:t xml:space="preserve"> amb un total de </w:t>
      </w:r>
      <w:r w:rsidR="00AE6481">
        <w:rPr>
          <w:b w:val="0"/>
          <w:sz w:val="24"/>
          <w:szCs w:val="24"/>
          <w:lang w:val="ca-ES"/>
        </w:rPr>
        <w:t>82.607</w:t>
      </w:r>
      <w:r w:rsidRPr="00EA5418">
        <w:rPr>
          <w:b w:val="0"/>
          <w:sz w:val="24"/>
          <w:szCs w:val="24"/>
          <w:lang w:val="ca-ES"/>
        </w:rPr>
        <w:t xml:space="preserve"> hores desconvocades</w:t>
      </w:r>
      <w:r>
        <w:rPr>
          <w:b w:val="0"/>
          <w:sz w:val="24"/>
          <w:szCs w:val="24"/>
          <w:lang w:val="ca-ES"/>
        </w:rPr>
        <w:t xml:space="preserve"> </w:t>
      </w:r>
      <w:r w:rsidRPr="00EA5418">
        <w:rPr>
          <w:b w:val="0"/>
          <w:sz w:val="24"/>
          <w:szCs w:val="24"/>
          <w:lang w:val="ca-ES"/>
        </w:rPr>
        <w:t xml:space="preserve">i amb un valor </w:t>
      </w:r>
      <w:r w:rsidR="00AE6481">
        <w:rPr>
          <w:b w:val="0"/>
          <w:sz w:val="24"/>
          <w:szCs w:val="24"/>
          <w:lang w:val="ca-ES"/>
        </w:rPr>
        <w:t xml:space="preserve">anual </w:t>
      </w:r>
      <w:r w:rsidRPr="00EA5418">
        <w:rPr>
          <w:b w:val="0"/>
          <w:sz w:val="24"/>
          <w:szCs w:val="24"/>
          <w:lang w:val="ca-ES"/>
        </w:rPr>
        <w:t xml:space="preserve">d’hores desconvocades de </w:t>
      </w:r>
      <w:r w:rsidR="00AE6481">
        <w:rPr>
          <w:b w:val="0"/>
          <w:sz w:val="24"/>
          <w:szCs w:val="24"/>
          <w:lang w:val="ca-ES"/>
        </w:rPr>
        <w:t>1.225.887,88</w:t>
      </w:r>
      <w:r w:rsidRPr="00EA5418">
        <w:rPr>
          <w:b w:val="0"/>
          <w:sz w:val="24"/>
          <w:szCs w:val="24"/>
          <w:lang w:val="ca-ES"/>
        </w:rPr>
        <w:t xml:space="preserve"> euros</w:t>
      </w:r>
      <w:r w:rsidRPr="00EA5418">
        <w:rPr>
          <w:rStyle w:val="Refdenotaalpie"/>
          <w:rFonts w:cs="RotisSansSerifStd-Regular"/>
          <w:b w:val="0"/>
          <w:sz w:val="24"/>
          <w:szCs w:val="24"/>
          <w:lang w:val="ca-ES"/>
        </w:rPr>
        <w:footnoteReference w:id="1"/>
      </w:r>
      <w:r>
        <w:rPr>
          <w:b w:val="0"/>
          <w:sz w:val="24"/>
          <w:szCs w:val="24"/>
          <w:lang w:val="ca-ES"/>
        </w:rPr>
        <w:t xml:space="preserve">. </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855"/>
      </w:tblGrid>
      <w:tr w:rsidR="00150F9C" w:rsidRPr="000844D1" w:rsidTr="00AE22C1">
        <w:trPr>
          <w:trHeight w:val="2029"/>
          <w:jc w:val="center"/>
        </w:trPr>
        <w:tc>
          <w:tcPr>
            <w:tcW w:w="4855" w:type="dxa"/>
            <w:shd w:val="clear" w:color="auto" w:fill="FFFFFF"/>
            <w:vAlign w:val="center"/>
          </w:tcPr>
          <w:p w:rsidR="00150F9C" w:rsidRPr="003E2B63" w:rsidRDefault="00150F9C" w:rsidP="00AE6481">
            <w:pPr>
              <w:autoSpaceDE w:val="0"/>
              <w:autoSpaceDN w:val="0"/>
              <w:adjustRightInd w:val="0"/>
              <w:spacing w:line="276" w:lineRule="auto"/>
              <w:jc w:val="center"/>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t xml:space="preserve">De gener a </w:t>
            </w:r>
            <w:r w:rsidR="00AE6481">
              <w:rPr>
                <w:rFonts w:ascii="Rotis Sans Serif Std" w:hAnsi="Rotis Sans Serif Std" w:cs="RotisSansSerifStd-Regular"/>
                <w:b/>
                <w:color w:val="C00000"/>
                <w:lang w:eastAsia="es-ES"/>
              </w:rPr>
              <w:t>setembre</w:t>
            </w:r>
            <w:r>
              <w:rPr>
                <w:rFonts w:ascii="Rotis Sans Serif Std" w:hAnsi="Rotis Sans Serif Std" w:cs="RotisSansSerifStd-Regular"/>
                <w:b/>
                <w:color w:val="C00000"/>
                <w:lang w:eastAsia="es-ES"/>
              </w:rPr>
              <w:t xml:space="preserve"> de 2018 s</w:t>
            </w:r>
            <w:r w:rsidRPr="003E2B63">
              <w:rPr>
                <w:rFonts w:ascii="Rotis Sans Serif Std" w:hAnsi="Rotis Sans Serif Std" w:cs="RotisSansSerifStd-Regular"/>
                <w:b/>
                <w:color w:val="C00000"/>
                <w:lang w:eastAsia="es-ES"/>
              </w:rPr>
              <w:t xml:space="preserve">’han desconvocat un total de </w:t>
            </w:r>
            <w:r w:rsidR="00AE6481">
              <w:rPr>
                <w:rFonts w:ascii="Rotis Sans Serif Std" w:hAnsi="Rotis Sans Serif Std" w:cs="RotisSansSerifStd-Regular"/>
                <w:b/>
                <w:color w:val="C00000"/>
                <w:lang w:eastAsia="es-ES"/>
              </w:rPr>
              <w:t>21</w:t>
            </w:r>
            <w:r>
              <w:rPr>
                <w:rFonts w:ascii="Rotis Sans Serif Std" w:hAnsi="Rotis Sans Serif Std" w:cs="RotisSansSerifStd-Regular"/>
                <w:b/>
                <w:color w:val="C00000"/>
                <w:lang w:eastAsia="es-ES"/>
              </w:rPr>
              <w:t xml:space="preserve"> </w:t>
            </w:r>
            <w:r w:rsidRPr="003E2B63">
              <w:rPr>
                <w:rFonts w:ascii="Rotis Sans Serif Std" w:hAnsi="Rotis Sans Serif Std" w:cs="RotisSansSerifStd-Regular"/>
                <w:b/>
                <w:color w:val="C00000"/>
                <w:lang w:eastAsia="es-ES"/>
              </w:rPr>
              <w:t xml:space="preserve">vagues, amb un total de </w:t>
            </w:r>
            <w:r w:rsidR="00AE6481">
              <w:rPr>
                <w:rFonts w:ascii="Rotis Sans Serif Std" w:hAnsi="Rotis Sans Serif Std" w:cs="RotisSansSerifStd-Regular"/>
                <w:b/>
                <w:color w:val="C00000"/>
                <w:lang w:eastAsia="es-ES"/>
              </w:rPr>
              <w:t>82.607</w:t>
            </w:r>
            <w:r w:rsidRPr="003E2B63">
              <w:rPr>
                <w:rFonts w:ascii="Rotis Sans Serif Std" w:hAnsi="Rotis Sans Serif Std" w:cs="RotisSansSerifStd-Regular"/>
                <w:b/>
                <w:color w:val="C00000"/>
                <w:lang w:eastAsia="es-ES"/>
              </w:rPr>
              <w:t xml:space="preserve"> hores desconvocades amb un valor </w:t>
            </w:r>
            <w:r w:rsidR="00AE6481">
              <w:rPr>
                <w:rFonts w:ascii="Rotis Sans Serif Std" w:hAnsi="Rotis Sans Serif Std" w:cs="RotisSansSerifStd-Regular"/>
                <w:b/>
                <w:color w:val="C00000"/>
                <w:lang w:eastAsia="es-ES"/>
              </w:rPr>
              <w:t xml:space="preserve">anual </w:t>
            </w:r>
            <w:r w:rsidRPr="003E2B63">
              <w:rPr>
                <w:rFonts w:ascii="Rotis Sans Serif Std" w:hAnsi="Rotis Sans Serif Std" w:cs="RotisSansSerifStd-Regular"/>
                <w:b/>
                <w:color w:val="C00000"/>
                <w:lang w:eastAsia="es-ES"/>
              </w:rPr>
              <w:t xml:space="preserve">d’hores desconvocades de </w:t>
            </w:r>
            <w:r w:rsidR="00AE6481">
              <w:rPr>
                <w:rFonts w:ascii="Rotis Sans Serif Std" w:hAnsi="Rotis Sans Serif Std" w:cs="RotisSansSerifStd-Regular"/>
                <w:b/>
                <w:color w:val="C00000"/>
                <w:lang w:eastAsia="es-ES"/>
              </w:rPr>
              <w:t>1.225.887,88</w:t>
            </w:r>
            <w:r w:rsidRPr="003E2B63">
              <w:rPr>
                <w:rFonts w:ascii="Rotis Sans Serif Std" w:hAnsi="Rotis Sans Serif Std" w:cs="RotisSansSerifStd-Regular"/>
                <w:b/>
                <w:color w:val="C00000"/>
                <w:lang w:eastAsia="es-ES"/>
              </w:rPr>
              <w:t xml:space="preserve"> euros.</w:t>
            </w:r>
          </w:p>
        </w:tc>
      </w:tr>
    </w:tbl>
    <w:p w:rsidR="006737D1" w:rsidRDefault="00150F9C" w:rsidP="00AE6481">
      <w:pPr>
        <w:jc w:val="both"/>
        <w:rPr>
          <w:rFonts w:ascii="Rotis Sans Serif Std" w:hAnsi="Rotis Sans Serif Std" w:cs="RotisSansSerifStd-Regular"/>
          <w:bCs/>
          <w:color w:val="5E6061"/>
          <w:lang w:eastAsia="es-ES_tradnl"/>
        </w:rPr>
      </w:pPr>
      <w:r w:rsidRPr="00B777C6">
        <w:rPr>
          <w:rFonts w:ascii="Rotis Sans Serif Std" w:hAnsi="Rotis Sans Serif Std" w:cs="RotisSansSerifStd-Regular"/>
          <w:bCs/>
          <w:color w:val="5E6061"/>
          <w:lang w:eastAsia="es-ES_tradnl"/>
        </w:rPr>
        <w:t xml:space="preserve">Segons l’àmbit territorial, </w:t>
      </w:r>
      <w:r>
        <w:rPr>
          <w:rFonts w:ascii="Rotis Sans Serif Std" w:hAnsi="Rotis Sans Serif Std" w:cs="RotisSansSerifStd-Regular"/>
          <w:bCs/>
          <w:color w:val="5E6061"/>
          <w:lang w:eastAsia="es-ES_tradnl"/>
        </w:rPr>
        <w:t xml:space="preserve">de gener a </w:t>
      </w:r>
      <w:r w:rsidR="00AE6481">
        <w:rPr>
          <w:rFonts w:ascii="Rotis Sans Serif Std" w:hAnsi="Rotis Sans Serif Std" w:cs="RotisSansSerifStd-Regular"/>
          <w:bCs/>
          <w:color w:val="5E6061"/>
          <w:lang w:eastAsia="es-ES_tradnl"/>
        </w:rPr>
        <w:t>setembre</w:t>
      </w:r>
      <w:r>
        <w:rPr>
          <w:rFonts w:ascii="Rotis Sans Serif Std" w:hAnsi="Rotis Sans Serif Std" w:cs="RotisSansSerifStd-Regular"/>
          <w:bCs/>
          <w:color w:val="5E6061"/>
          <w:lang w:eastAsia="es-ES_tradnl"/>
        </w:rPr>
        <w:t xml:space="preserve"> de l’any 2018, </w:t>
      </w:r>
      <w:r w:rsidRPr="00B777C6">
        <w:rPr>
          <w:rFonts w:ascii="Rotis Sans Serif Std" w:hAnsi="Rotis Sans Serif Std" w:cs="RotisSansSerifStd-Regular"/>
          <w:bCs/>
          <w:color w:val="5E6061"/>
          <w:lang w:eastAsia="es-ES_tradnl"/>
        </w:rPr>
        <w:t xml:space="preserve">a Barcelona s’han presentat un total </w:t>
      </w:r>
      <w:r w:rsidRPr="00E17A43">
        <w:rPr>
          <w:rFonts w:ascii="Rotis Sans Serif Std" w:hAnsi="Rotis Sans Serif Std" w:cs="RotisSansSerifStd-Regular"/>
          <w:bCs/>
          <w:color w:val="5E6061"/>
          <w:lang w:eastAsia="es-ES_tradnl"/>
        </w:rPr>
        <w:t xml:space="preserve">de </w:t>
      </w:r>
      <w:r w:rsidR="00AE6481">
        <w:rPr>
          <w:rFonts w:ascii="Rotis Sans Serif Std" w:hAnsi="Rotis Sans Serif Std" w:cs="RotisSansSerifStd-Regular"/>
          <w:bCs/>
          <w:color w:val="5E6061"/>
          <w:lang w:eastAsia="es-ES_tradnl"/>
        </w:rPr>
        <w:t xml:space="preserve">586 </w:t>
      </w:r>
      <w:r w:rsidRPr="00E17A43">
        <w:rPr>
          <w:rFonts w:ascii="Rotis Sans Serif Std" w:hAnsi="Rotis Sans Serif Std" w:cs="RotisSansSerifStd-Regular"/>
          <w:bCs/>
          <w:color w:val="5E6061"/>
          <w:lang w:eastAsia="es-ES_tradnl"/>
        </w:rPr>
        <w:t xml:space="preserve">expedients, dels quals </w:t>
      </w:r>
      <w:r w:rsidR="00AE6481">
        <w:rPr>
          <w:rFonts w:ascii="Rotis Sans Serif Std" w:hAnsi="Rotis Sans Serif Std" w:cs="RotisSansSerifStd-Regular"/>
          <w:bCs/>
          <w:color w:val="5E6061"/>
          <w:lang w:eastAsia="es-ES_tradnl"/>
        </w:rPr>
        <w:t>2 han sigut arbitratges, 425</w:t>
      </w:r>
      <w:r w:rsidRPr="00E17A43">
        <w:rPr>
          <w:rFonts w:ascii="Rotis Sans Serif Std" w:hAnsi="Rotis Sans Serif Std" w:cs="RotisSansSerifStd-Regular"/>
          <w:bCs/>
          <w:color w:val="5E6061"/>
          <w:lang w:eastAsia="es-ES_tradnl"/>
        </w:rPr>
        <w:t xml:space="preserve"> han sigut conciliacions i </w:t>
      </w:r>
      <w:r w:rsidR="00AE6481">
        <w:rPr>
          <w:rFonts w:ascii="Rotis Sans Serif Std" w:hAnsi="Rotis Sans Serif Std" w:cs="RotisSansSerifStd-Regular"/>
          <w:bCs/>
          <w:color w:val="5E6061"/>
          <w:lang w:eastAsia="es-ES_tradnl"/>
        </w:rPr>
        <w:t>159</w:t>
      </w:r>
      <w:r w:rsidRPr="00E17A43">
        <w:rPr>
          <w:rFonts w:ascii="Rotis Sans Serif Std" w:hAnsi="Rotis Sans Serif Std" w:cs="RotisSansSerifStd-Regular"/>
          <w:bCs/>
          <w:color w:val="5E6061"/>
          <w:lang w:eastAsia="es-ES_tradnl"/>
        </w:rPr>
        <w:t xml:space="preserve"> mediacions</w:t>
      </w:r>
      <w:r>
        <w:rPr>
          <w:rFonts w:ascii="Rotis Sans Serif Std" w:hAnsi="Rotis Sans Serif Std" w:cs="RotisSansSerifStd-Regular"/>
          <w:bCs/>
          <w:color w:val="5E6061"/>
          <w:lang w:eastAsia="es-ES_tradnl"/>
        </w:rPr>
        <w:t>.</w:t>
      </w:r>
      <w:r w:rsidRPr="00E17A43">
        <w:rPr>
          <w:rFonts w:ascii="Rotis Sans Serif Std" w:hAnsi="Rotis Sans Serif Std" w:cs="RotisSansSerifStd-Regular"/>
          <w:bCs/>
          <w:color w:val="5E6061"/>
          <w:lang w:eastAsia="es-ES_tradnl"/>
        </w:rPr>
        <w:t xml:space="preserve"> </w:t>
      </w:r>
      <w:r>
        <w:rPr>
          <w:rFonts w:ascii="Rotis Sans Serif Std" w:hAnsi="Rotis Sans Serif Std" w:cs="RotisSansSerifStd-Regular"/>
          <w:bCs/>
          <w:color w:val="5E6061"/>
          <w:lang w:eastAsia="es-ES_tradnl"/>
        </w:rPr>
        <w:t xml:space="preserve">A </w:t>
      </w:r>
      <w:r w:rsidRPr="00E17A43">
        <w:rPr>
          <w:rFonts w:ascii="Rotis Sans Serif Std" w:hAnsi="Rotis Sans Serif Std" w:cs="RotisSansSerifStd-Regular"/>
          <w:bCs/>
          <w:color w:val="5E6061"/>
          <w:lang w:eastAsia="es-ES_tradnl"/>
        </w:rPr>
        <w:t xml:space="preserve">Girona  s’han presentat un total de </w:t>
      </w:r>
      <w:r w:rsidR="00AE6481">
        <w:rPr>
          <w:rFonts w:ascii="Rotis Sans Serif Std" w:hAnsi="Rotis Sans Serif Std" w:cs="RotisSansSerifStd-Regular"/>
          <w:bCs/>
          <w:color w:val="5E6061"/>
          <w:lang w:eastAsia="es-ES_tradnl"/>
        </w:rPr>
        <w:t>35</w:t>
      </w:r>
      <w:r w:rsidRPr="00E17A43">
        <w:rPr>
          <w:rFonts w:ascii="Rotis Sans Serif Std" w:hAnsi="Rotis Sans Serif Std" w:cs="RotisSansSerifStd-Regular"/>
          <w:bCs/>
          <w:color w:val="5E6061"/>
          <w:lang w:eastAsia="es-ES_tradnl"/>
        </w:rPr>
        <w:t xml:space="preserve"> expedients, dels quals </w:t>
      </w:r>
      <w:r w:rsidR="00AE6481">
        <w:rPr>
          <w:rFonts w:ascii="Rotis Sans Serif Std" w:hAnsi="Rotis Sans Serif Std" w:cs="RotisSansSerifStd-Regular"/>
          <w:bCs/>
          <w:color w:val="5E6061"/>
          <w:lang w:eastAsia="es-ES_tradnl"/>
        </w:rPr>
        <w:t>27</w:t>
      </w:r>
      <w:r>
        <w:rPr>
          <w:rFonts w:ascii="Rotis Sans Serif Std" w:hAnsi="Rotis Sans Serif Std" w:cs="RotisSansSerifStd-Regular"/>
          <w:bCs/>
          <w:color w:val="5E6061"/>
          <w:lang w:eastAsia="es-ES_tradnl"/>
        </w:rPr>
        <w:t xml:space="preserve"> han sigut</w:t>
      </w:r>
      <w:r w:rsidRPr="00E17A43">
        <w:rPr>
          <w:rFonts w:ascii="Rotis Sans Serif Std" w:hAnsi="Rotis Sans Serif Std" w:cs="RotisSansSerifStd-Regular"/>
          <w:bCs/>
          <w:color w:val="5E6061"/>
          <w:lang w:eastAsia="es-ES_tradnl"/>
        </w:rPr>
        <w:t xml:space="preserve"> conciliacions i </w:t>
      </w:r>
      <w:r w:rsidR="00AE6481">
        <w:rPr>
          <w:rFonts w:ascii="Rotis Sans Serif Std" w:hAnsi="Rotis Sans Serif Std" w:cs="RotisSansSerifStd-Regular"/>
          <w:bCs/>
          <w:color w:val="5E6061"/>
          <w:lang w:eastAsia="es-ES_tradnl"/>
        </w:rPr>
        <w:t xml:space="preserve">8 </w:t>
      </w:r>
      <w:r w:rsidRPr="00E17A43">
        <w:rPr>
          <w:rFonts w:ascii="Rotis Sans Serif Std" w:hAnsi="Rotis Sans Serif Std" w:cs="RotisSansSerifStd-Regular"/>
          <w:bCs/>
          <w:color w:val="5E6061"/>
          <w:lang w:eastAsia="es-ES_tradnl"/>
        </w:rPr>
        <w:t xml:space="preserve">mediacions.  A Lleida, s’han presentat un total de </w:t>
      </w:r>
      <w:r w:rsidR="00AE6481">
        <w:rPr>
          <w:rFonts w:ascii="Rotis Sans Serif Std" w:hAnsi="Rotis Sans Serif Std" w:cs="RotisSansSerifStd-Regular"/>
          <w:bCs/>
          <w:color w:val="5E6061"/>
          <w:lang w:eastAsia="es-ES_tradnl"/>
        </w:rPr>
        <w:t>17</w:t>
      </w:r>
      <w:r w:rsidRPr="00E17A43">
        <w:rPr>
          <w:rFonts w:ascii="Rotis Sans Serif Std" w:hAnsi="Rotis Sans Serif Std" w:cs="RotisSansSerifStd-Regular"/>
          <w:bCs/>
          <w:color w:val="5E6061"/>
          <w:lang w:eastAsia="es-ES_tradnl"/>
        </w:rPr>
        <w:t xml:space="preserve"> expedients, dels quals </w:t>
      </w:r>
      <w:r w:rsidR="00AE6481">
        <w:rPr>
          <w:rFonts w:ascii="Rotis Sans Serif Std" w:hAnsi="Rotis Sans Serif Std" w:cs="RotisSansSerifStd-Regular"/>
          <w:bCs/>
          <w:color w:val="5E6061"/>
          <w:lang w:eastAsia="es-ES_tradnl"/>
        </w:rPr>
        <w:t xml:space="preserve">14 </w:t>
      </w:r>
      <w:r w:rsidRPr="00E17A43">
        <w:rPr>
          <w:rFonts w:ascii="Rotis Sans Serif Std" w:hAnsi="Rotis Sans Serif Std" w:cs="RotisSansSerifStd-Regular"/>
          <w:bCs/>
          <w:color w:val="5E6061"/>
          <w:lang w:eastAsia="es-ES_tradnl"/>
        </w:rPr>
        <w:t xml:space="preserve">han sigut conciliacions i </w:t>
      </w:r>
      <w:r w:rsidR="00AE6481">
        <w:rPr>
          <w:rFonts w:ascii="Rotis Sans Serif Std" w:hAnsi="Rotis Sans Serif Std" w:cs="RotisSansSerifStd-Regular"/>
          <w:bCs/>
          <w:color w:val="5E6061"/>
          <w:lang w:eastAsia="es-ES_tradnl"/>
        </w:rPr>
        <w:t>3</w:t>
      </w:r>
      <w:r w:rsidRPr="00E17A43">
        <w:rPr>
          <w:rFonts w:ascii="Rotis Sans Serif Std" w:hAnsi="Rotis Sans Serif Std" w:cs="RotisSansSerifStd-Regular"/>
          <w:bCs/>
          <w:color w:val="5E6061"/>
          <w:lang w:eastAsia="es-ES_tradnl"/>
        </w:rPr>
        <w:t xml:space="preserve"> mediaci</w:t>
      </w:r>
      <w:r w:rsidR="00AE6481">
        <w:rPr>
          <w:rFonts w:ascii="Rotis Sans Serif Std" w:hAnsi="Rotis Sans Serif Std" w:cs="RotisSansSerifStd-Regular"/>
          <w:bCs/>
          <w:color w:val="5E6061"/>
          <w:lang w:eastAsia="es-ES_tradnl"/>
        </w:rPr>
        <w:t>ons</w:t>
      </w:r>
      <w:r>
        <w:rPr>
          <w:rFonts w:ascii="Rotis Sans Serif Std" w:hAnsi="Rotis Sans Serif Std" w:cs="RotisSansSerifStd-Regular"/>
          <w:bCs/>
          <w:color w:val="5E6061"/>
          <w:lang w:eastAsia="es-ES_tradnl"/>
        </w:rPr>
        <w:t xml:space="preserve"> </w:t>
      </w:r>
      <w:r w:rsidRPr="00E17A43">
        <w:rPr>
          <w:rFonts w:ascii="Rotis Sans Serif Std" w:hAnsi="Rotis Sans Serif Std" w:cs="RotisSansSerifStd-Regular"/>
          <w:bCs/>
          <w:color w:val="5E6061"/>
          <w:lang w:eastAsia="es-ES_tradnl"/>
        </w:rPr>
        <w:t>.A Tarragona</w:t>
      </w:r>
      <w:r>
        <w:rPr>
          <w:rFonts w:ascii="Rotis Sans Serif Std" w:hAnsi="Rotis Sans Serif Std" w:cs="RotisSansSerifStd-Regular"/>
          <w:bCs/>
          <w:color w:val="5E6061"/>
          <w:lang w:eastAsia="es-ES_tradnl"/>
        </w:rPr>
        <w:t>,</w:t>
      </w:r>
      <w:r w:rsidRPr="00E17A43">
        <w:rPr>
          <w:rFonts w:ascii="Rotis Sans Serif Std" w:hAnsi="Rotis Sans Serif Std" w:cs="RotisSansSerifStd-Regular"/>
          <w:bCs/>
          <w:color w:val="5E6061"/>
          <w:lang w:eastAsia="es-ES_tradnl"/>
        </w:rPr>
        <w:t xml:space="preserve"> s’han presentat un total de </w:t>
      </w:r>
      <w:r w:rsidR="00AE6481">
        <w:rPr>
          <w:rFonts w:ascii="Rotis Sans Serif Std" w:hAnsi="Rotis Sans Serif Std" w:cs="RotisSansSerifStd-Regular"/>
          <w:bCs/>
          <w:color w:val="5E6061"/>
          <w:lang w:eastAsia="es-ES_tradnl"/>
        </w:rPr>
        <w:t>37</w:t>
      </w:r>
      <w:r w:rsidRPr="00E17A43">
        <w:rPr>
          <w:rFonts w:ascii="Rotis Sans Serif Std" w:hAnsi="Rotis Sans Serif Std" w:cs="RotisSansSerifStd-Regular"/>
          <w:bCs/>
          <w:color w:val="5E6061"/>
          <w:lang w:eastAsia="es-ES_tradnl"/>
        </w:rPr>
        <w:t xml:space="preserve"> expedients, dels quals </w:t>
      </w:r>
      <w:r w:rsidR="00AE6481">
        <w:rPr>
          <w:rFonts w:ascii="Rotis Sans Serif Std" w:hAnsi="Rotis Sans Serif Std" w:cs="RotisSansSerifStd-Regular"/>
          <w:bCs/>
          <w:color w:val="5E6061"/>
          <w:lang w:eastAsia="es-ES_tradnl"/>
        </w:rPr>
        <w:t>21</w:t>
      </w:r>
      <w:r w:rsidRPr="00E17A43">
        <w:rPr>
          <w:rFonts w:ascii="Rotis Sans Serif Std" w:hAnsi="Rotis Sans Serif Std" w:cs="RotisSansSerifStd-Regular"/>
          <w:bCs/>
          <w:color w:val="5E6061"/>
          <w:lang w:eastAsia="es-ES_tradnl"/>
        </w:rPr>
        <w:t xml:space="preserve"> han sigut conciliacions i </w:t>
      </w:r>
      <w:r w:rsidR="00AE6481">
        <w:rPr>
          <w:rFonts w:ascii="Rotis Sans Serif Std" w:hAnsi="Rotis Sans Serif Std" w:cs="RotisSansSerifStd-Regular"/>
          <w:bCs/>
          <w:color w:val="5E6061"/>
          <w:lang w:eastAsia="es-ES_tradnl"/>
        </w:rPr>
        <w:t>16</w:t>
      </w:r>
      <w:r>
        <w:rPr>
          <w:rFonts w:ascii="Rotis Sans Serif Std" w:hAnsi="Rotis Sans Serif Std" w:cs="RotisSansSerifStd-Regular"/>
          <w:bCs/>
          <w:color w:val="5E6061"/>
          <w:lang w:eastAsia="es-ES_tradnl"/>
        </w:rPr>
        <w:t xml:space="preserve"> </w:t>
      </w:r>
      <w:r w:rsidRPr="00E17A43">
        <w:rPr>
          <w:rFonts w:ascii="Rotis Sans Serif Std" w:hAnsi="Rotis Sans Serif Std" w:cs="RotisSansSerifStd-Regular"/>
          <w:bCs/>
          <w:color w:val="5E6061"/>
          <w:lang w:eastAsia="es-ES_tradnl"/>
        </w:rPr>
        <w:t>mediacions.</w:t>
      </w:r>
    </w:p>
    <w:p w:rsidR="00AE6481" w:rsidRDefault="00AE6481">
      <w:pPr>
        <w:rPr>
          <w:rFonts w:ascii="Rotis Sans Serif Std" w:hAnsi="Rotis Sans Serif Std" w:cs="RotisSansSerifStd-Regular"/>
          <w:bCs/>
          <w:color w:val="5E6061"/>
          <w:lang w:eastAsia="es-ES_tradnl"/>
        </w:rPr>
      </w:pPr>
    </w:p>
    <w:p w:rsidR="001477A8" w:rsidRPr="003171F9" w:rsidRDefault="001477A8" w:rsidP="00AB0BAA">
      <w:pPr>
        <w:pStyle w:val="Prrafodelista"/>
        <w:numPr>
          <w:ilvl w:val="0"/>
          <w:numId w:val="5"/>
        </w:numPr>
        <w:autoSpaceDE w:val="0"/>
        <w:autoSpaceDN w:val="0"/>
        <w:adjustRightInd w:val="0"/>
        <w:spacing w:line="276" w:lineRule="auto"/>
        <w:jc w:val="both"/>
        <w:rPr>
          <w:rFonts w:ascii="Rotis Sans Serif Std ExtraBold" w:hAnsi="Rotis Sans Serif Std ExtraBold" w:cs="RotisSansSerifStd-Regular"/>
          <w:b/>
          <w:color w:val="C1002B"/>
          <w:szCs w:val="40"/>
          <w:u w:val="single"/>
          <w:lang w:eastAsia="es-ES_tradnl"/>
        </w:rPr>
      </w:pPr>
      <w:r w:rsidRPr="003171F9">
        <w:rPr>
          <w:rFonts w:ascii="Rotis Sans Serif Std ExtraBold" w:hAnsi="Rotis Sans Serif Std ExtraBold" w:cs="RotisSansSerifStd-Regular"/>
          <w:b/>
          <w:color w:val="C1002B"/>
          <w:szCs w:val="40"/>
          <w:u w:val="single"/>
          <w:lang w:eastAsia="es-ES_tradnl"/>
        </w:rPr>
        <w:t>Servei de Mediació, Arbitratge i Conciliació</w:t>
      </w:r>
    </w:p>
    <w:p w:rsidR="001477A8" w:rsidRPr="003171F9" w:rsidRDefault="001477A8" w:rsidP="001477A8">
      <w:pPr>
        <w:spacing w:line="276" w:lineRule="auto"/>
        <w:ind w:left="709"/>
        <w:jc w:val="both"/>
        <w:rPr>
          <w:rFonts w:ascii="Rotis Sans Serif Std ExtraBold" w:hAnsi="Rotis Sans Serif Std ExtraBold" w:cs="RotisSansSerifStd-Regular"/>
          <w:b/>
          <w:color w:val="C1002B"/>
          <w:szCs w:val="40"/>
          <w:u w:val="single"/>
          <w:lang w:eastAsia="es-ES_tradnl"/>
        </w:rPr>
      </w:pPr>
    </w:p>
    <w:p w:rsidR="001477A8" w:rsidRDefault="001477A8" w:rsidP="004905FD">
      <w:pPr>
        <w:pStyle w:val="TEXTBOLD"/>
        <w:numPr>
          <w:ilvl w:val="0"/>
          <w:numId w:val="3"/>
        </w:numPr>
        <w:spacing w:line="276" w:lineRule="auto"/>
        <w:ind w:left="567"/>
        <w:rPr>
          <w:rFonts w:ascii="Rotis Sans Serif Std ExtraBold" w:hAnsi="Rotis Sans Serif Std ExtraBold"/>
          <w:color w:val="C1002B"/>
          <w:sz w:val="24"/>
          <w:szCs w:val="40"/>
          <w:u w:val="single"/>
          <w:lang w:val="ca-ES"/>
        </w:rPr>
      </w:pPr>
      <w:r w:rsidRPr="003171F9">
        <w:rPr>
          <w:rFonts w:ascii="Rotis Sans Serif Std ExtraBold" w:hAnsi="Rotis Sans Serif Std ExtraBold"/>
          <w:color w:val="C1002B"/>
          <w:sz w:val="24"/>
          <w:szCs w:val="40"/>
          <w:u w:val="single"/>
          <w:lang w:val="ca-ES"/>
        </w:rPr>
        <w:t xml:space="preserve">Conciliacions individuals </w:t>
      </w:r>
    </w:p>
    <w:p w:rsidR="00AF01EC" w:rsidRDefault="00AF01EC" w:rsidP="00AF01EC">
      <w:pPr>
        <w:spacing w:line="276" w:lineRule="auto"/>
        <w:jc w:val="both"/>
        <w:rPr>
          <w:rFonts w:ascii="Rotis Sans Serif Std" w:hAnsi="Rotis Sans Serif Std" w:cs="RotisSansSerifStd-Regular"/>
          <w:bCs/>
          <w:color w:val="5E6061"/>
          <w:lang w:eastAsia="es-ES_tradnl"/>
        </w:rPr>
      </w:pPr>
    </w:p>
    <w:p w:rsidR="00565C09" w:rsidRDefault="00565C09" w:rsidP="00565C09">
      <w:pPr>
        <w:pStyle w:val="TEXTBOLD"/>
        <w:spacing w:line="276" w:lineRule="auto"/>
        <w:rPr>
          <w:b w:val="0"/>
          <w:sz w:val="24"/>
          <w:szCs w:val="24"/>
          <w:lang w:val="ca-ES"/>
        </w:rPr>
      </w:pPr>
      <w:r>
        <w:rPr>
          <w:b w:val="0"/>
          <w:sz w:val="24"/>
          <w:szCs w:val="24"/>
          <w:u w:val="single"/>
          <w:lang w:val="ca-ES"/>
        </w:rPr>
        <w:t>Fins al mes de maig de 2018</w:t>
      </w:r>
      <w:r>
        <w:rPr>
          <w:b w:val="0"/>
          <w:sz w:val="24"/>
          <w:szCs w:val="24"/>
          <w:lang w:val="ca-ES"/>
        </w:rPr>
        <w:t xml:space="preserve"> s’han produït 32.917 conciliacions individuals a Catalunya, un -2,1% menys respecte al mateix període de 2017, que hi van haver 33.606 conciliacions individuals. </w:t>
      </w:r>
    </w:p>
    <w:p w:rsidR="00565C09" w:rsidRDefault="00565C09" w:rsidP="00565C09">
      <w:pPr>
        <w:pStyle w:val="TEXTBOLD"/>
        <w:spacing w:line="276" w:lineRule="auto"/>
        <w:rPr>
          <w:b w:val="0"/>
          <w:sz w:val="24"/>
          <w:szCs w:val="24"/>
          <w:u w:val="single"/>
          <w:lang w:val="ca-ES"/>
        </w:rPr>
      </w:pPr>
    </w:p>
    <w:p w:rsidR="00565C09" w:rsidRDefault="00565C09" w:rsidP="00565C09">
      <w:pPr>
        <w:pStyle w:val="TEXTBOLD"/>
        <w:spacing w:line="276" w:lineRule="auto"/>
        <w:rPr>
          <w:b w:val="0"/>
          <w:sz w:val="24"/>
          <w:szCs w:val="24"/>
          <w:lang w:val="ca-ES"/>
        </w:rPr>
      </w:pPr>
      <w:r>
        <w:rPr>
          <w:b w:val="0"/>
          <w:sz w:val="24"/>
          <w:szCs w:val="24"/>
          <w:u w:val="single"/>
          <w:lang w:val="ca-ES"/>
        </w:rPr>
        <w:t>Per demarcació territorial</w:t>
      </w:r>
      <w:r>
        <w:rPr>
          <w:b w:val="0"/>
          <w:sz w:val="24"/>
          <w:szCs w:val="24"/>
          <w:lang w:val="ca-ES"/>
        </w:rPr>
        <w:t xml:space="preserve">, a la província de Barcelona fins el mes de maig de 2018 van haver-hi 27.220 conciliacions individuals, el que suposa una variació del 0,7% respecte al 2017. </w:t>
      </w:r>
    </w:p>
    <w:p w:rsidR="00565C09" w:rsidRDefault="00565C09" w:rsidP="00565C09">
      <w:pPr>
        <w:pStyle w:val="TEXTBOLD"/>
        <w:spacing w:line="276" w:lineRule="auto"/>
        <w:rPr>
          <w:b w:val="0"/>
          <w:sz w:val="24"/>
          <w:szCs w:val="24"/>
          <w:lang w:val="ca-ES"/>
        </w:rPr>
      </w:pPr>
    </w:p>
    <w:p w:rsidR="00565C09" w:rsidRDefault="00565C09" w:rsidP="00565C09">
      <w:pPr>
        <w:pStyle w:val="TEXTBOLD"/>
        <w:spacing w:line="276" w:lineRule="auto"/>
        <w:rPr>
          <w:b w:val="0"/>
          <w:sz w:val="24"/>
          <w:szCs w:val="24"/>
          <w:lang w:val="ca-ES"/>
        </w:rPr>
      </w:pPr>
      <w:r>
        <w:rPr>
          <w:b w:val="0"/>
          <w:sz w:val="24"/>
          <w:szCs w:val="24"/>
          <w:lang w:val="ca-ES"/>
        </w:rPr>
        <w:t xml:space="preserve">A la província de Girona, van haver-hi 1.987 conciliacions individuals, en comparació a l’any anterior, s’ha produït una variació del -9%. </w:t>
      </w:r>
    </w:p>
    <w:p w:rsidR="00565C09" w:rsidRDefault="00565C09" w:rsidP="00565C09">
      <w:pPr>
        <w:pStyle w:val="TEXTBOLD"/>
        <w:spacing w:line="276" w:lineRule="auto"/>
        <w:rPr>
          <w:b w:val="0"/>
          <w:sz w:val="24"/>
          <w:szCs w:val="24"/>
          <w:lang w:val="ca-ES"/>
        </w:rPr>
      </w:pPr>
    </w:p>
    <w:p w:rsidR="00565C09" w:rsidRDefault="00565C09" w:rsidP="00565C09">
      <w:pPr>
        <w:pStyle w:val="TEXTBOLD"/>
        <w:spacing w:line="276" w:lineRule="auto"/>
        <w:rPr>
          <w:b w:val="0"/>
          <w:sz w:val="24"/>
          <w:szCs w:val="24"/>
          <w:lang w:val="ca-ES"/>
        </w:rPr>
      </w:pPr>
      <w:r>
        <w:rPr>
          <w:b w:val="0"/>
          <w:sz w:val="24"/>
          <w:szCs w:val="24"/>
          <w:lang w:val="ca-ES"/>
        </w:rPr>
        <w:t>A Lleida, van haver-hi 1.272 conciliacions individuals, augmentant així el nombre de conciliacions un 1,2%.</w:t>
      </w:r>
    </w:p>
    <w:p w:rsidR="00565C09" w:rsidRDefault="00565C09" w:rsidP="00565C09">
      <w:pPr>
        <w:pStyle w:val="TEXTBOLD"/>
        <w:spacing w:line="276" w:lineRule="auto"/>
        <w:rPr>
          <w:b w:val="0"/>
          <w:sz w:val="24"/>
          <w:szCs w:val="24"/>
          <w:lang w:val="ca-ES"/>
        </w:rPr>
      </w:pPr>
    </w:p>
    <w:p w:rsidR="00565C09" w:rsidRDefault="00565C09" w:rsidP="00565C09">
      <w:pPr>
        <w:pStyle w:val="TEXTBOLD"/>
        <w:spacing w:line="276" w:lineRule="auto"/>
        <w:rPr>
          <w:b w:val="0"/>
          <w:sz w:val="24"/>
          <w:szCs w:val="24"/>
          <w:lang w:val="ca-ES"/>
        </w:rPr>
      </w:pPr>
      <w:r>
        <w:rPr>
          <w:b w:val="0"/>
          <w:sz w:val="24"/>
          <w:szCs w:val="24"/>
          <w:lang w:val="ca-ES"/>
        </w:rPr>
        <w:t>Per últim, a la província de Tarragona, van produir-se 2.438 conciliacions individuals, el que suposa un 5,5% menys.</w:t>
      </w:r>
    </w:p>
    <w:p w:rsidR="00565C09" w:rsidRDefault="00565C09" w:rsidP="00565C09">
      <w:pPr>
        <w:pStyle w:val="TEXTBOLD"/>
        <w:spacing w:line="276" w:lineRule="auto"/>
        <w:rPr>
          <w:rFonts w:ascii="Rotis Sans Serif Std ExtraBold" w:hAnsi="Rotis Sans Serif Std ExtraBold"/>
          <w:color w:val="C1002B"/>
          <w:sz w:val="24"/>
          <w:szCs w:val="40"/>
          <w:u w:val="single"/>
          <w:lang w:val="ca-ES"/>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270"/>
      </w:tblGrid>
      <w:tr w:rsidR="00565C09" w:rsidTr="00565C09">
        <w:trPr>
          <w:trHeight w:val="1033"/>
          <w:jc w:val="center"/>
        </w:trPr>
        <w:tc>
          <w:tcPr>
            <w:tcW w:w="5270" w:type="dxa"/>
            <w:tcBorders>
              <w:top w:val="single" w:sz="4" w:space="0" w:color="FFFFFF"/>
              <w:left w:val="single" w:sz="4" w:space="0" w:color="FFFFFF"/>
              <w:bottom w:val="single" w:sz="4" w:space="0" w:color="FFFFFF"/>
              <w:right w:val="single" w:sz="4" w:space="0" w:color="FFFFFF"/>
            </w:tcBorders>
            <w:shd w:val="clear" w:color="auto" w:fill="FFFFFF"/>
            <w:vAlign w:val="center"/>
            <w:hideMark/>
          </w:tcPr>
          <w:p w:rsidR="00565C09" w:rsidRDefault="00565C09">
            <w:pPr>
              <w:autoSpaceDE w:val="0"/>
              <w:autoSpaceDN w:val="0"/>
              <w:adjustRightInd w:val="0"/>
              <w:spacing w:line="276" w:lineRule="auto"/>
              <w:jc w:val="center"/>
              <w:rPr>
                <w:rFonts w:ascii="Rotis Sans Serif Std" w:hAnsi="Rotis Sans Serif Std" w:cs="RotisSansSerifStd-Regular"/>
                <w:b/>
                <w:color w:val="C00000"/>
                <w:lang w:val="es-ES" w:eastAsia="es-ES"/>
              </w:rPr>
            </w:pPr>
            <w:r>
              <w:rPr>
                <w:rFonts w:ascii="Rotis Sans Serif Std" w:hAnsi="Rotis Sans Serif Std" w:cs="RotisSansSerifStd-Regular"/>
                <w:b/>
                <w:color w:val="C00000"/>
                <w:lang w:val="es-ES" w:eastAsia="es-ES"/>
              </w:rPr>
              <w:t xml:space="preserve">A Catalunya </w:t>
            </w:r>
            <w:proofErr w:type="spellStart"/>
            <w:r>
              <w:rPr>
                <w:rFonts w:ascii="Rotis Sans Serif Std" w:hAnsi="Rotis Sans Serif Std" w:cs="RotisSansSerifStd-Regular"/>
                <w:b/>
                <w:color w:val="C00000"/>
                <w:lang w:val="es-ES" w:eastAsia="es-ES"/>
              </w:rPr>
              <w:t>s’han</w:t>
            </w:r>
            <w:proofErr w:type="spellEnd"/>
            <w:r>
              <w:rPr>
                <w:rFonts w:ascii="Rotis Sans Serif Std" w:hAnsi="Rotis Sans Serif Std" w:cs="RotisSansSerifStd-Regular"/>
                <w:b/>
                <w:color w:val="C00000"/>
                <w:lang w:val="es-ES" w:eastAsia="es-ES"/>
              </w:rPr>
              <w:t xml:space="preserve"> </w:t>
            </w:r>
            <w:proofErr w:type="spellStart"/>
            <w:r>
              <w:rPr>
                <w:rFonts w:ascii="Rotis Sans Serif Std" w:hAnsi="Rotis Sans Serif Std" w:cs="RotisSansSerifStd-Regular"/>
                <w:b/>
                <w:color w:val="C00000"/>
                <w:lang w:val="es-ES" w:eastAsia="es-ES"/>
              </w:rPr>
              <w:t>produït</w:t>
            </w:r>
            <w:proofErr w:type="spellEnd"/>
            <w:r>
              <w:rPr>
                <w:rFonts w:ascii="Rotis Sans Serif Std" w:hAnsi="Rotis Sans Serif Std" w:cs="RotisSansSerifStd-Regular"/>
                <w:b/>
                <w:color w:val="C00000"/>
                <w:lang w:val="es-ES" w:eastAsia="es-ES"/>
              </w:rPr>
              <w:t xml:space="preserve"> 32.917 </w:t>
            </w:r>
            <w:proofErr w:type="spellStart"/>
            <w:r>
              <w:rPr>
                <w:rFonts w:ascii="Rotis Sans Serif Std" w:hAnsi="Rotis Sans Serif Std" w:cs="RotisSansSerifStd-Regular"/>
                <w:b/>
                <w:color w:val="C00000"/>
                <w:lang w:val="es-ES" w:eastAsia="es-ES"/>
              </w:rPr>
              <w:t>conciliacions</w:t>
            </w:r>
            <w:proofErr w:type="spellEnd"/>
            <w:r>
              <w:rPr>
                <w:rFonts w:ascii="Rotis Sans Serif Std" w:hAnsi="Rotis Sans Serif Std" w:cs="RotisSansSerifStd-Regular"/>
                <w:b/>
                <w:color w:val="C00000"/>
                <w:lang w:val="es-ES" w:eastAsia="es-ES"/>
              </w:rPr>
              <w:t xml:space="preserve"> </w:t>
            </w:r>
            <w:proofErr w:type="spellStart"/>
            <w:r>
              <w:rPr>
                <w:rFonts w:ascii="Rotis Sans Serif Std" w:hAnsi="Rotis Sans Serif Std" w:cs="RotisSansSerifStd-Regular"/>
                <w:b/>
                <w:color w:val="C00000"/>
                <w:lang w:val="es-ES" w:eastAsia="es-ES"/>
              </w:rPr>
              <w:t>individuals</w:t>
            </w:r>
            <w:proofErr w:type="spellEnd"/>
            <w:r>
              <w:rPr>
                <w:rFonts w:ascii="Rotis Sans Serif Std" w:hAnsi="Rotis Sans Serif Std" w:cs="RotisSansSerifStd-Regular"/>
                <w:b/>
                <w:color w:val="C00000"/>
                <w:lang w:val="es-ES" w:eastAsia="es-ES"/>
              </w:rPr>
              <w:t xml:space="preserve">, un -2,1% </w:t>
            </w:r>
            <w:proofErr w:type="spellStart"/>
            <w:r>
              <w:rPr>
                <w:rFonts w:ascii="Rotis Sans Serif Std" w:hAnsi="Rotis Sans Serif Std" w:cs="RotisSansSerifStd-Regular"/>
                <w:b/>
                <w:color w:val="C00000"/>
                <w:lang w:val="es-ES" w:eastAsia="es-ES"/>
              </w:rPr>
              <w:t>menys</w:t>
            </w:r>
            <w:proofErr w:type="spellEnd"/>
            <w:r>
              <w:rPr>
                <w:rFonts w:ascii="Rotis Sans Serif Std" w:hAnsi="Rotis Sans Serif Std" w:cs="RotisSansSerifStd-Regular"/>
                <w:b/>
                <w:color w:val="C00000"/>
                <w:lang w:val="es-ES" w:eastAsia="es-ES"/>
              </w:rPr>
              <w:t xml:space="preserve"> respecte de 2017.</w:t>
            </w:r>
          </w:p>
        </w:tc>
      </w:tr>
    </w:tbl>
    <w:p w:rsidR="004905FD" w:rsidRPr="003171F9" w:rsidRDefault="004905FD" w:rsidP="004905FD">
      <w:pPr>
        <w:pStyle w:val="TEXTBOLD"/>
        <w:spacing w:line="276" w:lineRule="auto"/>
        <w:rPr>
          <w:rFonts w:ascii="Rotis Sans Serif Std ExtraBold" w:hAnsi="Rotis Sans Serif Std ExtraBold"/>
          <w:color w:val="C1002B"/>
          <w:sz w:val="24"/>
          <w:szCs w:val="40"/>
          <w:u w:val="single"/>
          <w:lang w:val="ca-ES"/>
        </w:rPr>
      </w:pPr>
    </w:p>
    <w:p w:rsidR="004905FD" w:rsidRPr="003171F9" w:rsidRDefault="004905FD" w:rsidP="004905FD">
      <w:pPr>
        <w:pStyle w:val="TEXTBOLD"/>
        <w:numPr>
          <w:ilvl w:val="0"/>
          <w:numId w:val="3"/>
        </w:numPr>
        <w:spacing w:line="276" w:lineRule="auto"/>
        <w:ind w:left="567"/>
        <w:rPr>
          <w:rFonts w:ascii="Rotis Sans Serif Std ExtraBold" w:hAnsi="Rotis Sans Serif Std ExtraBold"/>
          <w:color w:val="C1002B"/>
          <w:sz w:val="24"/>
          <w:szCs w:val="40"/>
          <w:u w:val="single"/>
          <w:lang w:val="ca-ES"/>
        </w:rPr>
      </w:pPr>
      <w:r w:rsidRPr="003171F9">
        <w:rPr>
          <w:rFonts w:ascii="Rotis Sans Serif Std ExtraBold" w:hAnsi="Rotis Sans Serif Std ExtraBold"/>
          <w:color w:val="C1002B"/>
          <w:sz w:val="24"/>
          <w:szCs w:val="40"/>
          <w:u w:val="single"/>
          <w:lang w:val="ca-ES"/>
        </w:rPr>
        <w:t xml:space="preserve">Conciliacions col·lectives </w:t>
      </w:r>
    </w:p>
    <w:p w:rsidR="004905FD" w:rsidRPr="003171F9" w:rsidRDefault="004905FD" w:rsidP="004905FD">
      <w:pPr>
        <w:pStyle w:val="TEXTBOLD"/>
        <w:spacing w:line="276" w:lineRule="auto"/>
        <w:rPr>
          <w:b w:val="0"/>
          <w:color w:val="FF0000"/>
          <w:sz w:val="24"/>
          <w:szCs w:val="24"/>
          <w:lang w:val="ca-ES"/>
        </w:rPr>
      </w:pPr>
    </w:p>
    <w:p w:rsidR="00AF01EC" w:rsidRPr="009D0396" w:rsidRDefault="00AF01EC" w:rsidP="00AF01EC">
      <w:pPr>
        <w:jc w:val="both"/>
        <w:rPr>
          <w:rFonts w:ascii="Rotis Sans Serif Std" w:hAnsi="Rotis Sans Serif Std" w:cs="RotisSansSerifStd-Regular"/>
          <w:color w:val="5E6061"/>
          <w:lang w:eastAsia="es-ES_tradnl"/>
        </w:rPr>
      </w:pPr>
      <w:r w:rsidRPr="009D0396">
        <w:rPr>
          <w:rFonts w:ascii="Rotis Sans Serif Std" w:hAnsi="Rotis Sans Serif Std" w:cs="RotisSansSerifStd-Regular"/>
          <w:color w:val="5E6061"/>
          <w:lang w:eastAsia="es-ES_tradnl"/>
        </w:rPr>
        <w:t xml:space="preserve">L’Estadística de Conciliacions Laborals de l’Observatori de Treball i Model Productiu, estima que fins el mes de maig de 2018, van haver-hi 45 conflictes col·lectius en el Servei de Mediació, Arbitratge i Conciliació, fet que suposa una variació del -13,5% respecte a l’any anterior (7 conflictes menys). </w:t>
      </w:r>
    </w:p>
    <w:p w:rsidR="00AF01EC" w:rsidRPr="009D0396" w:rsidRDefault="00AF01EC" w:rsidP="00AF01EC">
      <w:pPr>
        <w:rPr>
          <w:rFonts w:ascii="Rotis Sans Serif Std" w:hAnsi="Rotis Sans Serif Std" w:cs="RotisSansSerifStd-Regular"/>
          <w:color w:val="5E6061"/>
          <w:lang w:eastAsia="es-ES_tradnl"/>
        </w:rPr>
      </w:pPr>
    </w:p>
    <w:p w:rsidR="00AF01EC" w:rsidRPr="009D0396" w:rsidRDefault="00AF01EC" w:rsidP="00AF01EC">
      <w:pPr>
        <w:jc w:val="both"/>
        <w:rPr>
          <w:rFonts w:ascii="Rotis Sans Serif Std" w:hAnsi="Rotis Sans Serif Std" w:cs="RotisSansSerifStd-Regular"/>
          <w:color w:val="5E6061"/>
          <w:lang w:eastAsia="es-ES_tradnl"/>
        </w:rPr>
      </w:pPr>
      <w:r w:rsidRPr="009D0396">
        <w:rPr>
          <w:rFonts w:ascii="Rotis Sans Serif Std" w:hAnsi="Rotis Sans Serif Std" w:cs="RotisSansSerifStd-Regular"/>
          <w:color w:val="5E6061"/>
          <w:lang w:eastAsia="es-ES_tradnl"/>
        </w:rPr>
        <w:t>Els 45 conflictes col·lectius, van afectar en total a 57 empreses i a 15.787 treballadors. Amb una variació interanual del -26,9% i del -11,5% respectivament</w:t>
      </w:r>
      <w:r>
        <w:rPr>
          <w:rFonts w:ascii="Rotis Sans Serif Std" w:hAnsi="Rotis Sans Serif Std" w:cs="RotisSansSerifStd-Regular"/>
          <w:color w:val="5E6061"/>
          <w:lang w:eastAsia="es-ES_tradnl"/>
        </w:rPr>
        <w:t>.</w:t>
      </w:r>
    </w:p>
    <w:p w:rsidR="00AF01EC" w:rsidRDefault="00AF01EC" w:rsidP="00AF01EC">
      <w:pPr>
        <w:pStyle w:val="TEXTBOLD"/>
        <w:spacing w:line="276" w:lineRule="auto"/>
        <w:rPr>
          <w:b w:val="0"/>
          <w:sz w:val="24"/>
          <w:szCs w:val="24"/>
          <w:lang w:val="ca-ES"/>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270"/>
      </w:tblGrid>
      <w:tr w:rsidR="00AF01EC" w:rsidRPr="003171F9" w:rsidTr="00767D0B">
        <w:trPr>
          <w:trHeight w:val="1033"/>
          <w:jc w:val="center"/>
        </w:trPr>
        <w:tc>
          <w:tcPr>
            <w:tcW w:w="5270" w:type="dxa"/>
            <w:shd w:val="clear" w:color="auto" w:fill="FFFFFF"/>
            <w:vAlign w:val="center"/>
          </w:tcPr>
          <w:p w:rsidR="00AF01EC" w:rsidRPr="003171F9" w:rsidRDefault="00AF01EC" w:rsidP="00767D0B">
            <w:pPr>
              <w:autoSpaceDE w:val="0"/>
              <w:autoSpaceDN w:val="0"/>
              <w:adjustRightInd w:val="0"/>
              <w:spacing w:line="276" w:lineRule="auto"/>
              <w:jc w:val="center"/>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t>Fins el mes de maig</w:t>
            </w:r>
            <w:r w:rsidRPr="00B42631">
              <w:rPr>
                <w:rFonts w:ascii="Rotis Sans Serif Std" w:hAnsi="Rotis Sans Serif Std" w:cs="RotisSansSerifStd-Regular"/>
                <w:b/>
                <w:color w:val="C00000"/>
                <w:lang w:eastAsia="es-ES"/>
              </w:rPr>
              <w:t xml:space="preserve"> de 2018, van have</w:t>
            </w:r>
            <w:r>
              <w:rPr>
                <w:rFonts w:ascii="Rotis Sans Serif Std" w:hAnsi="Rotis Sans Serif Std" w:cs="RotisSansSerifStd-Regular"/>
                <w:b/>
                <w:color w:val="C00000"/>
                <w:lang w:eastAsia="es-ES"/>
              </w:rPr>
              <w:t>r-hi 45 conflictes col·lectius, un -13,5</w:t>
            </w:r>
            <w:r w:rsidRPr="00B42631">
              <w:rPr>
                <w:rFonts w:ascii="Rotis Sans Serif Std" w:hAnsi="Rotis Sans Serif Std" w:cs="RotisSansSerifStd-Regular"/>
                <w:b/>
                <w:color w:val="C00000"/>
                <w:lang w:eastAsia="es-ES"/>
              </w:rPr>
              <w:t>%</w:t>
            </w:r>
            <w:r>
              <w:rPr>
                <w:rFonts w:ascii="Rotis Sans Serif Std" w:hAnsi="Rotis Sans Serif Std" w:cs="RotisSansSerifStd-Regular"/>
                <w:b/>
                <w:color w:val="C00000"/>
                <w:lang w:eastAsia="es-ES"/>
              </w:rPr>
              <w:t xml:space="preserve"> respecte 2017. </w:t>
            </w:r>
          </w:p>
        </w:tc>
      </w:tr>
    </w:tbl>
    <w:p w:rsidR="00AF01EC" w:rsidRDefault="00AF01EC" w:rsidP="00AF01EC">
      <w:pPr>
        <w:pStyle w:val="TEXTBOLD"/>
        <w:spacing w:line="276" w:lineRule="auto"/>
        <w:rPr>
          <w:b w:val="0"/>
          <w:sz w:val="24"/>
          <w:szCs w:val="24"/>
          <w:lang w:val="ca-ES"/>
        </w:rPr>
      </w:pPr>
      <w:r w:rsidRPr="00597D69">
        <w:rPr>
          <w:b w:val="0"/>
          <w:sz w:val="24"/>
          <w:szCs w:val="24"/>
          <w:lang w:val="ca-ES"/>
        </w:rPr>
        <w:t>Per sector</w:t>
      </w:r>
      <w:r>
        <w:rPr>
          <w:b w:val="0"/>
          <w:sz w:val="24"/>
          <w:szCs w:val="24"/>
          <w:lang w:val="ca-ES"/>
        </w:rPr>
        <w:t>s, el 40</w:t>
      </w:r>
      <w:r w:rsidRPr="00597D69">
        <w:rPr>
          <w:b w:val="0"/>
          <w:sz w:val="24"/>
          <w:szCs w:val="24"/>
          <w:lang w:val="ca-ES"/>
        </w:rPr>
        <w:t>% de conflictes col·lectius van afectar al sector</w:t>
      </w:r>
      <w:r>
        <w:rPr>
          <w:b w:val="0"/>
          <w:sz w:val="24"/>
          <w:szCs w:val="24"/>
          <w:lang w:val="ca-ES"/>
        </w:rPr>
        <w:t xml:space="preserve"> Indústria i el 60% al sector Serveis. </w:t>
      </w:r>
      <w:r w:rsidRPr="00597D69">
        <w:rPr>
          <w:b w:val="0"/>
          <w:sz w:val="24"/>
          <w:szCs w:val="24"/>
          <w:lang w:val="ca-ES"/>
        </w:rPr>
        <w:t xml:space="preserve"> </w:t>
      </w:r>
    </w:p>
    <w:p w:rsidR="00AF01EC" w:rsidRPr="004905FD" w:rsidRDefault="00AF01EC" w:rsidP="00AF01EC">
      <w:pPr>
        <w:pStyle w:val="TEXTBOLD"/>
        <w:spacing w:line="276" w:lineRule="auto"/>
        <w:rPr>
          <w:b w:val="0"/>
          <w:sz w:val="14"/>
          <w:szCs w:val="24"/>
          <w:lang w:val="ca-ES"/>
        </w:rPr>
      </w:pPr>
    </w:p>
    <w:p w:rsidR="00AF01EC" w:rsidRDefault="00AF01EC" w:rsidP="00AF01EC">
      <w:pPr>
        <w:pStyle w:val="TEXTBOLD"/>
        <w:spacing w:line="276" w:lineRule="auto"/>
        <w:rPr>
          <w:b w:val="0"/>
          <w:sz w:val="24"/>
          <w:szCs w:val="24"/>
          <w:lang w:val="ca-ES"/>
        </w:rPr>
      </w:pPr>
      <w:r w:rsidRPr="00597D69">
        <w:rPr>
          <w:b w:val="0"/>
          <w:sz w:val="24"/>
          <w:szCs w:val="24"/>
          <w:lang w:val="ca-ES"/>
        </w:rPr>
        <w:t xml:space="preserve">Per àmbit territorial, </w:t>
      </w:r>
      <w:r>
        <w:rPr>
          <w:b w:val="0"/>
          <w:sz w:val="24"/>
          <w:szCs w:val="24"/>
          <w:lang w:val="ca-ES"/>
        </w:rPr>
        <w:t xml:space="preserve">fins al mes de maig de 2018, s’han produït 30 conflictes col·lectius a Barcelona, 3 a Girona i 13 a Tarragona. </w:t>
      </w:r>
    </w:p>
    <w:p w:rsidR="00483A3D" w:rsidRPr="003171F9" w:rsidRDefault="00483A3D" w:rsidP="00870365">
      <w:pPr>
        <w:pStyle w:val="TEXTBOLD"/>
        <w:spacing w:line="276" w:lineRule="auto"/>
        <w:rPr>
          <w:b w:val="0"/>
          <w:color w:val="FF0000"/>
          <w:sz w:val="24"/>
          <w:szCs w:val="24"/>
          <w:lang w:val="ca-ES"/>
        </w:rPr>
      </w:pPr>
    </w:p>
    <w:p w:rsidR="001477A8" w:rsidRPr="003171F9" w:rsidRDefault="005F66FE" w:rsidP="00D750D0">
      <w:pPr>
        <w:shd w:val="clear" w:color="auto" w:fill="F2F2F2" w:themeFill="background1" w:themeFillShade="F2"/>
        <w:spacing w:line="276" w:lineRule="auto"/>
        <w:jc w:val="both"/>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t>Flexibilitat en el temps de treball</w:t>
      </w:r>
    </w:p>
    <w:p w:rsidR="00350E6D" w:rsidRDefault="00350E6D" w:rsidP="00F76D04">
      <w:pPr>
        <w:pStyle w:val="Prrafodelista"/>
        <w:ind w:left="0"/>
        <w:jc w:val="both"/>
        <w:rPr>
          <w:rFonts w:ascii="Rotis Sans Serif Std" w:hAnsi="Rotis Sans Serif Std"/>
          <w:b/>
          <w:color w:val="C00000"/>
        </w:rPr>
      </w:pPr>
    </w:p>
    <w:p w:rsidR="005F66FE" w:rsidRDefault="005F66FE" w:rsidP="005F66FE">
      <w:pPr>
        <w:tabs>
          <w:tab w:val="left" w:pos="3150"/>
        </w:tabs>
        <w:jc w:val="both"/>
        <w:rPr>
          <w:rFonts w:ascii="Rotis Sans Serif Std" w:hAnsi="Rotis Sans Serif Std" w:cs="RotisSansSerifStd-Regular"/>
          <w:color w:val="5E6061"/>
          <w:lang w:eastAsia="es-ES_tradnl"/>
        </w:rPr>
      </w:pPr>
      <w:r w:rsidRPr="008B4481">
        <w:rPr>
          <w:rFonts w:ascii="Rotis Sans Serif Std" w:hAnsi="Rotis Sans Serif Std" w:cs="RotisSansSerifStd-Regular"/>
          <w:color w:val="5E6061"/>
          <w:lang w:eastAsia="es-ES_tradnl"/>
        </w:rPr>
        <w:t>Segons les dades de l’Enque</w:t>
      </w:r>
      <w:r>
        <w:rPr>
          <w:rFonts w:ascii="Rotis Sans Serif Std" w:hAnsi="Rotis Sans Serif Std" w:cs="RotisSansSerifStd-Regular"/>
          <w:color w:val="5E6061"/>
          <w:lang w:eastAsia="es-ES_tradnl"/>
        </w:rPr>
        <w:t xml:space="preserve">sta Anual Laboral, del </w:t>
      </w:r>
      <w:proofErr w:type="spellStart"/>
      <w:r>
        <w:rPr>
          <w:rFonts w:ascii="Rotis Sans Serif Std" w:hAnsi="Rotis Sans Serif Std" w:cs="RotisSansSerifStd-Regular"/>
          <w:color w:val="5E6061"/>
          <w:lang w:eastAsia="es-ES_tradnl"/>
        </w:rPr>
        <w:t>Ministerio</w:t>
      </w:r>
      <w:proofErr w:type="spellEnd"/>
      <w:r>
        <w:rPr>
          <w:rFonts w:ascii="Rotis Sans Serif Std" w:hAnsi="Rotis Sans Serif Std" w:cs="RotisSansSerifStd-Regular"/>
          <w:color w:val="5E6061"/>
          <w:lang w:eastAsia="es-ES_tradnl"/>
        </w:rPr>
        <w:t xml:space="preserve"> de Trabajo, </w:t>
      </w:r>
      <w:proofErr w:type="spellStart"/>
      <w:r>
        <w:rPr>
          <w:rFonts w:ascii="Rotis Sans Serif Std" w:hAnsi="Rotis Sans Serif Std" w:cs="RotisSansSerifStd-Regular"/>
          <w:color w:val="5E6061"/>
          <w:lang w:eastAsia="es-ES_tradnl"/>
        </w:rPr>
        <w:t>Migraciones</w:t>
      </w:r>
      <w:proofErr w:type="spellEnd"/>
      <w:r>
        <w:rPr>
          <w:rFonts w:ascii="Rotis Sans Serif Std" w:hAnsi="Rotis Sans Serif Std" w:cs="RotisSansSerifStd-Regular"/>
          <w:color w:val="5E6061"/>
          <w:lang w:eastAsia="es-ES_tradnl"/>
        </w:rPr>
        <w:t xml:space="preserve"> y Seguridad Social</w:t>
      </w:r>
      <w:r w:rsidRPr="008B4481">
        <w:rPr>
          <w:rFonts w:ascii="Rotis Sans Serif Std" w:hAnsi="Rotis Sans Serif Std" w:cs="RotisSansSerifStd-Regular"/>
          <w:color w:val="5E6061"/>
          <w:lang w:eastAsia="es-ES_tradnl"/>
        </w:rPr>
        <w:t>, només un 27</w:t>
      </w:r>
      <w:r>
        <w:rPr>
          <w:rFonts w:ascii="Rotis Sans Serif Std" w:hAnsi="Rotis Sans Serif Std" w:cs="RotisSansSerifStd-Regular"/>
          <w:color w:val="5E6061"/>
          <w:lang w:eastAsia="es-ES_tradnl"/>
        </w:rPr>
        <w:t>,5</w:t>
      </w:r>
      <w:r w:rsidRPr="008B4481">
        <w:rPr>
          <w:rFonts w:ascii="Rotis Sans Serif Std" w:hAnsi="Rotis Sans Serif Std" w:cs="RotisSansSerifStd-Regular"/>
          <w:color w:val="5E6061"/>
          <w:lang w:eastAsia="es-ES_tradnl"/>
        </w:rPr>
        <w:t xml:space="preserve">% de les empreses </w:t>
      </w:r>
      <w:r>
        <w:rPr>
          <w:rFonts w:ascii="Rotis Sans Serif Std" w:hAnsi="Rotis Sans Serif Std" w:cs="RotisSansSerifStd-Regular"/>
          <w:color w:val="5E6061"/>
          <w:lang w:eastAsia="es-ES_tradnl"/>
        </w:rPr>
        <w:t>a Catalunya (el 27,2% a nivell estatal)</w:t>
      </w:r>
      <w:r w:rsidRPr="008B4481">
        <w:rPr>
          <w:rFonts w:ascii="Rotis Sans Serif Std" w:hAnsi="Rotis Sans Serif Std" w:cs="RotisSansSerifStd-Regular"/>
          <w:color w:val="5E6061"/>
          <w:lang w:eastAsia="es-ES_tradnl"/>
        </w:rPr>
        <w:t xml:space="preserve"> van aplicar mesures de flexibilitat interna en 201</w:t>
      </w:r>
      <w:r>
        <w:rPr>
          <w:rFonts w:ascii="Rotis Sans Serif Std" w:hAnsi="Rotis Sans Serif Std" w:cs="RotisSansSerifStd-Regular"/>
          <w:color w:val="5E6061"/>
          <w:lang w:eastAsia="es-ES_tradnl"/>
        </w:rPr>
        <w:t>6</w:t>
      </w:r>
      <w:r w:rsidRPr="008B4481">
        <w:rPr>
          <w:rFonts w:ascii="Rotis Sans Serif Std" w:hAnsi="Rotis Sans Serif Std" w:cs="RotisSansSerifStd-Regular"/>
          <w:color w:val="5E6061"/>
          <w:lang w:eastAsia="es-ES_tradnl"/>
        </w:rPr>
        <w:t xml:space="preserve">, última dada disponible. </w:t>
      </w:r>
    </w:p>
    <w:p w:rsidR="005F66FE" w:rsidRDefault="005F66FE" w:rsidP="005F66FE">
      <w:pPr>
        <w:tabs>
          <w:tab w:val="left" w:pos="3150"/>
        </w:tabs>
        <w:jc w:val="both"/>
        <w:rPr>
          <w:rFonts w:ascii="Rotis Sans Serif Std" w:hAnsi="Rotis Sans Serif Std" w:cs="RotisSansSerifStd-Regular"/>
          <w:color w:val="5E6061"/>
          <w:lang w:eastAsia="es-ES_tradnl"/>
        </w:rPr>
      </w:pPr>
    </w:p>
    <w:tbl>
      <w:tblPr>
        <w:tblW w:w="0" w:type="auto"/>
        <w:jc w:val="center"/>
        <w:tblInd w:w="-1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711"/>
      </w:tblGrid>
      <w:tr w:rsidR="002E4D13" w:rsidRPr="000844D1" w:rsidTr="00B0457E">
        <w:trPr>
          <w:trHeight w:val="2029"/>
          <w:jc w:val="center"/>
        </w:trPr>
        <w:tc>
          <w:tcPr>
            <w:tcW w:w="5711" w:type="dxa"/>
            <w:shd w:val="clear" w:color="auto" w:fill="FFFFFF"/>
            <w:vAlign w:val="center"/>
          </w:tcPr>
          <w:p w:rsidR="002E4D13" w:rsidRPr="003E2B63" w:rsidRDefault="005F66FE" w:rsidP="005F66FE">
            <w:pPr>
              <w:tabs>
                <w:tab w:val="left" w:pos="0"/>
                <w:tab w:val="left" w:pos="4639"/>
              </w:tabs>
              <w:autoSpaceDE w:val="0"/>
              <w:autoSpaceDN w:val="0"/>
              <w:adjustRightInd w:val="0"/>
              <w:spacing w:line="276" w:lineRule="auto"/>
              <w:jc w:val="center"/>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t xml:space="preserve">Segons les dades de l’Enquesta Anual Laboral de l’any 2016, només un 27,5% de les empreses a Catalunya i un 27,2% a nivell estatal van aplicar mesures de flexibilitat interna. </w:t>
            </w:r>
          </w:p>
        </w:tc>
      </w:tr>
    </w:tbl>
    <w:p w:rsidR="00B27F07" w:rsidRDefault="00B27F07" w:rsidP="00B27F07">
      <w:pPr>
        <w:pStyle w:val="HTMLconformatoprevio"/>
        <w:jc w:val="both"/>
        <w:rPr>
          <w:rFonts w:ascii="Rotis Sans Serif Std" w:hAnsi="Rotis Sans Serif Std" w:cs="RotisSansSerifStd-Regular"/>
          <w:color w:val="5E6061"/>
          <w:sz w:val="24"/>
          <w:szCs w:val="24"/>
          <w:lang w:val="ca-ES" w:eastAsia="es-ES_tradnl"/>
        </w:rPr>
      </w:pPr>
      <w:r>
        <w:rPr>
          <w:rFonts w:ascii="Rotis Sans Serif Std" w:hAnsi="Rotis Sans Serif Std" w:cs="RotisSansSerifStd-Regular"/>
          <w:color w:val="5E6061"/>
          <w:sz w:val="24"/>
          <w:szCs w:val="24"/>
          <w:lang w:val="ca-ES" w:eastAsia="es-ES_tradnl"/>
        </w:rPr>
        <w:t>Pel que fa a les mesures de flexibilitat interna que suposen una afectació a la jornada laboral (que juntament amb aquelles que suposen un canvi de contracte segons el tipus de jornada són les que major pes tenen en relació a aquelles empreses que apliquen mesures de flexibilitat interna), a les que recorren més aquestes empreses són: el 8,8% són com a conseqüència de l’aplicació d’un expedient de regulació d’ocupació de reducció de jornada, el 1,61% com a conseqüència d’un expedient d’ocupació de suspensió del contracte de treball, un 38,72% per ampliació de jornada, un 17% per la introducció o modificació de la distribució irregular de la jornada i el 54% per aplicació d’altres mesures de flexibilitat en la jornada.</w:t>
      </w:r>
    </w:p>
    <w:p w:rsidR="005F66FE" w:rsidRDefault="005F66FE" w:rsidP="005F66FE">
      <w:pPr>
        <w:pStyle w:val="HTMLconformatoprevio"/>
        <w:jc w:val="both"/>
        <w:rPr>
          <w:rFonts w:ascii="Rotis Sans Serif Std" w:hAnsi="Rotis Sans Serif Std" w:cs="RotisSansSerifStd-Regular"/>
          <w:color w:val="5E6061"/>
          <w:sz w:val="24"/>
          <w:szCs w:val="24"/>
          <w:lang w:val="ca-ES" w:eastAsia="es-ES_tradn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6533"/>
      </w:tblGrid>
      <w:tr w:rsidR="002E4D13" w:rsidRPr="003E2B63" w:rsidTr="008B44A1">
        <w:trPr>
          <w:trHeight w:val="843"/>
          <w:jc w:val="center"/>
        </w:trPr>
        <w:tc>
          <w:tcPr>
            <w:tcW w:w="6533" w:type="dxa"/>
            <w:shd w:val="clear" w:color="auto" w:fill="FFFFFF"/>
            <w:vAlign w:val="center"/>
          </w:tcPr>
          <w:p w:rsidR="005F66FE" w:rsidRPr="003E2B63" w:rsidRDefault="005F66FE" w:rsidP="00B27F07">
            <w:pPr>
              <w:spacing w:line="276" w:lineRule="auto"/>
              <w:jc w:val="center"/>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t>En relació a mesures de flexibilitat interna</w:t>
            </w:r>
            <w:r w:rsidR="00B27F07">
              <w:rPr>
                <w:rFonts w:ascii="Rotis Sans Serif Std" w:hAnsi="Rotis Sans Serif Std" w:cs="RotisSansSerifStd-Regular"/>
                <w:b/>
                <w:color w:val="C00000"/>
                <w:lang w:eastAsia="es-ES"/>
              </w:rPr>
              <w:t xml:space="preserve"> amb afectació a la jornada laboral a les que més recorren les empreses són</w:t>
            </w:r>
            <w:r>
              <w:rPr>
                <w:rFonts w:ascii="Rotis Sans Serif Std" w:hAnsi="Rotis Sans Serif Std" w:cs="RotisSansSerifStd-Regular"/>
                <w:b/>
                <w:color w:val="C00000"/>
                <w:lang w:eastAsia="es-ES"/>
              </w:rPr>
              <w:t xml:space="preserve">: el </w:t>
            </w:r>
            <w:r w:rsidR="00B27F07">
              <w:rPr>
                <w:rFonts w:ascii="Rotis Sans Serif Std" w:hAnsi="Rotis Sans Serif Std" w:cs="RotisSansSerifStd-Regular"/>
                <w:b/>
                <w:color w:val="C00000"/>
                <w:lang w:eastAsia="es-ES"/>
              </w:rPr>
              <w:t>8,8</w:t>
            </w:r>
            <w:r>
              <w:rPr>
                <w:rFonts w:ascii="Rotis Sans Serif Std" w:hAnsi="Rotis Sans Serif Std" w:cs="RotisSansSerifStd-Regular"/>
                <w:b/>
                <w:color w:val="C00000"/>
                <w:lang w:eastAsia="es-ES"/>
              </w:rPr>
              <w:t xml:space="preserve">% </w:t>
            </w:r>
            <w:r w:rsidRPr="005F66FE">
              <w:rPr>
                <w:rFonts w:ascii="Rotis Sans Serif Std" w:hAnsi="Rotis Sans Serif Std" w:cs="RotisSansSerifStd-Regular"/>
                <w:b/>
                <w:color w:val="C00000"/>
                <w:lang w:eastAsia="es-ES"/>
              </w:rPr>
              <w:t xml:space="preserve">són com a conseqüència de l’aplicació d’un expedient de regulació d’ocupació de </w:t>
            </w:r>
            <w:r w:rsidR="003940E2">
              <w:rPr>
                <w:rFonts w:ascii="Rotis Sans Serif Std" w:hAnsi="Rotis Sans Serif Std" w:cs="RotisSansSerifStd-Regular"/>
                <w:b/>
                <w:color w:val="C00000"/>
                <w:lang w:eastAsia="es-ES"/>
              </w:rPr>
              <w:t>reducció de jornada i</w:t>
            </w:r>
            <w:r w:rsidRPr="005F66FE">
              <w:rPr>
                <w:rFonts w:ascii="Rotis Sans Serif Std" w:hAnsi="Rotis Sans Serif Std" w:cs="RotisSansSerifStd-Regular"/>
                <w:b/>
                <w:color w:val="C00000"/>
                <w:lang w:eastAsia="es-ES"/>
              </w:rPr>
              <w:t xml:space="preserve"> el </w:t>
            </w:r>
            <w:r w:rsidR="00B27F07">
              <w:rPr>
                <w:rFonts w:ascii="Rotis Sans Serif Std" w:hAnsi="Rotis Sans Serif Std" w:cs="RotisSansSerifStd-Regular"/>
                <w:b/>
                <w:color w:val="C00000"/>
                <w:lang w:eastAsia="es-ES"/>
              </w:rPr>
              <w:t>1,61</w:t>
            </w:r>
            <w:r w:rsidRPr="005F66FE">
              <w:rPr>
                <w:rFonts w:ascii="Rotis Sans Serif Std" w:hAnsi="Rotis Sans Serif Std" w:cs="RotisSansSerifStd-Regular"/>
                <w:b/>
                <w:color w:val="C00000"/>
                <w:lang w:eastAsia="es-ES"/>
              </w:rPr>
              <w:t xml:space="preserve">% d’un expedient d’ocupació de suspensió del contracte de treball, un </w:t>
            </w:r>
            <w:r w:rsidR="00B27F07">
              <w:rPr>
                <w:rFonts w:ascii="Rotis Sans Serif Std" w:hAnsi="Rotis Sans Serif Std" w:cs="RotisSansSerifStd-Regular"/>
                <w:b/>
                <w:color w:val="C00000"/>
                <w:lang w:eastAsia="es-ES"/>
              </w:rPr>
              <w:t>38,72</w:t>
            </w:r>
            <w:r w:rsidRPr="005F66FE">
              <w:rPr>
                <w:rFonts w:ascii="Rotis Sans Serif Std" w:hAnsi="Rotis Sans Serif Std" w:cs="RotisSansSerifStd-Regular"/>
                <w:b/>
                <w:color w:val="C00000"/>
                <w:lang w:eastAsia="es-ES"/>
              </w:rPr>
              <w:t xml:space="preserve">% per ampliació de jornada, un </w:t>
            </w:r>
            <w:r w:rsidR="00B27F07">
              <w:rPr>
                <w:rFonts w:ascii="Rotis Sans Serif Std" w:hAnsi="Rotis Sans Serif Std" w:cs="RotisSansSerifStd-Regular"/>
                <w:b/>
                <w:color w:val="C00000"/>
                <w:lang w:eastAsia="es-ES"/>
              </w:rPr>
              <w:t>17</w:t>
            </w:r>
            <w:r w:rsidRPr="005F66FE">
              <w:rPr>
                <w:rFonts w:ascii="Rotis Sans Serif Std" w:hAnsi="Rotis Sans Serif Std" w:cs="RotisSansSerifStd-Regular"/>
                <w:b/>
                <w:color w:val="C00000"/>
                <w:lang w:eastAsia="es-ES"/>
              </w:rPr>
              <w:t xml:space="preserve">% per la introducció o modificació de la distribució irregular de la jornada i el </w:t>
            </w:r>
            <w:r w:rsidR="00B27F07">
              <w:rPr>
                <w:rFonts w:ascii="Rotis Sans Serif Std" w:hAnsi="Rotis Sans Serif Std" w:cs="RotisSansSerifStd-Regular"/>
                <w:b/>
                <w:color w:val="C00000"/>
                <w:lang w:eastAsia="es-ES"/>
              </w:rPr>
              <w:t>54</w:t>
            </w:r>
            <w:r w:rsidRPr="005F66FE">
              <w:rPr>
                <w:rFonts w:ascii="Rotis Sans Serif Std" w:hAnsi="Rotis Sans Serif Std" w:cs="RotisSansSerifStd-Regular"/>
                <w:b/>
                <w:color w:val="C00000"/>
                <w:lang w:eastAsia="es-ES"/>
              </w:rPr>
              <w:t>% per aplicació d’altres mesures de flexibilitat en la jornada</w:t>
            </w:r>
            <w:r w:rsidR="005A1483">
              <w:rPr>
                <w:rFonts w:ascii="Rotis Sans Serif Std" w:hAnsi="Rotis Sans Serif Std" w:cs="RotisSansSerifStd-Regular"/>
                <w:b/>
                <w:color w:val="C00000"/>
                <w:lang w:eastAsia="es-ES"/>
              </w:rPr>
              <w:t>.</w:t>
            </w:r>
          </w:p>
        </w:tc>
      </w:tr>
    </w:tbl>
    <w:p w:rsidR="008B44A1" w:rsidRDefault="008B44A1" w:rsidP="005A1483">
      <w:pPr>
        <w:autoSpaceDE w:val="0"/>
        <w:autoSpaceDN w:val="0"/>
        <w:adjustRightInd w:val="0"/>
        <w:jc w:val="both"/>
        <w:rPr>
          <w:rFonts w:ascii="Rotis Sans Serif Std" w:hAnsi="Rotis Sans Serif Std" w:cs="RotisSansSerifStd-Regular"/>
          <w:color w:val="5E6061"/>
          <w:lang w:eastAsia="es-ES_tradnl"/>
        </w:rPr>
      </w:pPr>
    </w:p>
    <w:p w:rsidR="005A1483" w:rsidRDefault="005A1483" w:rsidP="005A1483">
      <w:pPr>
        <w:autoSpaceDE w:val="0"/>
        <w:autoSpaceDN w:val="0"/>
        <w:adjustRightInd w:val="0"/>
        <w:jc w:val="both"/>
        <w:rPr>
          <w:rFonts w:ascii="Rotis Sans Serif Std" w:hAnsi="Rotis Sans Serif Std" w:cs="RotisSansSerifStd-Regular"/>
          <w:color w:val="5E6061"/>
          <w:u w:val="single"/>
          <w:lang w:eastAsia="es-ES_tradnl"/>
        </w:rPr>
      </w:pPr>
      <w:r w:rsidRPr="00FE460E">
        <w:rPr>
          <w:rFonts w:ascii="Rotis Sans Serif Std" w:hAnsi="Rotis Sans Serif Std" w:cs="RotisSansSerifStd-Regular"/>
          <w:color w:val="5E6061"/>
          <w:lang w:eastAsia="es-ES_tradnl"/>
        </w:rPr>
        <w:t xml:space="preserve">El treball és el factor vertebrador del dia a dia de les persones i el temps de treball  es configura com un dels eixos principals en relació als altres temps. Però, tot i la supremacia del temps de treball, s’està produint un canvi en la percepció de la importància del factor temps en general. Aquesta nova concepció del temps i dels seus usos provoquen una demanda més gran per equilibrar la vida personal-familiar-laboral mitjançant una reforma dels horaris que els faci més racionals. </w:t>
      </w:r>
    </w:p>
    <w:tbl>
      <w:tblPr>
        <w:tblpPr w:leftFromText="141" w:rightFromText="141" w:vertAnchor="text" w:tblpXSpec="center"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767"/>
      </w:tblGrid>
      <w:tr w:rsidR="00825307" w:rsidRPr="000844D1" w:rsidTr="008B44A1">
        <w:trPr>
          <w:trHeight w:val="1216"/>
        </w:trPr>
        <w:tc>
          <w:tcPr>
            <w:tcW w:w="4767" w:type="dxa"/>
            <w:shd w:val="clear" w:color="auto" w:fill="FFFFFF"/>
            <w:vAlign w:val="center"/>
          </w:tcPr>
          <w:p w:rsidR="005A1483" w:rsidRPr="003E2B63" w:rsidRDefault="005A1483" w:rsidP="008B44A1">
            <w:pPr>
              <w:autoSpaceDE w:val="0"/>
              <w:autoSpaceDN w:val="0"/>
              <w:adjustRightInd w:val="0"/>
              <w:spacing w:line="276" w:lineRule="auto"/>
              <w:jc w:val="center"/>
              <w:rPr>
                <w:rFonts w:ascii="Rotis Sans Serif Std" w:hAnsi="Rotis Sans Serif Std" w:cs="RotisSansSerifStd-Regular"/>
                <w:b/>
                <w:color w:val="C00000"/>
                <w:lang w:eastAsia="es-ES"/>
              </w:rPr>
            </w:pPr>
            <w:r w:rsidRPr="005A1483">
              <w:rPr>
                <w:rFonts w:ascii="Rotis Sans Serif Std" w:hAnsi="Rotis Sans Serif Std" w:cs="RotisSansSerifStd-Regular"/>
                <w:b/>
                <w:color w:val="C00000"/>
                <w:lang w:eastAsia="es-ES"/>
              </w:rPr>
              <w:t>La flexibilitat del temps de treball ens permet fer front a les noves realitats i necessitats.</w:t>
            </w:r>
            <w:r w:rsidR="00825307">
              <w:rPr>
                <w:rFonts w:ascii="Rotis Sans Serif Std" w:hAnsi="Rotis Sans Serif Std" w:cs="RotisSansSerifStd-Regular"/>
                <w:b/>
                <w:color w:val="C00000"/>
                <w:lang w:eastAsia="es-ES"/>
              </w:rPr>
              <w:t xml:space="preserve"> </w:t>
            </w:r>
          </w:p>
        </w:tc>
      </w:tr>
    </w:tbl>
    <w:p w:rsidR="008B44A1" w:rsidRDefault="008B44A1" w:rsidP="00303A45">
      <w:pPr>
        <w:jc w:val="both"/>
        <w:rPr>
          <w:rFonts w:ascii="Rotis Sans Serif Std" w:hAnsi="Rotis Sans Serif Std" w:cs="RotisSansSerifStd-Regular"/>
          <w:color w:val="5E6061"/>
          <w:lang w:eastAsia="es-ES_tradnl"/>
        </w:rPr>
      </w:pPr>
    </w:p>
    <w:p w:rsidR="008B44A1" w:rsidRDefault="008B44A1" w:rsidP="00303A45">
      <w:pPr>
        <w:jc w:val="both"/>
        <w:rPr>
          <w:rFonts w:ascii="Rotis Sans Serif Std" w:hAnsi="Rotis Sans Serif Std" w:cs="RotisSansSerifStd-Regular"/>
          <w:color w:val="5E6061"/>
          <w:lang w:eastAsia="es-ES_tradnl"/>
        </w:rPr>
      </w:pPr>
    </w:p>
    <w:p w:rsidR="008B44A1" w:rsidRDefault="008B44A1" w:rsidP="00303A45">
      <w:pPr>
        <w:jc w:val="both"/>
        <w:rPr>
          <w:rFonts w:ascii="Rotis Sans Serif Std" w:hAnsi="Rotis Sans Serif Std" w:cs="RotisSansSerifStd-Regular"/>
          <w:color w:val="5E6061"/>
          <w:lang w:eastAsia="es-ES_tradnl"/>
        </w:rPr>
      </w:pPr>
    </w:p>
    <w:p w:rsidR="008B44A1" w:rsidRDefault="008B44A1" w:rsidP="00303A45">
      <w:pPr>
        <w:jc w:val="both"/>
        <w:rPr>
          <w:rFonts w:ascii="Rotis Sans Serif Std" w:hAnsi="Rotis Sans Serif Std" w:cs="RotisSansSerifStd-Regular"/>
          <w:color w:val="5E6061"/>
          <w:lang w:eastAsia="es-ES_tradnl"/>
        </w:rPr>
      </w:pPr>
    </w:p>
    <w:p w:rsidR="008B44A1" w:rsidRDefault="008B44A1" w:rsidP="00303A45">
      <w:pPr>
        <w:jc w:val="both"/>
        <w:rPr>
          <w:rFonts w:ascii="Rotis Sans Serif Std" w:hAnsi="Rotis Sans Serif Std" w:cs="RotisSansSerifStd-Regular"/>
          <w:color w:val="5E6061"/>
          <w:lang w:eastAsia="es-ES_tradnl"/>
        </w:rPr>
      </w:pPr>
    </w:p>
    <w:p w:rsidR="00303A45" w:rsidRDefault="00303A45" w:rsidP="00303A45">
      <w:pPr>
        <w:jc w:val="both"/>
        <w:rPr>
          <w:rFonts w:ascii="Rotis Sans Serif Std" w:hAnsi="Rotis Sans Serif Std" w:cs="RotisSansSerifStd-Regular"/>
          <w:color w:val="5E6061"/>
          <w:lang w:eastAsia="es-ES_tradnl"/>
        </w:rPr>
      </w:pPr>
      <w:r w:rsidRPr="00824804">
        <w:rPr>
          <w:rFonts w:ascii="Rotis Sans Serif Std" w:hAnsi="Rotis Sans Serif Std" w:cs="RotisSansSerifStd-Regular"/>
          <w:color w:val="5E6061"/>
          <w:lang w:eastAsia="es-ES_tradnl"/>
        </w:rPr>
        <w:t xml:space="preserve">La negociació col·lectiva és l’instrument adequat per regular la reordenació flexible del temps de treball i l'instrument que permet establir mesures de conciliació, amb una major capacitat d'adaptació a les realitats concretes dels sectors, de les empreses i dels treballadors.  </w:t>
      </w:r>
    </w:p>
    <w:p w:rsidR="00303A45" w:rsidRDefault="00303A45" w:rsidP="00303A45">
      <w:pPr>
        <w:jc w:val="both"/>
        <w:rPr>
          <w:rFonts w:ascii="Rotis Sans Serif Std" w:hAnsi="Rotis Sans Serif Std" w:cs="RotisSansSerifStd-Regular"/>
          <w:color w:val="5E6061"/>
          <w:lang w:eastAsia="es-ES_tradnl"/>
        </w:rPr>
      </w:pPr>
    </w:p>
    <w:p w:rsidR="00303A45" w:rsidRDefault="00303A45" w:rsidP="00303A45">
      <w:pPr>
        <w:jc w:val="both"/>
        <w:rPr>
          <w:rFonts w:ascii="Rotis Sans Serif Std" w:hAnsi="Rotis Sans Serif Std" w:cs="RotisSansSerifStd-Regular"/>
          <w:color w:val="5E6061"/>
          <w:lang w:eastAsia="es-ES_tradn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700"/>
      </w:tblGrid>
      <w:tr w:rsidR="007D6DB3" w:rsidRPr="000844D1" w:rsidTr="00516707">
        <w:trPr>
          <w:trHeight w:val="774"/>
          <w:jc w:val="center"/>
        </w:trPr>
        <w:tc>
          <w:tcPr>
            <w:tcW w:w="5700" w:type="dxa"/>
            <w:shd w:val="clear" w:color="auto" w:fill="FFFFFF"/>
            <w:vAlign w:val="center"/>
          </w:tcPr>
          <w:p w:rsidR="00303A45" w:rsidRPr="00303A45" w:rsidRDefault="00303A45" w:rsidP="00303A45">
            <w:pPr>
              <w:pStyle w:val="HTMLconformatoprevio"/>
              <w:spacing w:after="200" w:line="276" w:lineRule="auto"/>
              <w:jc w:val="center"/>
              <w:rPr>
                <w:rFonts w:ascii="Rotis Sans Serif Std" w:hAnsi="Rotis Sans Serif Std" w:cs="RotisSansSerifStd-Regular"/>
                <w:b/>
                <w:color w:val="C00000"/>
                <w:sz w:val="24"/>
                <w:szCs w:val="24"/>
                <w:lang w:val="ca-ES"/>
              </w:rPr>
            </w:pPr>
            <w:r>
              <w:rPr>
                <w:rFonts w:ascii="Rotis Sans Serif Std" w:hAnsi="Rotis Sans Serif Std" w:cs="RotisSansSerifStd-Regular"/>
                <w:b/>
                <w:color w:val="C00000"/>
                <w:sz w:val="24"/>
                <w:szCs w:val="24"/>
                <w:lang w:val="ca-ES"/>
              </w:rPr>
              <w:t>E</w:t>
            </w:r>
            <w:r w:rsidRPr="00303A45">
              <w:rPr>
                <w:rFonts w:ascii="Rotis Sans Serif Std" w:hAnsi="Rotis Sans Serif Std" w:cs="RotisSansSerifStd-Regular"/>
                <w:b/>
                <w:color w:val="C00000"/>
                <w:sz w:val="24"/>
                <w:szCs w:val="24"/>
                <w:lang w:val="ca-ES"/>
              </w:rPr>
              <w:t>n el darrer Acord Interprofessional de Catalunya 2018-2020, la flexibilitat en el temps de treball i les mesures de gestió del  mateix ha tingut un paper cabdal tant en les negociacions com en els acords assolits en la matèria, introduint-se millores en la gestió negociada de la flexibilitat que combini la flexibilitat necessària que requereixen les empreses amb una protecció adequada dels drets de les persones treballadores.</w:t>
            </w:r>
          </w:p>
          <w:p w:rsidR="007D6DB3" w:rsidRPr="003E2B63" w:rsidRDefault="007D6DB3" w:rsidP="00981302">
            <w:pPr>
              <w:autoSpaceDE w:val="0"/>
              <w:autoSpaceDN w:val="0"/>
              <w:adjustRightInd w:val="0"/>
              <w:spacing w:line="276" w:lineRule="auto"/>
              <w:jc w:val="center"/>
              <w:rPr>
                <w:rFonts w:ascii="Rotis Sans Serif Std" w:hAnsi="Rotis Sans Serif Std" w:cs="RotisSansSerifStd-Regular"/>
                <w:b/>
                <w:color w:val="C00000"/>
                <w:lang w:eastAsia="es-ES"/>
              </w:rPr>
            </w:pPr>
          </w:p>
        </w:tc>
      </w:tr>
    </w:tbl>
    <w:p w:rsidR="00981302" w:rsidRPr="00981302" w:rsidRDefault="00972EC4" w:rsidP="007D6DB3">
      <w:pPr>
        <w:spacing w:line="276" w:lineRule="auto"/>
        <w:jc w:val="both"/>
        <w:rPr>
          <w:rFonts w:ascii="Rotis Sans Serif Std" w:hAnsi="Rotis Sans Serif Std"/>
          <w:b/>
          <w:color w:val="C1002B"/>
        </w:rPr>
      </w:pPr>
      <w:r>
        <w:rPr>
          <w:rFonts w:ascii="Rotis Sans Serif Std" w:hAnsi="Rotis Sans Serif Std"/>
          <w:b/>
          <w:color w:val="C1002B"/>
        </w:rPr>
        <w:t>El temps de treball a la n</w:t>
      </w:r>
      <w:r w:rsidR="00FF73EB">
        <w:rPr>
          <w:rFonts w:ascii="Rotis Sans Serif Std" w:hAnsi="Rotis Sans Serif Std"/>
          <w:b/>
          <w:color w:val="C1002B"/>
        </w:rPr>
        <w:t xml:space="preserve">egociació col·lectiva </w:t>
      </w:r>
    </w:p>
    <w:p w:rsidR="00981302" w:rsidRDefault="00981302" w:rsidP="00981302">
      <w:pPr>
        <w:pStyle w:val="Prrafodelista"/>
        <w:ind w:left="0" w:right="-54"/>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 xml:space="preserve"> </w:t>
      </w:r>
    </w:p>
    <w:p w:rsidR="00473F1E" w:rsidRPr="0086140C" w:rsidRDefault="00473F1E" w:rsidP="00473F1E">
      <w:pPr>
        <w:pStyle w:val="TEXTBOLD"/>
        <w:spacing w:line="276" w:lineRule="auto"/>
        <w:rPr>
          <w:b w:val="0"/>
          <w:sz w:val="24"/>
          <w:szCs w:val="24"/>
          <w:lang w:val="ca-ES"/>
        </w:rPr>
      </w:pPr>
      <w:r w:rsidRPr="0086140C">
        <w:rPr>
          <w:b w:val="0"/>
          <w:sz w:val="24"/>
          <w:szCs w:val="24"/>
          <w:lang w:val="ca-ES"/>
        </w:rPr>
        <w:t xml:space="preserve">Del total de Convenis analitzats, 45,21% pacten exclusivament la jornada en mòdul anual, 7,31% en mòdul setmanal i el 44,29%  </w:t>
      </w:r>
      <w:r>
        <w:rPr>
          <w:b w:val="0"/>
          <w:sz w:val="24"/>
          <w:szCs w:val="24"/>
          <w:lang w:val="ca-ES"/>
        </w:rPr>
        <w:t xml:space="preserve">el doble mòdul setmanal/anual. </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6962"/>
      </w:tblGrid>
      <w:tr w:rsidR="007D6DB3" w:rsidRPr="000844D1" w:rsidTr="00C225FA">
        <w:trPr>
          <w:trHeight w:val="1616"/>
          <w:jc w:val="center"/>
        </w:trPr>
        <w:tc>
          <w:tcPr>
            <w:tcW w:w="6962" w:type="dxa"/>
            <w:shd w:val="clear" w:color="auto" w:fill="FFFFFF"/>
            <w:vAlign w:val="center"/>
          </w:tcPr>
          <w:p w:rsidR="007D6DB3" w:rsidRPr="003E2B63" w:rsidRDefault="00473F1E" w:rsidP="008E1FFD">
            <w:pPr>
              <w:pStyle w:val="Prrafodelista"/>
              <w:ind w:left="0" w:right="-54"/>
              <w:jc w:val="center"/>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t>É</w:t>
            </w:r>
            <w:r w:rsidRPr="00473F1E">
              <w:rPr>
                <w:rFonts w:ascii="Rotis Sans Serif Std" w:hAnsi="Rotis Sans Serif Std" w:cs="RotisSansSerifStd-Regular"/>
                <w:b/>
                <w:color w:val="C00000"/>
                <w:lang w:eastAsia="es-ES"/>
              </w:rPr>
              <w:t>s predominant en la negociació col·lectiva, la distribució del temps de treball amb caràcter anual, ja sigui pactat de manera exclusiva o, conjuntament, amb la setmanal.</w:t>
            </w:r>
          </w:p>
        </w:tc>
      </w:tr>
    </w:tbl>
    <w:p w:rsidR="00473F1E" w:rsidRPr="0086140C" w:rsidRDefault="00473F1E" w:rsidP="00473F1E">
      <w:pPr>
        <w:pStyle w:val="TEXTBOLD"/>
        <w:spacing w:line="276" w:lineRule="auto"/>
        <w:rPr>
          <w:b w:val="0"/>
          <w:sz w:val="24"/>
          <w:szCs w:val="24"/>
          <w:lang w:val="ca-ES"/>
        </w:rPr>
      </w:pPr>
    </w:p>
    <w:p w:rsidR="003940E2" w:rsidRPr="003940E2" w:rsidRDefault="003940E2" w:rsidP="003940E2">
      <w:pPr>
        <w:pStyle w:val="Textonotapie"/>
        <w:spacing w:line="276" w:lineRule="auto"/>
        <w:rPr>
          <w:rFonts w:ascii="Rotis Sans Serif Std" w:hAnsi="Rotis Sans Serif Std" w:cs="RotisSansSerifStd-Regular"/>
          <w:color w:val="5E6061"/>
          <w:sz w:val="24"/>
          <w:szCs w:val="24"/>
          <w:lang w:eastAsia="es-ES_tradnl"/>
        </w:rPr>
      </w:pPr>
      <w:r w:rsidRPr="003940E2">
        <w:rPr>
          <w:rFonts w:ascii="Rotis Sans Serif Std" w:hAnsi="Rotis Sans Serif Std" w:cs="RotisSansSerifStd-Regular"/>
          <w:color w:val="5E6061"/>
          <w:sz w:val="24"/>
          <w:szCs w:val="24"/>
          <w:lang w:eastAsia="es-ES_tradnl"/>
        </w:rPr>
        <w:t>De l’anàlisi realitzat</w:t>
      </w:r>
      <w:r w:rsidR="00473F1E" w:rsidRPr="003940E2">
        <w:rPr>
          <w:rFonts w:ascii="Rotis Sans Serif Std" w:hAnsi="Rotis Sans Serif Std" w:cs="RotisSansSerifStd-Regular"/>
          <w:color w:val="5E6061"/>
          <w:sz w:val="24"/>
          <w:szCs w:val="24"/>
          <w:lang w:eastAsia="es-ES_tradnl"/>
        </w:rPr>
        <w:t xml:space="preserve"> el 93% dels Convenis no han variat la jornada pactada</w:t>
      </w:r>
      <w:r w:rsidR="00972EC4">
        <w:rPr>
          <w:rFonts w:ascii="Rotis Sans Serif Std" w:hAnsi="Rotis Sans Serif Std" w:cs="RotisSansSerifStd-Regular"/>
          <w:color w:val="5E6061"/>
          <w:sz w:val="24"/>
          <w:szCs w:val="24"/>
          <w:lang w:eastAsia="es-ES_tradnl"/>
        </w:rPr>
        <w:t xml:space="preserve"> en els darrers cinc anys</w:t>
      </w:r>
      <w:r w:rsidR="00473F1E" w:rsidRPr="003940E2">
        <w:rPr>
          <w:rFonts w:ascii="Rotis Sans Serif Std" w:hAnsi="Rotis Sans Serif Std" w:cs="RotisSansSerifStd-Regular"/>
          <w:color w:val="5E6061"/>
          <w:sz w:val="24"/>
          <w:szCs w:val="24"/>
          <w:lang w:eastAsia="es-ES_tradnl"/>
        </w:rPr>
        <w:t xml:space="preserve">, el 4,57% l’ha reduït i el 2,74% l’ha augmentat. </w:t>
      </w:r>
      <w:r w:rsidRPr="003940E2">
        <w:rPr>
          <w:rFonts w:ascii="Rotis Sans Serif Std" w:hAnsi="Rotis Sans Serif Std" w:cs="RotisSansSerifStd-Regular"/>
          <w:color w:val="5E6061"/>
          <w:sz w:val="24"/>
          <w:szCs w:val="24"/>
          <w:lang w:eastAsia="es-ES_tradnl"/>
        </w:rPr>
        <w:t xml:space="preserve"> </w:t>
      </w:r>
    </w:p>
    <w:p w:rsidR="00473F1E" w:rsidRPr="0086140C" w:rsidRDefault="00473F1E" w:rsidP="00473F1E">
      <w:pPr>
        <w:pStyle w:val="TEXTBOLD"/>
        <w:spacing w:line="276" w:lineRule="auto"/>
        <w:rPr>
          <w:b w:val="0"/>
          <w:sz w:val="24"/>
          <w:szCs w:val="24"/>
          <w:lang w:val="ca-ES"/>
        </w:rPr>
      </w:pPr>
    </w:p>
    <w:p w:rsidR="00473F1E" w:rsidRPr="0086140C" w:rsidRDefault="00473F1E" w:rsidP="00473F1E">
      <w:pPr>
        <w:pStyle w:val="TEXTBOLD"/>
        <w:spacing w:line="276" w:lineRule="auto"/>
        <w:rPr>
          <w:b w:val="0"/>
          <w:sz w:val="24"/>
          <w:szCs w:val="24"/>
          <w:lang w:val="ca-ES"/>
        </w:rPr>
      </w:pPr>
      <w:r w:rsidRPr="0086140C">
        <w:rPr>
          <w:b w:val="0"/>
          <w:sz w:val="24"/>
          <w:szCs w:val="24"/>
          <w:lang w:val="ca-ES"/>
        </w:rPr>
        <w:t xml:space="preserve">En relació al tipus de jornada, el 34,70% del total de Convenis analitzats estableixen </w:t>
      </w:r>
      <w:r w:rsidRPr="0086140C">
        <w:rPr>
          <w:sz w:val="24"/>
          <w:szCs w:val="24"/>
          <w:u w:val="single"/>
          <w:lang w:val="ca-ES"/>
        </w:rPr>
        <w:t>jornada continuada</w:t>
      </w:r>
      <w:r w:rsidRPr="0086140C">
        <w:rPr>
          <w:sz w:val="24"/>
          <w:szCs w:val="24"/>
          <w:lang w:val="ca-ES"/>
        </w:rPr>
        <w:t xml:space="preserve"> </w:t>
      </w:r>
      <w:r w:rsidRPr="0086140C">
        <w:rPr>
          <w:b w:val="0"/>
          <w:sz w:val="24"/>
          <w:szCs w:val="24"/>
          <w:lang w:val="ca-ES"/>
        </w:rPr>
        <w:t>(un 39,6% en els d’àmbit estatal, un 26,19% en els autonòmics i el 32,89% dels provincials) . En comparació amb la darrera Enquesta de CEOE sobre Negociació Col·lectiva del 2008, hi ha un lleuger augment en 1,7 punts ja que en aquesta Enquesta se situaven en el 33% dels Convenis analitzats.</w:t>
      </w:r>
    </w:p>
    <w:p w:rsidR="00473F1E" w:rsidRPr="0086140C" w:rsidRDefault="00473F1E" w:rsidP="00473F1E">
      <w:pPr>
        <w:pStyle w:val="TEXTBOLD"/>
        <w:spacing w:line="276" w:lineRule="auto"/>
        <w:rPr>
          <w:b w:val="0"/>
          <w:sz w:val="24"/>
          <w:szCs w:val="24"/>
          <w:lang w:val="ca-ES"/>
        </w:rPr>
      </w:pPr>
    </w:p>
    <w:p w:rsidR="00473F1E" w:rsidRPr="0086140C" w:rsidRDefault="00473F1E" w:rsidP="00473F1E">
      <w:pPr>
        <w:pStyle w:val="TEXTBOLD"/>
        <w:spacing w:line="276" w:lineRule="auto"/>
        <w:rPr>
          <w:b w:val="0"/>
          <w:sz w:val="24"/>
          <w:szCs w:val="24"/>
          <w:lang w:val="ca-ES"/>
        </w:rPr>
      </w:pPr>
      <w:r w:rsidRPr="0086140C">
        <w:rPr>
          <w:b w:val="0"/>
          <w:sz w:val="24"/>
          <w:szCs w:val="24"/>
          <w:lang w:val="ca-ES"/>
        </w:rPr>
        <w:t xml:space="preserve">Únicament, el 13,24% dels Convenis analitzats estableixen un </w:t>
      </w:r>
      <w:r w:rsidRPr="0086140C">
        <w:rPr>
          <w:b w:val="0"/>
          <w:sz w:val="24"/>
          <w:szCs w:val="24"/>
          <w:u w:val="single"/>
          <w:lang w:val="ca-ES"/>
        </w:rPr>
        <w:t>horari flexible.</w:t>
      </w:r>
      <w:r w:rsidRPr="0086140C">
        <w:rPr>
          <w:b w:val="0"/>
          <w:sz w:val="24"/>
          <w:szCs w:val="24"/>
          <w:lang w:val="ca-ES"/>
        </w:rPr>
        <w:t xml:space="preserve"> Si bé, cal destacar que és en l’àmbit estatal on aquest tipus de mesures tenen una major incidència amb un 20,79% dels Convenis d’aquest àmbit que així ho regulen.</w:t>
      </w:r>
    </w:p>
    <w:p w:rsidR="00473F1E" w:rsidRPr="0086140C" w:rsidRDefault="00473F1E" w:rsidP="00473F1E">
      <w:pPr>
        <w:pStyle w:val="Default"/>
        <w:spacing w:line="276" w:lineRule="auto"/>
        <w:jc w:val="center"/>
        <w:rPr>
          <w:rFonts w:ascii="Rotis Sans Serif Std" w:hAnsi="Rotis Sans Serif Std"/>
          <w:lang w:val="es-ES" w:eastAsia="es-ES_tradnl"/>
        </w:rPr>
      </w:pPr>
    </w:p>
    <w:p w:rsidR="00473F1E" w:rsidRDefault="00473F1E" w:rsidP="00473F1E">
      <w:pPr>
        <w:pStyle w:val="TEXTBOLD"/>
        <w:spacing w:line="276" w:lineRule="auto"/>
        <w:jc w:val="center"/>
        <w:rPr>
          <w:color w:val="C00000"/>
          <w:sz w:val="24"/>
          <w:szCs w:val="24"/>
          <w:lang w:val="ca-ES" w:eastAsia="es-ES"/>
        </w:rPr>
      </w:pPr>
      <w:r w:rsidRPr="00473F1E">
        <w:rPr>
          <w:color w:val="C00000"/>
          <w:sz w:val="24"/>
          <w:szCs w:val="24"/>
          <w:lang w:val="ca-ES" w:eastAsia="es-ES"/>
        </w:rPr>
        <w:t>El 57,08% dels Convenis analitzats contemplen</w:t>
      </w:r>
    </w:p>
    <w:p w:rsidR="00473F1E" w:rsidRDefault="00473F1E" w:rsidP="00473F1E">
      <w:pPr>
        <w:pStyle w:val="TEXTBOLD"/>
        <w:spacing w:line="276" w:lineRule="auto"/>
        <w:jc w:val="center"/>
        <w:rPr>
          <w:color w:val="C00000"/>
          <w:sz w:val="24"/>
          <w:szCs w:val="24"/>
          <w:lang w:val="ca-ES" w:eastAsia="es-ES"/>
        </w:rPr>
      </w:pPr>
      <w:r w:rsidRPr="00473F1E">
        <w:rPr>
          <w:color w:val="C00000"/>
          <w:sz w:val="24"/>
          <w:szCs w:val="24"/>
          <w:lang w:val="ca-ES" w:eastAsia="es-ES"/>
        </w:rPr>
        <w:t xml:space="preserve"> la distribució irregular </w:t>
      </w:r>
    </w:p>
    <w:p w:rsidR="00473F1E" w:rsidRDefault="00473F1E" w:rsidP="00473F1E">
      <w:pPr>
        <w:pStyle w:val="TEXTBOLD"/>
        <w:spacing w:line="276" w:lineRule="auto"/>
        <w:jc w:val="center"/>
        <w:rPr>
          <w:color w:val="C00000"/>
          <w:sz w:val="24"/>
          <w:szCs w:val="24"/>
          <w:lang w:val="ca-ES" w:eastAsia="es-ES"/>
        </w:rPr>
      </w:pPr>
      <w:r w:rsidRPr="00473F1E">
        <w:rPr>
          <w:color w:val="C00000"/>
          <w:sz w:val="24"/>
          <w:szCs w:val="24"/>
          <w:lang w:val="ca-ES" w:eastAsia="es-ES"/>
        </w:rPr>
        <w:t xml:space="preserve">de la jornada de treball, destacant que el 63,37% </w:t>
      </w:r>
      <w:r>
        <w:rPr>
          <w:color w:val="C00000"/>
          <w:sz w:val="24"/>
          <w:szCs w:val="24"/>
          <w:lang w:val="ca-ES" w:eastAsia="es-ES"/>
        </w:rPr>
        <w:t xml:space="preserve">dels d’àmbit </w:t>
      </w:r>
    </w:p>
    <w:p w:rsidR="00473F1E" w:rsidRDefault="00473F1E" w:rsidP="00473F1E">
      <w:pPr>
        <w:pStyle w:val="TEXTBOLD"/>
        <w:spacing w:line="276" w:lineRule="auto"/>
        <w:jc w:val="center"/>
        <w:rPr>
          <w:color w:val="C00000"/>
          <w:sz w:val="24"/>
          <w:szCs w:val="24"/>
          <w:lang w:val="ca-ES" w:eastAsia="es-ES"/>
        </w:rPr>
      </w:pPr>
      <w:r w:rsidRPr="00473F1E">
        <w:rPr>
          <w:color w:val="C00000"/>
          <w:sz w:val="24"/>
          <w:szCs w:val="24"/>
          <w:lang w:val="ca-ES" w:eastAsia="es-ES"/>
        </w:rPr>
        <w:t xml:space="preserve"> </w:t>
      </w:r>
      <w:r>
        <w:rPr>
          <w:color w:val="C00000"/>
          <w:sz w:val="24"/>
          <w:szCs w:val="24"/>
          <w:lang w:val="ca-ES" w:eastAsia="es-ES"/>
        </w:rPr>
        <w:t xml:space="preserve">estatal, </w:t>
      </w:r>
      <w:r w:rsidRPr="00473F1E">
        <w:rPr>
          <w:color w:val="C00000"/>
          <w:sz w:val="24"/>
          <w:szCs w:val="24"/>
          <w:lang w:val="ca-ES" w:eastAsia="es-ES"/>
        </w:rPr>
        <w:t xml:space="preserve">el 57,14% dels autonòmics i el 48,68% dels </w:t>
      </w:r>
    </w:p>
    <w:p w:rsidR="00473F1E" w:rsidRPr="00473F1E" w:rsidRDefault="00473F1E" w:rsidP="00473F1E">
      <w:pPr>
        <w:pStyle w:val="TEXTBOLD"/>
        <w:spacing w:line="276" w:lineRule="auto"/>
        <w:jc w:val="center"/>
        <w:rPr>
          <w:color w:val="C00000"/>
          <w:sz w:val="24"/>
          <w:szCs w:val="24"/>
          <w:lang w:val="ca-ES" w:eastAsia="es-ES"/>
        </w:rPr>
      </w:pPr>
      <w:r w:rsidRPr="00473F1E">
        <w:rPr>
          <w:color w:val="C00000"/>
          <w:sz w:val="24"/>
          <w:szCs w:val="24"/>
          <w:lang w:val="ca-ES" w:eastAsia="es-ES"/>
        </w:rPr>
        <w:t>p</w:t>
      </w:r>
      <w:r>
        <w:rPr>
          <w:color w:val="C00000"/>
          <w:sz w:val="24"/>
          <w:szCs w:val="24"/>
          <w:lang w:val="ca-ES" w:eastAsia="es-ES"/>
        </w:rPr>
        <w:t>rovincials.</w:t>
      </w:r>
    </w:p>
    <w:p w:rsidR="00473F1E" w:rsidRDefault="00473F1E" w:rsidP="00473F1E">
      <w:pPr>
        <w:pStyle w:val="Default"/>
        <w:spacing w:line="276" w:lineRule="auto"/>
        <w:jc w:val="both"/>
        <w:rPr>
          <w:rFonts w:ascii="Rotis Sans Serif Std" w:hAnsi="Rotis Sans Serif Std" w:cs="RotisSansSerifStd-Regular"/>
          <w:color w:val="5E6061"/>
          <w:lang w:val="ca-ES" w:eastAsia="es-ES_tradnl"/>
        </w:rPr>
      </w:pPr>
    </w:p>
    <w:p w:rsidR="00473F1E" w:rsidRPr="0086140C" w:rsidRDefault="00473F1E" w:rsidP="00473F1E">
      <w:pPr>
        <w:pStyle w:val="Default"/>
        <w:spacing w:line="276" w:lineRule="auto"/>
        <w:jc w:val="both"/>
        <w:rPr>
          <w:rFonts w:ascii="Rotis Sans Serif Std" w:hAnsi="Rotis Sans Serif Std" w:cs="RotisSansSerifStd-Regular"/>
          <w:color w:val="5E6061"/>
          <w:lang w:val="ca-ES" w:eastAsia="es-ES_tradnl"/>
        </w:rPr>
      </w:pPr>
      <w:r w:rsidRPr="0086140C">
        <w:rPr>
          <w:rFonts w:ascii="Rotis Sans Serif Std" w:hAnsi="Rotis Sans Serif Std" w:cs="RotisSansSerifStd-Regular"/>
          <w:color w:val="5E6061"/>
          <w:lang w:val="ca-ES" w:eastAsia="es-ES_tradnl"/>
        </w:rPr>
        <w:t>El 72,8% dels Convenis que regulen la distribució irregular de la jornada requereix de l’acord en el si de l’empresa o centre de treball per la seva aplicació.</w:t>
      </w:r>
    </w:p>
    <w:p w:rsidR="00473F1E" w:rsidRPr="0086140C" w:rsidRDefault="00473F1E" w:rsidP="00473F1E">
      <w:pPr>
        <w:pStyle w:val="Default"/>
        <w:spacing w:line="276" w:lineRule="auto"/>
        <w:jc w:val="both"/>
        <w:rPr>
          <w:rFonts w:ascii="Rotis Sans Serif Std" w:hAnsi="Rotis Sans Serif Std" w:cs="RotisSansSerifStd-Regular"/>
          <w:color w:val="5E6061"/>
          <w:lang w:val="ca-ES" w:eastAsia="es-ES_tradnl"/>
        </w:rPr>
      </w:pPr>
    </w:p>
    <w:p w:rsidR="00473F1E" w:rsidRPr="0086140C" w:rsidRDefault="00473F1E" w:rsidP="00473F1E">
      <w:pPr>
        <w:pStyle w:val="Default"/>
        <w:spacing w:line="276" w:lineRule="auto"/>
        <w:jc w:val="both"/>
        <w:rPr>
          <w:rFonts w:ascii="Rotis Sans Serif Std" w:hAnsi="Rotis Sans Serif Std" w:cs="RotisSansSerifStd-Regular"/>
          <w:color w:val="5E6061"/>
          <w:lang w:val="ca-ES" w:eastAsia="es-ES_tradnl"/>
        </w:rPr>
      </w:pPr>
      <w:r w:rsidRPr="0086140C">
        <w:rPr>
          <w:rFonts w:ascii="Rotis Sans Serif Std" w:hAnsi="Rotis Sans Serif Std" w:cs="RotisSansSerifStd-Regular"/>
          <w:color w:val="5E6061"/>
          <w:lang w:val="ca-ES" w:eastAsia="es-ES_tradnl"/>
        </w:rPr>
        <w:t>El 67,20% dels Convenis que regulen la distribució irregular de la jornada fixen un termini de preavís. El 10,71% preveuen un termini inferior a 5 dies</w:t>
      </w:r>
      <w:r w:rsidRPr="0086140C">
        <w:rPr>
          <w:rStyle w:val="Refdenotaalpie"/>
          <w:rFonts w:ascii="Rotis Sans Serif Std" w:hAnsi="Rotis Sans Serif Std"/>
          <w:color w:val="5E6061"/>
          <w:lang w:val="ca-ES" w:eastAsia="es-ES_tradnl"/>
        </w:rPr>
        <w:footnoteReference w:id="2"/>
      </w:r>
      <w:r w:rsidRPr="0086140C">
        <w:rPr>
          <w:rFonts w:ascii="Rotis Sans Serif Std" w:hAnsi="Rotis Sans Serif Std" w:cs="RotisSansSerifStd-Regular"/>
          <w:color w:val="5E6061"/>
          <w:lang w:val="ca-ES" w:eastAsia="es-ES_tradnl"/>
        </w:rPr>
        <w:t>, el 64,29% el termini previst és de 5 dies i el 25% el termini és superior als 5 dies.</w:t>
      </w:r>
    </w:p>
    <w:p w:rsidR="00473F1E" w:rsidRPr="0086140C" w:rsidRDefault="00473F1E" w:rsidP="00473F1E">
      <w:pPr>
        <w:rPr>
          <w:rFonts w:ascii="Rotis Sans Serif Std" w:hAnsi="Rotis Sans Serif Std"/>
          <w:lang w:eastAsia="es-ES_tradnl"/>
        </w:rPr>
      </w:pPr>
    </w:p>
    <w:p w:rsidR="00473F1E" w:rsidRPr="0086140C" w:rsidRDefault="00473F1E" w:rsidP="00473F1E">
      <w:pPr>
        <w:pStyle w:val="Default"/>
        <w:spacing w:line="276" w:lineRule="auto"/>
        <w:jc w:val="both"/>
        <w:rPr>
          <w:rFonts w:ascii="Rotis Sans Serif Std" w:hAnsi="Rotis Sans Serif Std" w:cs="RotisSansSerifStd-Regular"/>
          <w:color w:val="5E6061"/>
          <w:lang w:val="ca-ES" w:eastAsia="es-ES_tradnl"/>
        </w:rPr>
      </w:pPr>
      <w:r>
        <w:rPr>
          <w:rFonts w:ascii="Rotis Sans Serif Std" w:hAnsi="Rotis Sans Serif Std" w:cs="RotisSansSerifStd-Regular"/>
          <w:color w:val="5E6061"/>
          <w:lang w:val="ca-ES" w:eastAsia="es-ES_tradnl"/>
        </w:rPr>
        <w:t>E</w:t>
      </w:r>
      <w:r w:rsidRPr="0086140C">
        <w:rPr>
          <w:rFonts w:ascii="Rotis Sans Serif Std" w:hAnsi="Rotis Sans Serif Std" w:cs="RotisSansSerifStd-Regular"/>
          <w:color w:val="5E6061"/>
          <w:lang w:val="ca-ES" w:eastAsia="es-ES_tradnl"/>
        </w:rPr>
        <w:t xml:space="preserve">l 20,8% dels Convenis que regulen la distribució irregular de la jornada fixen un percentatge de la jornada que es pot distribuir de manera irregular. En el 23,08% s’estableix un percentatge inferior al 10%, el 50% preveuen un 10% i el 26,92% restant un percentatge superior al 10%. </w:t>
      </w:r>
    </w:p>
    <w:p w:rsidR="00473F1E" w:rsidRDefault="00473F1E" w:rsidP="00473F1E">
      <w:pPr>
        <w:pStyle w:val="TEXTBOLD"/>
        <w:spacing w:line="276" w:lineRule="auto"/>
        <w:rPr>
          <w:color w:val="C00000"/>
          <w:sz w:val="24"/>
          <w:szCs w:val="24"/>
          <w:lang w:val="ca-ES" w:eastAsia="es-ES"/>
        </w:rPr>
      </w:pPr>
    </w:p>
    <w:p w:rsidR="00516707" w:rsidRDefault="00516707" w:rsidP="00516707">
      <w:pPr>
        <w:pStyle w:val="TEXTBOLD"/>
        <w:spacing w:line="276" w:lineRule="auto"/>
        <w:jc w:val="center"/>
        <w:rPr>
          <w:color w:val="C00000"/>
          <w:sz w:val="24"/>
          <w:szCs w:val="24"/>
          <w:lang w:val="ca-ES" w:eastAsia="es-ES"/>
        </w:rPr>
      </w:pPr>
      <w:r>
        <w:rPr>
          <w:color w:val="C00000"/>
          <w:sz w:val="24"/>
          <w:szCs w:val="24"/>
          <w:lang w:val="ca-ES" w:eastAsia="es-ES"/>
        </w:rPr>
        <w:t>Entre els Convenis que regulen la distribució irregular,</w:t>
      </w:r>
    </w:p>
    <w:p w:rsidR="00516707" w:rsidRDefault="00516707" w:rsidP="00516707">
      <w:pPr>
        <w:pStyle w:val="TEXTBOLD"/>
        <w:spacing w:line="276" w:lineRule="auto"/>
        <w:jc w:val="center"/>
        <w:rPr>
          <w:color w:val="C00000"/>
          <w:sz w:val="24"/>
          <w:szCs w:val="24"/>
          <w:lang w:val="ca-ES" w:eastAsia="es-ES"/>
        </w:rPr>
      </w:pPr>
      <w:r>
        <w:rPr>
          <w:color w:val="C00000"/>
          <w:sz w:val="24"/>
          <w:szCs w:val="24"/>
          <w:lang w:val="ca-ES" w:eastAsia="es-ES"/>
        </w:rPr>
        <w:t>e</w:t>
      </w:r>
      <w:r w:rsidR="00473F1E">
        <w:rPr>
          <w:color w:val="C00000"/>
          <w:sz w:val="24"/>
          <w:szCs w:val="24"/>
          <w:lang w:val="ca-ES" w:eastAsia="es-ES"/>
        </w:rPr>
        <w:t>l 27% fixen un percentatge sobre la jornada</w:t>
      </w:r>
    </w:p>
    <w:p w:rsidR="00473F1E" w:rsidRDefault="00473F1E" w:rsidP="00516707">
      <w:pPr>
        <w:pStyle w:val="TEXTBOLD"/>
        <w:spacing w:line="276" w:lineRule="auto"/>
        <w:jc w:val="center"/>
        <w:rPr>
          <w:color w:val="C00000"/>
          <w:sz w:val="24"/>
          <w:szCs w:val="24"/>
          <w:lang w:val="ca-ES" w:eastAsia="es-ES"/>
        </w:rPr>
      </w:pPr>
      <w:r>
        <w:rPr>
          <w:color w:val="C00000"/>
          <w:sz w:val="24"/>
          <w:szCs w:val="24"/>
          <w:lang w:val="ca-ES" w:eastAsia="es-ES"/>
        </w:rPr>
        <w:t xml:space="preserve">superior al 10% </w:t>
      </w:r>
      <w:r w:rsidR="003940E2">
        <w:rPr>
          <w:color w:val="C00000"/>
          <w:sz w:val="24"/>
          <w:szCs w:val="24"/>
          <w:lang w:val="ca-ES" w:eastAsia="es-ES"/>
        </w:rPr>
        <w:t>previst a</w:t>
      </w:r>
      <w:r>
        <w:rPr>
          <w:color w:val="C00000"/>
          <w:sz w:val="24"/>
          <w:szCs w:val="24"/>
          <w:lang w:val="ca-ES" w:eastAsia="es-ES"/>
        </w:rPr>
        <w:t xml:space="preserve"> l’</w:t>
      </w:r>
      <w:r w:rsidR="00516707">
        <w:rPr>
          <w:color w:val="C00000"/>
          <w:sz w:val="24"/>
          <w:szCs w:val="24"/>
          <w:lang w:val="ca-ES" w:eastAsia="es-ES"/>
        </w:rPr>
        <w:t>E</w:t>
      </w:r>
      <w:r>
        <w:rPr>
          <w:color w:val="C00000"/>
          <w:sz w:val="24"/>
          <w:szCs w:val="24"/>
          <w:lang w:val="ca-ES" w:eastAsia="es-ES"/>
        </w:rPr>
        <w:t>statut.</w:t>
      </w:r>
    </w:p>
    <w:p w:rsidR="00516707" w:rsidRPr="0086140C" w:rsidRDefault="00516707" w:rsidP="00516707">
      <w:pPr>
        <w:pStyle w:val="TEXTBOLD"/>
        <w:spacing w:line="276" w:lineRule="auto"/>
        <w:jc w:val="center"/>
        <w:rPr>
          <w:b w:val="0"/>
          <w:sz w:val="24"/>
          <w:szCs w:val="24"/>
          <w:lang w:val="ca-ES"/>
        </w:rPr>
      </w:pPr>
    </w:p>
    <w:p w:rsidR="00473F1E" w:rsidRDefault="00473F1E" w:rsidP="00516707">
      <w:pPr>
        <w:pStyle w:val="TEXTBOLD"/>
        <w:spacing w:line="276" w:lineRule="auto"/>
        <w:rPr>
          <w:b w:val="0"/>
          <w:sz w:val="24"/>
          <w:szCs w:val="24"/>
          <w:lang w:val="ca-ES"/>
        </w:rPr>
      </w:pPr>
      <w:r>
        <w:rPr>
          <w:b w:val="0"/>
          <w:sz w:val="24"/>
          <w:szCs w:val="24"/>
          <w:lang w:val="ca-ES"/>
        </w:rPr>
        <w:t xml:space="preserve">Pel que </w:t>
      </w:r>
      <w:r w:rsidR="003940E2">
        <w:rPr>
          <w:b w:val="0"/>
          <w:sz w:val="24"/>
          <w:szCs w:val="24"/>
          <w:lang w:val="ca-ES"/>
        </w:rPr>
        <w:t xml:space="preserve">fa </w:t>
      </w:r>
      <w:r>
        <w:rPr>
          <w:b w:val="0"/>
          <w:sz w:val="24"/>
          <w:szCs w:val="24"/>
          <w:lang w:val="ca-ES"/>
        </w:rPr>
        <w:t xml:space="preserve">a les </w:t>
      </w:r>
      <w:r>
        <w:rPr>
          <w:b w:val="0"/>
          <w:sz w:val="24"/>
          <w:szCs w:val="24"/>
          <w:u w:val="single"/>
          <w:lang w:val="ca-ES"/>
        </w:rPr>
        <w:t>hores extraordinàries,</w:t>
      </w:r>
      <w:r w:rsidRPr="00516707">
        <w:rPr>
          <w:b w:val="0"/>
          <w:sz w:val="24"/>
          <w:szCs w:val="24"/>
          <w:lang w:val="ca-ES"/>
        </w:rPr>
        <w:t xml:space="preserve"> de</w:t>
      </w:r>
      <w:r w:rsidRPr="0086140C">
        <w:rPr>
          <w:b w:val="0"/>
          <w:sz w:val="24"/>
          <w:szCs w:val="24"/>
          <w:lang w:val="ca-ES"/>
        </w:rPr>
        <w:t xml:space="preserve"> l’anàlisi dels convenis col·lectius observem que el </w:t>
      </w:r>
      <w:r w:rsidR="00972EC4">
        <w:rPr>
          <w:b w:val="0"/>
          <w:sz w:val="24"/>
          <w:szCs w:val="24"/>
          <w:lang w:val="ca-ES"/>
        </w:rPr>
        <w:t>20,55</w:t>
      </w:r>
      <w:r w:rsidRPr="0086140C">
        <w:rPr>
          <w:b w:val="0"/>
          <w:sz w:val="24"/>
          <w:szCs w:val="24"/>
          <w:lang w:val="ca-ES"/>
        </w:rPr>
        <w:t>% dels convenis estableixen la compensació preferentment amb descansos, el 15,</w:t>
      </w:r>
      <w:r w:rsidR="00972EC4">
        <w:rPr>
          <w:b w:val="0"/>
          <w:sz w:val="24"/>
          <w:szCs w:val="24"/>
          <w:lang w:val="ca-ES"/>
        </w:rPr>
        <w:t>53</w:t>
      </w:r>
      <w:r w:rsidRPr="0086140C">
        <w:rPr>
          <w:b w:val="0"/>
          <w:sz w:val="24"/>
          <w:szCs w:val="24"/>
          <w:lang w:val="ca-ES"/>
        </w:rPr>
        <w:t xml:space="preserve">% regulen la preferència per la compensació en metàl·lic i el </w:t>
      </w:r>
      <w:r w:rsidR="00972EC4">
        <w:rPr>
          <w:b w:val="0"/>
          <w:sz w:val="24"/>
          <w:szCs w:val="24"/>
          <w:lang w:val="ca-ES"/>
        </w:rPr>
        <w:t>36,56</w:t>
      </w:r>
      <w:r w:rsidRPr="0086140C">
        <w:rPr>
          <w:b w:val="0"/>
          <w:sz w:val="24"/>
          <w:szCs w:val="24"/>
          <w:lang w:val="ca-ES"/>
        </w:rPr>
        <w:t xml:space="preserve">% es compensa indistintament amb descansos o en metàl·lic. </w:t>
      </w:r>
    </w:p>
    <w:p w:rsidR="00516707" w:rsidRPr="00763868" w:rsidRDefault="00516707" w:rsidP="00516707">
      <w:pPr>
        <w:pStyle w:val="TEXTBOLD"/>
        <w:spacing w:line="276" w:lineRule="auto"/>
        <w:rPr>
          <w:u w:val="single"/>
          <w:lang w:val="es-ES"/>
        </w:rPr>
      </w:pPr>
    </w:p>
    <w:p w:rsidR="00473F1E" w:rsidRDefault="00473F1E" w:rsidP="00473F1E">
      <w:pPr>
        <w:jc w:val="both"/>
        <w:rPr>
          <w:rFonts w:ascii="Rotis Sans Serif Std" w:hAnsi="Rotis Sans Serif Std" w:cs="RotisSansSerifStd-Regular"/>
          <w:color w:val="5E6061"/>
          <w:lang w:eastAsia="es-ES_tradnl"/>
        </w:rPr>
      </w:pPr>
      <w:r w:rsidRPr="0086140C">
        <w:rPr>
          <w:rFonts w:ascii="Rotis Sans Serif Std" w:hAnsi="Rotis Sans Serif Std" w:cs="RotisSansSerifStd-Regular"/>
          <w:color w:val="5E6061"/>
          <w:u w:val="single"/>
          <w:lang w:eastAsia="es-ES_tradnl"/>
        </w:rPr>
        <w:t>En quant als acord</w:t>
      </w:r>
      <w:r w:rsidR="003940E2">
        <w:rPr>
          <w:rFonts w:ascii="Rotis Sans Serif Std" w:hAnsi="Rotis Sans Serif Std" w:cs="RotisSansSerifStd-Regular"/>
          <w:color w:val="5E6061"/>
          <w:u w:val="single"/>
          <w:lang w:eastAsia="es-ES_tradnl"/>
        </w:rPr>
        <w:t>s</w:t>
      </w:r>
      <w:r w:rsidRPr="0086140C">
        <w:rPr>
          <w:rFonts w:ascii="Rotis Sans Serif Std" w:hAnsi="Rotis Sans Serif Std" w:cs="RotisSansSerifStd-Regular"/>
          <w:color w:val="5E6061"/>
          <w:u w:val="single"/>
          <w:lang w:eastAsia="es-ES_tradnl"/>
        </w:rPr>
        <w:t xml:space="preserve"> per la reducció, supressió o prohibició</w:t>
      </w:r>
      <w:r w:rsidRPr="0086140C">
        <w:rPr>
          <w:rFonts w:ascii="Rotis Sans Serif Std" w:hAnsi="Rotis Sans Serif Std" w:cs="RotisSansSerifStd-Regular"/>
          <w:color w:val="5E6061"/>
          <w:lang w:eastAsia="es-ES_tradnl"/>
        </w:rPr>
        <w:t xml:space="preserve"> de la realització d’hores extraordinàries, es troben presents en el 29,68% dels convenis col·lectius analitzats. Aquesta previsió es més freqüent en els convenis col·lectius d’àmbit autonòmic (35,71%) i en els d’àmbit estatal (30,69%) que en els provincials (25%). </w:t>
      </w:r>
    </w:p>
    <w:p w:rsidR="00516707" w:rsidRDefault="00516707" w:rsidP="007D6DB3">
      <w:pPr>
        <w:spacing w:after="240" w:line="276" w:lineRule="auto"/>
        <w:jc w:val="both"/>
        <w:rPr>
          <w:rFonts w:ascii="Rotis Sans Serif Std" w:hAnsi="Rotis Sans Serif Std"/>
          <w:b/>
          <w:color w:val="C1002B"/>
        </w:rPr>
      </w:pPr>
    </w:p>
    <w:p w:rsidR="00981302" w:rsidRDefault="00FF73EB" w:rsidP="007D6DB3">
      <w:pPr>
        <w:spacing w:after="240" w:line="276" w:lineRule="auto"/>
        <w:jc w:val="both"/>
        <w:rPr>
          <w:rFonts w:ascii="Rotis Sans Serif Std" w:hAnsi="Rotis Sans Serif Std"/>
          <w:b/>
          <w:color w:val="C1002B"/>
        </w:rPr>
      </w:pPr>
      <w:r>
        <w:rPr>
          <w:rFonts w:ascii="Rotis Sans Serif Std" w:hAnsi="Rotis Sans Serif Std"/>
          <w:b/>
          <w:color w:val="C1002B"/>
        </w:rPr>
        <w:t>Desconnexió digital</w:t>
      </w:r>
    </w:p>
    <w:p w:rsidR="00B10EBF" w:rsidRDefault="00B10EBF" w:rsidP="00B10EBF">
      <w:pPr>
        <w:pStyle w:val="HTMLconformatoprevio"/>
        <w:jc w:val="both"/>
        <w:rPr>
          <w:rFonts w:ascii="Rotis Sans Serif Std" w:hAnsi="Rotis Sans Serif Std" w:cs="RotisSansSerifStd-Regular"/>
          <w:color w:val="5E6061"/>
          <w:sz w:val="24"/>
          <w:szCs w:val="24"/>
          <w:lang w:val="ca-ES" w:eastAsia="es-ES_tradnl"/>
        </w:rPr>
      </w:pPr>
      <w:r w:rsidRPr="0010496E">
        <w:rPr>
          <w:rFonts w:ascii="Rotis Sans Serif Std" w:hAnsi="Rotis Sans Serif Std" w:cs="RotisSansSerifStd-Regular"/>
          <w:color w:val="5E6061"/>
          <w:sz w:val="24"/>
          <w:szCs w:val="24"/>
          <w:lang w:val="ca-ES" w:eastAsia="es-ES_tradnl"/>
        </w:rPr>
        <w:t>El futur del treball ha canviat amb rapidesa com a conseqüència del desenvolupament de la tecnologia digital</w:t>
      </w:r>
      <w:r>
        <w:rPr>
          <w:rFonts w:ascii="Rotis Sans Serif Std" w:hAnsi="Rotis Sans Serif Std" w:cs="RotisSansSerifStd-Regular"/>
          <w:color w:val="5E6061"/>
          <w:sz w:val="24"/>
          <w:szCs w:val="24"/>
          <w:lang w:val="ca-ES" w:eastAsia="es-ES_tradnl"/>
        </w:rPr>
        <w:t xml:space="preserve"> i</w:t>
      </w:r>
      <w:r w:rsidRPr="0010496E">
        <w:rPr>
          <w:rFonts w:ascii="Rotis Sans Serif Std" w:hAnsi="Rotis Sans Serif Std" w:cs="RotisSansSerifStd-Regular"/>
          <w:color w:val="5E6061"/>
          <w:sz w:val="24"/>
          <w:szCs w:val="24"/>
          <w:lang w:val="ca-ES" w:eastAsia="es-ES_tradnl"/>
        </w:rPr>
        <w:t xml:space="preserve"> la globalització, a  més d'</w:t>
      </w:r>
      <w:r w:rsidR="003940E2">
        <w:rPr>
          <w:rFonts w:ascii="Rotis Sans Serif Std" w:hAnsi="Rotis Sans Serif Std" w:cs="RotisSansSerifStd-Regular"/>
          <w:color w:val="5E6061"/>
          <w:sz w:val="24"/>
          <w:szCs w:val="24"/>
          <w:lang w:val="ca-ES" w:eastAsia="es-ES_tradnl"/>
        </w:rPr>
        <w:t>altres canvis fonamentals en l’</w:t>
      </w:r>
      <w:r w:rsidRPr="0010496E">
        <w:rPr>
          <w:rFonts w:ascii="Rotis Sans Serif Std" w:hAnsi="Rotis Sans Serif Std" w:cs="RotisSansSerifStd-Regular"/>
          <w:color w:val="5E6061"/>
          <w:sz w:val="24"/>
          <w:szCs w:val="24"/>
          <w:lang w:val="ca-ES" w:eastAsia="es-ES_tradnl"/>
        </w:rPr>
        <w:t>organització del treball. La conjunció d’aques</w:t>
      </w:r>
      <w:r>
        <w:rPr>
          <w:rFonts w:ascii="Rotis Sans Serif Std" w:hAnsi="Rotis Sans Serif Std" w:cs="RotisSansSerifStd-Regular"/>
          <w:color w:val="5E6061"/>
          <w:sz w:val="24"/>
          <w:szCs w:val="24"/>
          <w:lang w:val="ca-ES" w:eastAsia="es-ES_tradnl"/>
        </w:rPr>
        <w:t>ts diferents factors suposa un canvi de paradigma del mercat</w:t>
      </w:r>
      <w:r w:rsidRPr="0010496E">
        <w:rPr>
          <w:rFonts w:ascii="Rotis Sans Serif Std" w:hAnsi="Rotis Sans Serif Std" w:cs="RotisSansSerifStd-Regular"/>
          <w:color w:val="5E6061"/>
          <w:sz w:val="24"/>
          <w:szCs w:val="24"/>
          <w:lang w:val="ca-ES" w:eastAsia="es-ES_tradnl"/>
        </w:rPr>
        <w:t xml:space="preserve"> laboral</w:t>
      </w:r>
      <w:r>
        <w:rPr>
          <w:rFonts w:ascii="Rotis Sans Serif Std" w:hAnsi="Rotis Sans Serif Std" w:cs="RotisSansSerifStd-Regular"/>
          <w:color w:val="5E6061"/>
          <w:sz w:val="24"/>
          <w:szCs w:val="24"/>
          <w:lang w:val="ca-ES" w:eastAsia="es-ES_tradnl"/>
        </w:rPr>
        <w:t xml:space="preserve">, i si bé les noves tecnologies han permès una major flexibilitat en les relacions laborals també poden suposar una connexió continua del treballador en la prestació de serveis, i per tant, una afectació a la conciliació de la vida laboral, familiar i personal i riscos </w:t>
      </w:r>
      <w:r w:rsidR="00E660DD">
        <w:rPr>
          <w:rFonts w:ascii="Rotis Sans Serif Std" w:hAnsi="Rotis Sans Serif Std" w:cs="RotisSansSerifStd-Regular"/>
          <w:color w:val="5E6061"/>
          <w:sz w:val="24"/>
          <w:szCs w:val="24"/>
          <w:lang w:val="ca-ES" w:eastAsia="es-ES_tradnl"/>
        </w:rPr>
        <w:t>per a la salut de les persones.</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040"/>
      </w:tblGrid>
      <w:tr w:rsidR="007D6DB3" w:rsidRPr="000844D1" w:rsidTr="007D6DB3">
        <w:trPr>
          <w:trHeight w:val="1661"/>
          <w:jc w:val="center"/>
        </w:trPr>
        <w:tc>
          <w:tcPr>
            <w:tcW w:w="5040" w:type="dxa"/>
            <w:shd w:val="clear" w:color="auto" w:fill="FFFFFF"/>
            <w:vAlign w:val="center"/>
          </w:tcPr>
          <w:p w:rsidR="00435AB3" w:rsidRDefault="00435AB3" w:rsidP="00542999">
            <w:pPr>
              <w:pStyle w:val="TEXTBOLD"/>
              <w:spacing w:line="276" w:lineRule="auto"/>
              <w:jc w:val="center"/>
              <w:rPr>
                <w:color w:val="C00000"/>
                <w:sz w:val="24"/>
                <w:szCs w:val="24"/>
                <w:lang w:val="ca-ES" w:eastAsia="es-ES"/>
              </w:rPr>
            </w:pPr>
          </w:p>
          <w:p w:rsidR="007D6DB3" w:rsidRPr="00321449" w:rsidRDefault="00B10EBF" w:rsidP="00B10EBF">
            <w:pPr>
              <w:pStyle w:val="TEXTBOLD"/>
              <w:spacing w:line="276" w:lineRule="auto"/>
              <w:jc w:val="center"/>
              <w:rPr>
                <w:b w:val="0"/>
                <w:color w:val="C00000"/>
                <w:lang w:val="es-ES" w:eastAsia="es-ES"/>
              </w:rPr>
            </w:pPr>
            <w:r w:rsidRPr="00B10EBF">
              <w:rPr>
                <w:color w:val="C00000"/>
                <w:sz w:val="24"/>
                <w:szCs w:val="24"/>
                <w:lang w:val="ca-ES" w:eastAsia="es-ES"/>
              </w:rPr>
              <w:t>És necessari trobar el necessari equilibri entre el benefici en l’ús de les noves tecnologies i el dret a la conciliació</w:t>
            </w:r>
            <w:r w:rsidRPr="00981302">
              <w:rPr>
                <w:color w:val="C00000"/>
                <w:sz w:val="24"/>
                <w:szCs w:val="24"/>
                <w:lang w:val="ca-ES" w:eastAsia="es-ES"/>
              </w:rPr>
              <w:t xml:space="preserve"> </w:t>
            </w:r>
          </w:p>
        </w:tc>
      </w:tr>
    </w:tbl>
    <w:p w:rsidR="00892D2E" w:rsidRDefault="00892D2E" w:rsidP="00892D2E">
      <w:pPr>
        <w:pStyle w:val="HTMLconformatoprevio"/>
        <w:jc w:val="both"/>
        <w:rPr>
          <w:rFonts w:ascii="Rotis Sans Serif Std" w:hAnsi="Rotis Sans Serif Std" w:cs="RotisSansSerifStd-Regular"/>
          <w:i/>
          <w:color w:val="5E6061"/>
          <w:sz w:val="24"/>
          <w:szCs w:val="24"/>
          <w:lang w:val="ca-ES" w:eastAsia="es-ES_tradnl"/>
        </w:rPr>
      </w:pPr>
      <w:r>
        <w:rPr>
          <w:rFonts w:ascii="Rotis Sans Serif Std" w:hAnsi="Rotis Sans Serif Std" w:cs="RotisSansSerifStd-Regular"/>
          <w:color w:val="5E6061"/>
          <w:sz w:val="24"/>
          <w:szCs w:val="24"/>
          <w:lang w:val="ca-ES" w:eastAsia="es-ES_tradnl"/>
        </w:rPr>
        <w:t xml:space="preserve">Segons l’Anàlisi </w:t>
      </w:r>
      <w:proofErr w:type="spellStart"/>
      <w:r>
        <w:rPr>
          <w:rFonts w:ascii="Rotis Sans Serif Std" w:hAnsi="Rotis Sans Serif Std" w:cs="RotisSansSerifStd-Regular"/>
          <w:color w:val="5E6061"/>
          <w:sz w:val="24"/>
          <w:szCs w:val="24"/>
          <w:lang w:val="ca-ES" w:eastAsia="es-ES_tradnl"/>
        </w:rPr>
        <w:t>Randstad</w:t>
      </w:r>
      <w:proofErr w:type="spellEnd"/>
      <w:r>
        <w:rPr>
          <w:rFonts w:ascii="Rotis Sans Serif Std" w:hAnsi="Rotis Sans Serif Std" w:cs="RotisSansSerifStd-Regular"/>
          <w:color w:val="5E6061"/>
          <w:sz w:val="24"/>
          <w:szCs w:val="24"/>
          <w:lang w:val="ca-ES" w:eastAsia="es-ES_tradnl"/>
        </w:rPr>
        <w:t xml:space="preserve">  “</w:t>
      </w:r>
      <w:proofErr w:type="spellStart"/>
      <w:r>
        <w:rPr>
          <w:rFonts w:ascii="Rotis Sans Serif Std" w:hAnsi="Rotis Sans Serif Std" w:cs="RotisSansSerifStd-Regular"/>
          <w:i/>
          <w:color w:val="5E6061"/>
          <w:sz w:val="24"/>
          <w:szCs w:val="24"/>
          <w:lang w:val="ca-ES" w:eastAsia="es-ES_tradnl"/>
        </w:rPr>
        <w:t>Desconectar</w:t>
      </w:r>
      <w:proofErr w:type="spellEnd"/>
      <w:r>
        <w:rPr>
          <w:rFonts w:ascii="Rotis Sans Serif Std" w:hAnsi="Rotis Sans Serif Std" w:cs="RotisSansSerifStd-Regular"/>
          <w:i/>
          <w:color w:val="5E6061"/>
          <w:sz w:val="24"/>
          <w:szCs w:val="24"/>
          <w:lang w:val="ca-ES" w:eastAsia="es-ES_tradnl"/>
        </w:rPr>
        <w:t xml:space="preserve"> en </w:t>
      </w:r>
      <w:proofErr w:type="spellStart"/>
      <w:r>
        <w:rPr>
          <w:rFonts w:ascii="Rotis Sans Serif Std" w:hAnsi="Rotis Sans Serif Std" w:cs="RotisSansSerifStd-Regular"/>
          <w:i/>
          <w:color w:val="5E6061"/>
          <w:sz w:val="24"/>
          <w:szCs w:val="24"/>
          <w:lang w:val="ca-ES" w:eastAsia="es-ES_tradnl"/>
        </w:rPr>
        <w:t>vacaciones</w:t>
      </w:r>
      <w:proofErr w:type="spellEnd"/>
      <w:r>
        <w:rPr>
          <w:rFonts w:ascii="Rotis Sans Serif Std" w:hAnsi="Rotis Sans Serif Std" w:cs="RotisSansSerifStd-Regular"/>
          <w:i/>
          <w:color w:val="5E6061"/>
          <w:sz w:val="24"/>
          <w:szCs w:val="24"/>
          <w:lang w:val="ca-ES" w:eastAsia="es-ES_tradnl"/>
        </w:rPr>
        <w:t>” de l’any 2018:</w:t>
      </w:r>
    </w:p>
    <w:p w:rsidR="00892D2E" w:rsidRDefault="00892D2E" w:rsidP="00892D2E">
      <w:pPr>
        <w:pStyle w:val="HTMLconformatoprevio"/>
        <w:jc w:val="both"/>
        <w:rPr>
          <w:rFonts w:ascii="Rotis Sans Serif Std" w:hAnsi="Rotis Sans Serif Std" w:cs="RotisSansSerifStd-Regular"/>
          <w:i/>
          <w:color w:val="5E6061"/>
          <w:sz w:val="24"/>
          <w:szCs w:val="24"/>
          <w:lang w:val="ca-ES" w:eastAsia="es-ES_tradnl"/>
        </w:rPr>
      </w:pPr>
    </w:p>
    <w:p w:rsidR="00892D2E" w:rsidRPr="009213EA" w:rsidRDefault="00892D2E" w:rsidP="00892D2E">
      <w:pPr>
        <w:pStyle w:val="HTMLconformatoprevio"/>
        <w:numPr>
          <w:ilvl w:val="0"/>
          <w:numId w:val="35"/>
        </w:numPr>
        <w:jc w:val="both"/>
        <w:rPr>
          <w:rFonts w:ascii="Rotis Sans Serif Std" w:hAnsi="Rotis Sans Serif Std" w:cs="RotisSansSerifStd-Regular"/>
          <w:color w:val="5E6061"/>
          <w:sz w:val="24"/>
          <w:szCs w:val="24"/>
          <w:lang w:val="ca-ES" w:eastAsia="es-ES_tradnl"/>
        </w:rPr>
      </w:pPr>
      <w:r w:rsidRPr="009213EA">
        <w:rPr>
          <w:rFonts w:ascii="Rotis Sans Serif Std" w:hAnsi="Rotis Sans Serif Std" w:cs="RotisSansSerifStd-Regular"/>
          <w:color w:val="5E6061"/>
          <w:sz w:val="24"/>
          <w:szCs w:val="24"/>
          <w:lang w:val="ca-ES" w:eastAsia="es-ES_tradnl"/>
        </w:rPr>
        <w:t>El 77,8% dels treballadors assegura que aconsegueix evadir-se del treball durant les seves vacances, fet que suposa un augment de 10,3 punts percentuals respecte a la xifra assolida el 2017</w:t>
      </w:r>
      <w:r>
        <w:rPr>
          <w:rFonts w:ascii="Rotis Sans Serif Std" w:hAnsi="Rotis Sans Serif Std" w:cs="RotisSansSerifStd-Regular"/>
          <w:color w:val="5E6061"/>
          <w:sz w:val="24"/>
          <w:szCs w:val="24"/>
          <w:lang w:val="ca-ES" w:eastAsia="es-ES_tradnl"/>
        </w:rPr>
        <w:t>.</w:t>
      </w:r>
    </w:p>
    <w:p w:rsidR="00892D2E" w:rsidRPr="009213EA" w:rsidRDefault="00892D2E" w:rsidP="00892D2E">
      <w:pPr>
        <w:pStyle w:val="HTMLconformatoprevio"/>
        <w:numPr>
          <w:ilvl w:val="0"/>
          <w:numId w:val="35"/>
        </w:numPr>
        <w:jc w:val="both"/>
        <w:rPr>
          <w:rFonts w:ascii="Rotis Sans Serif Std" w:hAnsi="Rotis Sans Serif Std" w:cs="RotisSansSerifStd-Regular"/>
          <w:color w:val="5E6061"/>
          <w:sz w:val="24"/>
          <w:szCs w:val="24"/>
          <w:lang w:val="ca-ES" w:eastAsia="es-ES_tradnl"/>
        </w:rPr>
      </w:pPr>
      <w:r w:rsidRPr="009213EA">
        <w:rPr>
          <w:rFonts w:ascii="Rotis Sans Serif Std" w:hAnsi="Rotis Sans Serif Std" w:cs="RotisSansSerifStd-Regular"/>
          <w:color w:val="5E6061"/>
          <w:sz w:val="24"/>
          <w:szCs w:val="24"/>
          <w:lang w:val="ca-ES" w:eastAsia="es-ES_tradnl"/>
        </w:rPr>
        <w:t>Per trams d'edat, destaca que a menor edat, major és la dificultat per desconnectar de la feina</w:t>
      </w:r>
      <w:r>
        <w:rPr>
          <w:rFonts w:ascii="Rotis Sans Serif Std" w:hAnsi="Rotis Sans Serif Std" w:cs="RotisSansSerifStd-Regular"/>
          <w:color w:val="5E6061"/>
          <w:sz w:val="24"/>
          <w:szCs w:val="24"/>
          <w:lang w:val="ca-ES" w:eastAsia="es-ES_tradnl"/>
        </w:rPr>
        <w:t xml:space="preserve">. </w:t>
      </w:r>
      <w:r w:rsidRPr="009213EA">
        <w:rPr>
          <w:rFonts w:ascii="Rotis Sans Serif Std" w:hAnsi="Rotis Sans Serif Std" w:cs="RotisSansSerifStd-Regular"/>
          <w:color w:val="5E6061"/>
          <w:sz w:val="24"/>
          <w:szCs w:val="24"/>
          <w:lang w:val="ca-ES" w:eastAsia="es-ES_tradnl"/>
        </w:rPr>
        <w:t>En particular,</w:t>
      </w:r>
      <w:r>
        <w:rPr>
          <w:color w:val="222222"/>
          <w:lang w:val="ca-ES"/>
        </w:rPr>
        <w:t xml:space="preserve"> </w:t>
      </w:r>
      <w:r w:rsidRPr="009213EA">
        <w:rPr>
          <w:rFonts w:ascii="Rotis Sans Serif Std" w:hAnsi="Rotis Sans Serif Std" w:cs="RotisSansSerifStd-Regular"/>
          <w:color w:val="5E6061"/>
          <w:sz w:val="24"/>
          <w:szCs w:val="24"/>
          <w:lang w:val="ca-ES" w:eastAsia="es-ES_tradnl"/>
        </w:rPr>
        <w:t>els menors de 25 anys són els que mostren un major ràtio d'ocupats que no aconsegueix desconnectar, amb un 30,8%. El segueixen els que tenen entre 25 i 45 anys (23%) i, finalment, els majors de 45 anys (15,4%).</w:t>
      </w:r>
    </w:p>
    <w:p w:rsidR="00892D2E" w:rsidRPr="009213EA" w:rsidRDefault="00892D2E" w:rsidP="00892D2E">
      <w:pPr>
        <w:pStyle w:val="HTMLconformatoprevio"/>
        <w:numPr>
          <w:ilvl w:val="0"/>
          <w:numId w:val="35"/>
        </w:numPr>
        <w:jc w:val="both"/>
        <w:rPr>
          <w:rFonts w:ascii="Rotis Sans Serif Std" w:hAnsi="Rotis Sans Serif Std" w:cs="RotisSansSerifStd-Regular"/>
          <w:color w:val="5E6061"/>
          <w:sz w:val="24"/>
          <w:szCs w:val="24"/>
          <w:lang w:val="ca-ES" w:eastAsia="es-ES_tradnl"/>
        </w:rPr>
      </w:pPr>
      <w:r w:rsidRPr="009213EA">
        <w:rPr>
          <w:rFonts w:ascii="Rotis Sans Serif Std" w:hAnsi="Rotis Sans Serif Std" w:cs="RotisSansSerifStd-Regular"/>
          <w:color w:val="5E6061"/>
          <w:sz w:val="24"/>
          <w:szCs w:val="24"/>
          <w:lang w:val="ca-ES" w:eastAsia="es-ES_tradnl"/>
        </w:rPr>
        <w:t>La dificultat per desvincular-se de les qüestions laborals i el contacte amb l'empresa són les principals raons per les quals els professionals no poden desconnectar del seu treball</w:t>
      </w:r>
    </w:p>
    <w:p w:rsidR="00892D2E" w:rsidRDefault="00892D2E" w:rsidP="00892D2E">
      <w:pPr>
        <w:pStyle w:val="HTMLconformatoprevio"/>
        <w:numPr>
          <w:ilvl w:val="0"/>
          <w:numId w:val="35"/>
        </w:numPr>
        <w:jc w:val="both"/>
        <w:rPr>
          <w:rFonts w:ascii="Rotis Sans Serif Std" w:hAnsi="Rotis Sans Serif Std" w:cs="RotisSansSerifStd-Regular"/>
          <w:color w:val="5E6061"/>
          <w:sz w:val="24"/>
          <w:szCs w:val="24"/>
          <w:lang w:val="ca-ES" w:eastAsia="es-ES_tradnl"/>
        </w:rPr>
      </w:pPr>
      <w:r w:rsidRPr="009213EA">
        <w:rPr>
          <w:rFonts w:ascii="Rotis Sans Serif Std" w:hAnsi="Rotis Sans Serif Std" w:cs="RotisSansSerifStd-Regular"/>
          <w:color w:val="5E6061"/>
          <w:sz w:val="24"/>
          <w:szCs w:val="24"/>
          <w:lang w:val="ca-ES" w:eastAsia="es-ES_tradnl"/>
        </w:rPr>
        <w:t>Un de cada quatre professionals (25,6%) només necessita un dia de vacances per desvincular-se del treball</w:t>
      </w:r>
      <w:r>
        <w:rPr>
          <w:rFonts w:ascii="Rotis Sans Serif Std" w:hAnsi="Rotis Sans Serif Std" w:cs="RotisSansSerifStd-Regular"/>
          <w:color w:val="5E6061"/>
          <w:sz w:val="24"/>
          <w:szCs w:val="24"/>
          <w:lang w:val="ca-ES" w:eastAsia="es-ES_tradnl"/>
        </w:rPr>
        <w:t>.</w:t>
      </w:r>
    </w:p>
    <w:p w:rsidR="007C2A50" w:rsidRDefault="007C2A50" w:rsidP="007D6DB3">
      <w:pPr>
        <w:spacing w:line="276" w:lineRule="auto"/>
        <w:jc w:val="both"/>
        <w:rPr>
          <w:rFonts w:ascii="Rotis Sans Serif Std" w:hAnsi="Rotis Sans Serif Std" w:cs="RotisSansSerifStd-Regular"/>
          <w:color w:val="5E6061"/>
          <w:lang w:eastAsia="es-ES_tradn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044"/>
      </w:tblGrid>
      <w:tr w:rsidR="00195B7F" w:rsidRPr="000844D1" w:rsidTr="008B44A1">
        <w:trPr>
          <w:trHeight w:val="947"/>
          <w:jc w:val="center"/>
        </w:trPr>
        <w:tc>
          <w:tcPr>
            <w:tcW w:w="5044" w:type="dxa"/>
            <w:shd w:val="clear" w:color="auto" w:fill="FFFFFF"/>
            <w:vAlign w:val="center"/>
          </w:tcPr>
          <w:p w:rsidR="005809F4" w:rsidRDefault="007C2A50" w:rsidP="005809F4">
            <w:pPr>
              <w:pStyle w:val="Prrafodelista"/>
              <w:ind w:left="0" w:right="-54"/>
              <w:jc w:val="center"/>
              <w:rPr>
                <w:rFonts w:ascii="Rotis Sans Serif Std" w:hAnsi="Rotis Sans Serif Std" w:cs="RotisSansSerifStd-Regular"/>
                <w:color w:val="5E6061"/>
                <w:lang w:eastAsia="es-ES_tradnl"/>
              </w:rPr>
            </w:pPr>
            <w:r w:rsidRPr="007C2A50">
              <w:rPr>
                <w:rFonts w:ascii="Rotis Sans Serif Std" w:hAnsi="Rotis Sans Serif Std" w:cs="RotisSansSerifStd-Regular"/>
                <w:b/>
                <w:color w:val="C00000"/>
                <w:lang w:eastAsia="es-ES"/>
              </w:rPr>
              <w:t xml:space="preserve">El 49,5% dels enquestats assegura </w:t>
            </w:r>
            <w:r w:rsidR="003940E2">
              <w:rPr>
                <w:rFonts w:ascii="Rotis Sans Serif Std" w:hAnsi="Rotis Sans Serif Std" w:cs="RotisSansSerifStd-Regular"/>
                <w:b/>
                <w:color w:val="C00000"/>
                <w:lang w:eastAsia="es-ES"/>
              </w:rPr>
              <w:t xml:space="preserve">tenir </w:t>
            </w:r>
            <w:r w:rsidRPr="007C2A50">
              <w:rPr>
                <w:rFonts w:ascii="Rotis Sans Serif Std" w:hAnsi="Rotis Sans Serif Std" w:cs="RotisSansSerifStd-Regular"/>
                <w:b/>
                <w:color w:val="C00000"/>
                <w:lang w:eastAsia="es-ES"/>
              </w:rPr>
              <w:t xml:space="preserve">dificultats per poder desvincular-se de temes laborals </w:t>
            </w:r>
            <w:r w:rsidR="003940E2">
              <w:rPr>
                <w:rFonts w:ascii="Rotis Sans Serif Std" w:hAnsi="Rotis Sans Serif Std" w:cs="RotisSansSerifStd-Regular"/>
                <w:b/>
                <w:color w:val="C00000"/>
                <w:lang w:eastAsia="es-ES"/>
              </w:rPr>
              <w:t xml:space="preserve">com </w:t>
            </w:r>
            <w:r w:rsidRPr="007C2A50">
              <w:rPr>
                <w:rFonts w:ascii="Rotis Sans Serif Std" w:hAnsi="Rotis Sans Serif Std" w:cs="RotisSansSerifStd-Regular"/>
                <w:b/>
                <w:color w:val="C00000"/>
                <w:lang w:eastAsia="es-ES"/>
              </w:rPr>
              <w:t>la causa per la qual no desconnecta. La comunicació amb l'empresa, iniciada per la mateixa companyia, i que no hi hagi una altra persona que s'ocupi d'aquestes funcions són la segona i tercera raó argumentada pels professionals, amb un 25% i un 14,7%, respectivament.</w:t>
            </w:r>
            <w:r>
              <w:rPr>
                <w:rFonts w:ascii="Rotis Sans Serif Std" w:hAnsi="Rotis Sans Serif Std" w:cs="RotisSansSerifStd-Regular"/>
                <w:color w:val="5E6061"/>
                <w:lang w:eastAsia="es-ES_tradnl"/>
              </w:rPr>
              <w:t xml:space="preserve"> </w:t>
            </w:r>
          </w:p>
          <w:p w:rsidR="007C2A50" w:rsidRDefault="007C2A50" w:rsidP="005809F4">
            <w:pPr>
              <w:pStyle w:val="Prrafodelista"/>
              <w:ind w:left="0" w:right="-54"/>
              <w:jc w:val="center"/>
              <w:rPr>
                <w:rFonts w:ascii="Rotis Sans Serif Std" w:hAnsi="Rotis Sans Serif Std" w:cs="RotisSansSerifStd-Regular"/>
                <w:color w:val="5E6061"/>
                <w:lang w:eastAsia="es-ES_tradnl"/>
              </w:rPr>
            </w:pPr>
          </w:p>
          <w:p w:rsidR="005809F4" w:rsidRPr="003E2B63" w:rsidRDefault="005809F4" w:rsidP="005809F4">
            <w:pPr>
              <w:pStyle w:val="Prrafodelista"/>
              <w:ind w:left="0" w:right="-54"/>
              <w:jc w:val="center"/>
              <w:rPr>
                <w:rFonts w:ascii="Rotis Sans Serif Std" w:hAnsi="Rotis Sans Serif Std" w:cs="RotisSansSerifStd-Regular"/>
                <w:b/>
                <w:color w:val="C00000"/>
                <w:lang w:eastAsia="es-ES"/>
              </w:rPr>
            </w:pPr>
          </w:p>
        </w:tc>
      </w:tr>
    </w:tbl>
    <w:p w:rsidR="007C2A50" w:rsidRDefault="007C2A50" w:rsidP="001B2C1A">
      <w:pPr>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Pel que fa al perfil professional, l’anàlisi posa de manifest que a major responsabilitat major</w:t>
      </w:r>
      <w:r w:rsidR="003940E2">
        <w:rPr>
          <w:rFonts w:ascii="Rotis Sans Serif Std" w:hAnsi="Rotis Sans Serif Std" w:cs="RotisSansSerifStd-Regular"/>
          <w:color w:val="5E6061"/>
          <w:lang w:eastAsia="es-ES_tradnl"/>
        </w:rPr>
        <w:t>s</w:t>
      </w:r>
      <w:r>
        <w:rPr>
          <w:rFonts w:ascii="Rotis Sans Serif Std" w:hAnsi="Rotis Sans Serif Std" w:cs="RotisSansSerifStd-Regular"/>
          <w:color w:val="5E6061"/>
          <w:lang w:eastAsia="es-ES_tradnl"/>
        </w:rPr>
        <w:t xml:space="preserve"> són les dificultats per desconnectar durant les vacances.</w:t>
      </w:r>
    </w:p>
    <w:p w:rsidR="007C2A50" w:rsidRDefault="007C2A50" w:rsidP="001B2C1A">
      <w:pPr>
        <w:jc w:val="both"/>
        <w:rPr>
          <w:rFonts w:ascii="Rotis Sans Serif Std" w:hAnsi="Rotis Sans Serif Std" w:cs="RotisSansSerifStd-Regular"/>
          <w:color w:val="5E6061"/>
          <w:lang w:eastAsia="es-ES_tradn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598"/>
      </w:tblGrid>
      <w:tr w:rsidR="00195B7F" w:rsidRPr="000844D1" w:rsidTr="00E9668E">
        <w:trPr>
          <w:trHeight w:val="1018"/>
          <w:jc w:val="center"/>
        </w:trPr>
        <w:tc>
          <w:tcPr>
            <w:tcW w:w="5598" w:type="dxa"/>
            <w:shd w:val="clear" w:color="auto" w:fill="FFFFFF"/>
            <w:vAlign w:val="center"/>
          </w:tcPr>
          <w:p w:rsidR="007C2A50" w:rsidRPr="003E2B63" w:rsidRDefault="007C2A50" w:rsidP="00137F49">
            <w:pPr>
              <w:ind w:right="-54"/>
              <w:jc w:val="center"/>
              <w:rPr>
                <w:rFonts w:ascii="Rotis Sans Serif Std" w:hAnsi="Rotis Sans Serif Std" w:cs="RotisSansSerifStd-Regular"/>
                <w:b/>
                <w:color w:val="C00000"/>
                <w:lang w:eastAsia="es-ES"/>
              </w:rPr>
            </w:pPr>
            <w:r w:rsidRPr="0088354E">
              <w:rPr>
                <w:rFonts w:ascii="Rotis Sans Serif Std" w:hAnsi="Rotis Sans Serif Std" w:cs="RotisSansSerifStd-Regular"/>
                <w:color w:val="5E6061"/>
                <w:lang w:eastAsia="es-ES_tradnl"/>
              </w:rPr>
              <w:t xml:space="preserve"> </w:t>
            </w:r>
            <w:r w:rsidRPr="007C2A50">
              <w:rPr>
                <w:rFonts w:ascii="Rotis Sans Serif Std" w:hAnsi="Rotis Sans Serif Std" w:cs="RotisSansSerifStd-Regular"/>
                <w:b/>
                <w:color w:val="C00000"/>
                <w:lang w:eastAsia="es-ES"/>
              </w:rPr>
              <w:t>El 85,7% dels directius manifesta tenir més dificultats per desconnectar, seguit dels alts directius amb un 37,5% i els managers amb un 34,9%. En darrer terme trobem els tècnics amb un 27,2%.</w:t>
            </w:r>
          </w:p>
        </w:tc>
      </w:tr>
    </w:tbl>
    <w:p w:rsidR="00195B7F" w:rsidRDefault="007C2A50" w:rsidP="00195B7F">
      <w:pPr>
        <w:spacing w:line="276" w:lineRule="auto"/>
        <w:jc w:val="both"/>
        <w:rPr>
          <w:rFonts w:ascii="Rotis Sans Serif Std" w:hAnsi="Rotis Sans Serif Std"/>
          <w:b/>
          <w:color w:val="C1002B"/>
        </w:rPr>
      </w:pPr>
      <w:r>
        <w:rPr>
          <w:rFonts w:ascii="Rotis Sans Serif Std" w:hAnsi="Rotis Sans Serif Std"/>
          <w:b/>
          <w:color w:val="C1002B"/>
        </w:rPr>
        <w:t>Teletreball</w:t>
      </w:r>
    </w:p>
    <w:p w:rsidR="00195B7F" w:rsidRDefault="00195B7F" w:rsidP="00195B7F">
      <w:pPr>
        <w:ind w:right="-54"/>
        <w:jc w:val="both"/>
        <w:rPr>
          <w:rFonts w:ascii="Rotis Sans Serif Std" w:hAnsi="Rotis Sans Serif Std" w:cs="RotisSansSerifStd-Regular"/>
          <w:color w:val="5E6061"/>
          <w:lang w:eastAsia="es-ES_tradnl"/>
        </w:rPr>
      </w:pPr>
    </w:p>
    <w:p w:rsidR="003C1C58" w:rsidRDefault="003C1C58" w:rsidP="003C1C58">
      <w:pPr>
        <w:pStyle w:val="HTMLconformatoprevio"/>
        <w:jc w:val="both"/>
        <w:rPr>
          <w:rFonts w:ascii="Rotis Sans Serif Std" w:hAnsi="Rotis Sans Serif Std" w:cs="RotisSansSerifStd-Regular"/>
          <w:color w:val="5E6061"/>
          <w:sz w:val="24"/>
          <w:szCs w:val="24"/>
          <w:lang w:val="ca-ES" w:eastAsia="es-ES_tradnl"/>
        </w:rPr>
      </w:pPr>
      <w:r>
        <w:rPr>
          <w:rFonts w:ascii="Rotis Sans Serif Std" w:hAnsi="Rotis Sans Serif Std" w:cs="RotisSansSerifStd-Regular"/>
          <w:color w:val="5E6061"/>
          <w:sz w:val="24"/>
          <w:szCs w:val="24"/>
          <w:lang w:val="ca-ES" w:eastAsia="es-ES_tradnl"/>
        </w:rPr>
        <w:t>L’estudi de l’OIT-</w:t>
      </w:r>
      <w:proofErr w:type="spellStart"/>
      <w:r>
        <w:rPr>
          <w:rFonts w:ascii="Rotis Sans Serif Std" w:hAnsi="Rotis Sans Serif Std" w:cs="RotisSansSerifStd-Regular"/>
          <w:color w:val="5E6061"/>
          <w:sz w:val="24"/>
          <w:szCs w:val="24"/>
          <w:lang w:val="ca-ES" w:eastAsia="es-ES_tradnl"/>
        </w:rPr>
        <w:t>Eurofound</w:t>
      </w:r>
      <w:proofErr w:type="spellEnd"/>
      <w:r>
        <w:rPr>
          <w:rFonts w:ascii="Rotis Sans Serif Std" w:hAnsi="Rotis Sans Serif Std" w:cs="RotisSansSerifStd-Regular"/>
          <w:color w:val="5E6061"/>
          <w:sz w:val="24"/>
          <w:szCs w:val="24"/>
          <w:lang w:val="ca-ES" w:eastAsia="es-ES_tradnl"/>
        </w:rPr>
        <w:t xml:space="preserve"> “</w:t>
      </w:r>
      <w:r w:rsidRPr="003C1C58">
        <w:rPr>
          <w:rFonts w:ascii="Rotis Sans Serif Std" w:hAnsi="Rotis Sans Serif Std" w:cs="RotisSansSerifStd-Regular"/>
          <w:i/>
          <w:color w:val="5E6061"/>
          <w:sz w:val="24"/>
          <w:szCs w:val="24"/>
          <w:lang w:val="ca-ES" w:eastAsia="es-ES_tradnl"/>
        </w:rPr>
        <w:t xml:space="preserve">Treballar a tota hora, en qualsevol lloc. Els efectes en el món del treball” </w:t>
      </w:r>
      <w:r>
        <w:rPr>
          <w:rFonts w:ascii="Rotis Sans Serif Std" w:hAnsi="Rotis Sans Serif Std" w:cs="RotisSansSerifStd-Regular"/>
          <w:color w:val="5E6061"/>
          <w:sz w:val="24"/>
          <w:szCs w:val="24"/>
          <w:lang w:val="ca-ES" w:eastAsia="es-ES_tradnl"/>
        </w:rPr>
        <w:t xml:space="preserve">posa de manifest que </w:t>
      </w:r>
      <w:r w:rsidRPr="00A11432">
        <w:rPr>
          <w:rFonts w:ascii="Rotis Sans Serif Std" w:hAnsi="Rotis Sans Serif Std" w:cs="RotisSansSerifStd-Regular"/>
          <w:color w:val="5E6061"/>
          <w:sz w:val="24"/>
          <w:szCs w:val="24"/>
          <w:lang w:val="ca-ES" w:eastAsia="es-ES_tradnl"/>
        </w:rPr>
        <w:t xml:space="preserve">l'augment de l'ús de les tecnologies digitals, com els telèfons intel·ligents, les tauletes i els ordinadors personals per treballar des de casa o en qualsevol lloc, està transformant ràpidament el model de treball tradicional. Pot millorar l'equilibri entre la vida laboral i personal, reduir el temps de desplaçament al lloc de treball i augmentar la productivitat, però també pot donar lloc a jornades laborals més llargues, més intensitat de treball i interferència entre el treball i </w:t>
      </w:r>
      <w:r>
        <w:rPr>
          <w:rFonts w:ascii="Rotis Sans Serif Std" w:hAnsi="Rotis Sans Serif Std" w:cs="RotisSansSerifStd-Regular"/>
          <w:color w:val="5E6061"/>
          <w:sz w:val="24"/>
          <w:szCs w:val="24"/>
          <w:lang w:val="ca-ES" w:eastAsia="es-ES_tradnl"/>
        </w:rPr>
        <w:t>la</w:t>
      </w:r>
      <w:r w:rsidRPr="00A11432">
        <w:rPr>
          <w:rFonts w:ascii="Rotis Sans Serif Std" w:hAnsi="Rotis Sans Serif Std" w:cs="RotisSansSerifStd-Regular"/>
          <w:color w:val="5E6061"/>
          <w:sz w:val="24"/>
          <w:szCs w:val="24"/>
          <w:lang w:val="ca-ES" w:eastAsia="es-ES_tradnl"/>
        </w:rPr>
        <w:t xml:space="preserve"> llar. </w:t>
      </w:r>
    </w:p>
    <w:p w:rsidR="003C1C58" w:rsidRDefault="003C1C58" w:rsidP="003C1C58">
      <w:pPr>
        <w:spacing w:before="240"/>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Segons aquest estudi, a Espanya el 6,7</w:t>
      </w:r>
      <w:r w:rsidRPr="007A46A8">
        <w:rPr>
          <w:rFonts w:ascii="Rotis Sans Serif Std" w:hAnsi="Rotis Sans Serif Std" w:cs="RotisSansSerifStd-Regular"/>
          <w:color w:val="5E6061"/>
          <w:lang w:eastAsia="es-ES_tradnl"/>
        </w:rPr>
        <w:t>% dels empleats exerceix el teletreball, molt per sota de la mitjana de la Unió</w:t>
      </w:r>
      <w:r>
        <w:rPr>
          <w:rFonts w:ascii="Rotis Sans Serif Std" w:hAnsi="Rotis Sans Serif Std" w:cs="RotisSansSerifStd-Regular"/>
          <w:color w:val="5E6061"/>
          <w:lang w:eastAsia="es-ES_tradnl"/>
        </w:rPr>
        <w:t xml:space="preserve"> Europea (UE), i solament el 13</w:t>
      </w:r>
      <w:r w:rsidRPr="007A46A8">
        <w:rPr>
          <w:rFonts w:ascii="Rotis Sans Serif Std" w:hAnsi="Rotis Sans Serif Std" w:cs="RotisSansSerifStd-Regular"/>
          <w:color w:val="5E6061"/>
          <w:lang w:eastAsia="es-ES_tradnl"/>
        </w:rPr>
        <w:t xml:space="preserve">% de les empreses ofereix als seus treballadors aquesta </w:t>
      </w:r>
      <w:r>
        <w:rPr>
          <w:rFonts w:ascii="Rotis Sans Serif Std" w:hAnsi="Rotis Sans Serif Std" w:cs="RotisSansSerifStd-Regular"/>
          <w:color w:val="5E6061"/>
          <w:lang w:eastAsia="es-ES_tradnl"/>
        </w:rPr>
        <w:t xml:space="preserve">possibilitat. </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598"/>
      </w:tblGrid>
      <w:tr w:rsidR="003C1C58" w:rsidRPr="000844D1" w:rsidTr="0012568C">
        <w:trPr>
          <w:trHeight w:val="1018"/>
          <w:jc w:val="center"/>
        </w:trPr>
        <w:tc>
          <w:tcPr>
            <w:tcW w:w="5598" w:type="dxa"/>
            <w:shd w:val="clear" w:color="auto" w:fill="FFFFFF"/>
            <w:vAlign w:val="center"/>
          </w:tcPr>
          <w:p w:rsidR="003C1C58" w:rsidRPr="003E2B63" w:rsidRDefault="003C1C58" w:rsidP="00972EC4">
            <w:pPr>
              <w:ind w:right="-54"/>
              <w:jc w:val="center"/>
              <w:rPr>
                <w:rFonts w:ascii="Rotis Sans Serif Std" w:hAnsi="Rotis Sans Serif Std" w:cs="RotisSansSerifStd-Regular"/>
                <w:b/>
                <w:color w:val="C00000"/>
                <w:lang w:eastAsia="es-ES"/>
              </w:rPr>
            </w:pPr>
            <w:r>
              <w:rPr>
                <w:rFonts w:ascii="Rotis Sans Serif Std" w:hAnsi="Rotis Sans Serif Std" w:cs="RotisSansSerifStd-Regular"/>
                <w:b/>
                <w:color w:val="C00000"/>
                <w:lang w:eastAsia="es-ES"/>
              </w:rPr>
              <w:t>A</w:t>
            </w:r>
            <w:r w:rsidRPr="003C1C58">
              <w:rPr>
                <w:rFonts w:ascii="Rotis Sans Serif Std" w:hAnsi="Rotis Sans Serif Std" w:cs="RotisSansSerifStd-Regular"/>
                <w:b/>
                <w:color w:val="C00000"/>
                <w:lang w:eastAsia="es-ES"/>
              </w:rPr>
              <w:t xml:space="preserve"> Espanya el 6,7% dels empleats exerceix el teletreball, molt per sota de la mitjana de la Unió Europea (</w:t>
            </w:r>
            <w:r w:rsidR="00972EC4">
              <w:rPr>
                <w:rFonts w:ascii="Rotis Sans Serif Std" w:hAnsi="Rotis Sans Serif Std" w:cs="RotisSansSerifStd-Regular"/>
                <w:b/>
                <w:color w:val="C00000"/>
                <w:lang w:eastAsia="es-ES"/>
              </w:rPr>
              <w:t>17%</w:t>
            </w:r>
            <w:r w:rsidRPr="003C1C58">
              <w:rPr>
                <w:rFonts w:ascii="Rotis Sans Serif Std" w:hAnsi="Rotis Sans Serif Std" w:cs="RotisSansSerifStd-Regular"/>
                <w:b/>
                <w:color w:val="C00000"/>
                <w:lang w:eastAsia="es-ES"/>
              </w:rPr>
              <w:t>), i solament el 13% de les empreses ofereix als seus treballadors aquesta possibilitat.</w:t>
            </w:r>
          </w:p>
        </w:tc>
      </w:tr>
    </w:tbl>
    <w:p w:rsidR="003C1C58" w:rsidRPr="007A46A8" w:rsidRDefault="003C1C58" w:rsidP="003C1C58">
      <w:pPr>
        <w:spacing w:before="240"/>
        <w:jc w:val="both"/>
        <w:rPr>
          <w:rFonts w:ascii="Rotis Sans Serif Std" w:hAnsi="Rotis Sans Serif Std" w:cs="RotisSansSerifStd-Regular"/>
          <w:color w:val="5E6061"/>
          <w:lang w:eastAsia="es-ES_tradnl"/>
        </w:rPr>
      </w:pPr>
      <w:r w:rsidRPr="007A46A8">
        <w:rPr>
          <w:rFonts w:ascii="Rotis Sans Serif Std" w:hAnsi="Rotis Sans Serif Std" w:cs="RotisSansSerifStd-Regular"/>
          <w:color w:val="5E6061"/>
          <w:lang w:eastAsia="es-ES_tradnl"/>
        </w:rPr>
        <w:t>En</w:t>
      </w:r>
      <w:r>
        <w:rPr>
          <w:rFonts w:ascii="Rotis Sans Serif Std" w:hAnsi="Rotis Sans Serif Std" w:cs="RotisSansSerifStd-Regular"/>
          <w:color w:val="5E6061"/>
          <w:lang w:eastAsia="es-ES_tradnl"/>
        </w:rPr>
        <w:t xml:space="preserve"> la UE28, al voltant d'un 17</w:t>
      </w:r>
      <w:r w:rsidRPr="007A46A8">
        <w:rPr>
          <w:rFonts w:ascii="Rotis Sans Serif Std" w:hAnsi="Rotis Sans Serif Std" w:cs="RotisSansSerifStd-Regular"/>
          <w:color w:val="5E6061"/>
          <w:lang w:eastAsia="es-ES_tradnl"/>
        </w:rPr>
        <w:t>% dels empleats efectuen el teletreball o treball</w:t>
      </w:r>
      <w:r>
        <w:rPr>
          <w:rFonts w:ascii="Rotis Sans Serif Std" w:hAnsi="Rotis Sans Serif Std" w:cs="RotisSansSerifStd-Regular"/>
          <w:color w:val="5E6061"/>
          <w:lang w:eastAsia="es-ES_tradnl"/>
        </w:rPr>
        <w:t xml:space="preserve"> mòbil amb tecnologies de la</w:t>
      </w:r>
      <w:r w:rsidRPr="007A46A8">
        <w:rPr>
          <w:rFonts w:ascii="Rotis Sans Serif Std" w:hAnsi="Rotis Sans Serif Std" w:cs="RotisSansSerifStd-Regular"/>
          <w:color w:val="5E6061"/>
          <w:lang w:eastAsia="es-ES_tradnl"/>
        </w:rPr>
        <w:t xml:space="preserve"> informació.</w:t>
      </w:r>
    </w:p>
    <w:p w:rsidR="003C1C58" w:rsidRPr="007A46A8" w:rsidRDefault="003C1C58" w:rsidP="003C1C58">
      <w:pPr>
        <w:spacing w:before="240"/>
        <w:jc w:val="both"/>
        <w:rPr>
          <w:rFonts w:ascii="Rotis Sans Serif Std" w:hAnsi="Rotis Sans Serif Std" w:cs="RotisSansSerifStd-Regular"/>
          <w:color w:val="5E6061"/>
          <w:lang w:eastAsia="es-ES_tradnl"/>
        </w:rPr>
      </w:pPr>
      <w:r w:rsidRPr="007A46A8">
        <w:rPr>
          <w:rFonts w:ascii="Rotis Sans Serif Std" w:hAnsi="Rotis Sans Serif Std" w:cs="RotisSansSerifStd-Regular"/>
          <w:color w:val="5E6061"/>
          <w:lang w:eastAsia="es-ES_tradnl"/>
        </w:rPr>
        <w:t>Entre els deu països de la UE analitzats</w:t>
      </w:r>
      <w:r>
        <w:rPr>
          <w:rFonts w:ascii="Rotis Sans Serif Std" w:hAnsi="Rotis Sans Serif Std" w:cs="RotisSansSerifStd-Regular"/>
          <w:color w:val="5E6061"/>
          <w:lang w:eastAsia="es-ES_tradnl"/>
        </w:rPr>
        <w:t>, els escandinaus com Suècia i F</w:t>
      </w:r>
      <w:r w:rsidRPr="007A46A8">
        <w:rPr>
          <w:rFonts w:ascii="Rotis Sans Serif Std" w:hAnsi="Rotis Sans Serif Std" w:cs="RotisSansSerifStd-Regular"/>
          <w:color w:val="5E6061"/>
          <w:lang w:eastAsia="es-ES_tradnl"/>
        </w:rPr>
        <w:t>inlàndia</w:t>
      </w:r>
      <w:r w:rsidR="00442B75">
        <w:rPr>
          <w:rFonts w:ascii="Rotis Sans Serif Std" w:hAnsi="Rotis Sans Serif Std" w:cs="RotisSansSerifStd-Regular"/>
          <w:color w:val="5E6061"/>
          <w:lang w:eastAsia="es-ES_tradnl"/>
        </w:rPr>
        <w:t xml:space="preserve">, lideren el </w:t>
      </w:r>
      <w:proofErr w:type="spellStart"/>
      <w:r w:rsidR="00442B75">
        <w:rPr>
          <w:rFonts w:ascii="Rotis Sans Serif Std" w:hAnsi="Rotis Sans Serif Std" w:cs="RotisSansSerifStd-Regular"/>
          <w:color w:val="5E6061"/>
          <w:lang w:eastAsia="es-ES_tradnl"/>
        </w:rPr>
        <w:t>rà</w:t>
      </w:r>
      <w:r w:rsidRPr="007A46A8">
        <w:rPr>
          <w:rFonts w:ascii="Rotis Sans Serif Std" w:hAnsi="Rotis Sans Serif Std" w:cs="RotisSansSerifStd-Regular"/>
          <w:color w:val="5E6061"/>
          <w:lang w:eastAsia="es-ES_tradnl"/>
        </w:rPr>
        <w:t>nking</w:t>
      </w:r>
      <w:proofErr w:type="spellEnd"/>
      <w:r w:rsidRPr="007A46A8">
        <w:rPr>
          <w:rFonts w:ascii="Rotis Sans Serif Std" w:hAnsi="Rotis Sans Serif Std" w:cs="RotisSansSerifStd-Regular"/>
          <w:color w:val="5E6061"/>
          <w:lang w:eastAsia="es-ES_tradnl"/>
        </w:rPr>
        <w:t>.</w:t>
      </w:r>
    </w:p>
    <w:p w:rsidR="003C1C58" w:rsidRPr="007A46A8" w:rsidRDefault="003C1C58" w:rsidP="003C1C58">
      <w:pPr>
        <w:spacing w:before="240"/>
        <w:jc w:val="both"/>
        <w:rPr>
          <w:rFonts w:ascii="Rotis Sans Serif Std" w:hAnsi="Rotis Sans Serif Std" w:cs="RotisSansSerifStd-Regular"/>
          <w:color w:val="5E6061"/>
          <w:lang w:eastAsia="es-ES_tradnl"/>
        </w:rPr>
      </w:pPr>
      <w:r w:rsidRPr="007A46A8">
        <w:rPr>
          <w:rFonts w:ascii="Rotis Sans Serif Std" w:hAnsi="Rotis Sans Serif Std" w:cs="RotisSansSerifStd-Regular"/>
          <w:color w:val="5E6061"/>
          <w:lang w:eastAsia="es-ES_tradnl"/>
        </w:rPr>
        <w:t>Altres països comunitaris amb una taxa relativament elevada són Bèlgica, França, Holanda i el Regne Unit, mentre que per sota de la mitjana de la UE es troben Alemanya, Hongria i Espanya.</w:t>
      </w:r>
    </w:p>
    <w:p w:rsidR="003C1C58" w:rsidRDefault="003C1C58" w:rsidP="003C1C58">
      <w:pPr>
        <w:tabs>
          <w:tab w:val="left" w:pos="3150"/>
        </w:tabs>
        <w:jc w:val="both"/>
        <w:rPr>
          <w:rFonts w:ascii="Rotis Sans Serif Std" w:hAnsi="Rotis Sans Serif Std" w:cs="RotisSansSerifStd-Regular"/>
          <w:color w:val="5E6061"/>
          <w:lang w:eastAsia="es-ES_tradnl"/>
        </w:rPr>
      </w:pPr>
    </w:p>
    <w:p w:rsidR="003C1C58" w:rsidRDefault="003C1C58" w:rsidP="003C1C58">
      <w:pPr>
        <w:tabs>
          <w:tab w:val="left" w:pos="3150"/>
        </w:tabs>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 xml:space="preserve">D’altra banda, segons l’última Enquesta Europea de Condicions de Treball del 2015, els països  de la UE28 on més treballadors han realitzat teletreball ocasional, regular o habitual són Dinamarca (37%) Suècia (33) i Països Baixos. Espanya ocupa la 16a posició amb un 13%. </w:t>
      </w:r>
    </w:p>
    <w:p w:rsidR="003C1C58" w:rsidRDefault="003C1C58" w:rsidP="003C1C58">
      <w:pPr>
        <w:tabs>
          <w:tab w:val="left" w:pos="3150"/>
        </w:tabs>
        <w:jc w:val="both"/>
        <w:rPr>
          <w:rFonts w:ascii="Rotis Sans Serif Std" w:hAnsi="Rotis Sans Serif Std" w:cs="RotisSansSerifStd-Regular"/>
          <w:color w:val="5E6061"/>
          <w:lang w:eastAsia="es-ES_tradn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598"/>
      </w:tblGrid>
      <w:tr w:rsidR="003C1C58" w:rsidRPr="000844D1" w:rsidTr="0012568C">
        <w:trPr>
          <w:trHeight w:val="1018"/>
          <w:jc w:val="center"/>
        </w:trPr>
        <w:tc>
          <w:tcPr>
            <w:tcW w:w="5598" w:type="dxa"/>
            <w:shd w:val="clear" w:color="auto" w:fill="FFFFFF"/>
            <w:vAlign w:val="center"/>
          </w:tcPr>
          <w:p w:rsidR="0078444C" w:rsidRPr="0078444C" w:rsidRDefault="003C1C58" w:rsidP="0078444C">
            <w:pPr>
              <w:ind w:right="-54"/>
              <w:jc w:val="center"/>
              <w:rPr>
                <w:rFonts w:ascii="Rotis Sans Serif Std" w:hAnsi="Rotis Sans Serif Std"/>
                <w:b/>
                <w:color w:val="C00000"/>
              </w:rPr>
            </w:pPr>
            <w:r>
              <w:rPr>
                <w:rFonts w:ascii="Rotis Sans Serif Std" w:hAnsi="Rotis Sans Serif Std"/>
                <w:b/>
                <w:color w:val="C00000"/>
              </w:rPr>
              <w:t>S</w:t>
            </w:r>
            <w:r w:rsidRPr="003C1C58">
              <w:rPr>
                <w:rFonts w:ascii="Rotis Sans Serif Std" w:hAnsi="Rotis Sans Serif Std"/>
                <w:b/>
                <w:color w:val="C00000"/>
              </w:rPr>
              <w:t>egons l’última Enquesta Europea de Condicions de Treball del 2015, els països  de la UE28 on més treballadors han realitzat teletreball ocasional, regular o habitual són Dinamarca (37%) Suècia (33) i Països Baixos. Espanya ocupa la 16a posició amb un 13%.</w:t>
            </w:r>
          </w:p>
        </w:tc>
      </w:tr>
    </w:tbl>
    <w:p w:rsidR="0078444C" w:rsidRDefault="0078444C">
      <w:pPr>
        <w:rPr>
          <w:rFonts w:ascii="Rotis Sans Serif Std" w:hAnsi="Rotis Sans Serif Std"/>
          <w:b/>
          <w:color w:val="C00000"/>
        </w:rPr>
      </w:pPr>
    </w:p>
    <w:p w:rsidR="0078444C" w:rsidRDefault="0078444C">
      <w:pPr>
        <w:rPr>
          <w:rFonts w:ascii="Rotis Sans Serif Std" w:hAnsi="Rotis Sans Serif Std"/>
          <w:b/>
          <w:color w:val="C00000"/>
        </w:rPr>
      </w:pPr>
    </w:p>
    <w:p w:rsidR="00B512B3" w:rsidRDefault="00B512B3">
      <w:pPr>
        <w:rPr>
          <w:rFonts w:ascii="Rotis Sans Serif Std" w:hAnsi="Rotis Sans Serif Std"/>
          <w:b/>
          <w:color w:val="C00000"/>
        </w:rPr>
      </w:pPr>
    </w:p>
    <w:p w:rsidR="003C1C58" w:rsidRDefault="0078444C">
      <w:pPr>
        <w:rPr>
          <w:rFonts w:ascii="Rotis Sans Serif Std" w:hAnsi="Rotis Sans Serif Std"/>
          <w:b/>
          <w:color w:val="C00000"/>
        </w:rPr>
      </w:pPr>
      <w:r>
        <w:rPr>
          <w:rFonts w:ascii="Rotis Sans Serif Std" w:hAnsi="Rotis Sans Serif Std"/>
          <w:b/>
          <w:color w:val="C00000"/>
        </w:rPr>
        <w:t xml:space="preserve">Temps de treball i nova economia </w:t>
      </w:r>
      <w:proofErr w:type="spellStart"/>
      <w:r>
        <w:rPr>
          <w:rFonts w:ascii="Rotis Sans Serif Std" w:hAnsi="Rotis Sans Serif Std"/>
          <w:b/>
          <w:color w:val="C00000"/>
        </w:rPr>
        <w:t>col·laborativa</w:t>
      </w:r>
      <w:proofErr w:type="spellEnd"/>
    </w:p>
    <w:p w:rsidR="00B512B3" w:rsidRDefault="00B512B3">
      <w:pPr>
        <w:rPr>
          <w:rFonts w:ascii="Rotis Sans Serif Std" w:hAnsi="Rotis Sans Serif Std"/>
          <w:b/>
          <w:color w:val="C00000"/>
        </w:rPr>
      </w:pPr>
    </w:p>
    <w:p w:rsidR="00B512B3" w:rsidRDefault="00B512B3" w:rsidP="00B512B3">
      <w:pPr>
        <w:jc w:val="both"/>
        <w:rPr>
          <w:rFonts w:ascii="Rotis Sans Serif Std" w:hAnsi="Rotis Sans Serif Std"/>
          <w:color w:val="5E6061"/>
          <w:lang w:eastAsia="es-ES_tradnl"/>
        </w:rPr>
      </w:pPr>
      <w:r>
        <w:rPr>
          <w:rFonts w:ascii="Rotis Sans Serif Std" w:hAnsi="Rotis Sans Serif Std"/>
          <w:color w:val="5E6061"/>
          <w:lang w:eastAsia="es-ES_tradnl"/>
        </w:rPr>
        <w:t xml:space="preserve">Un dels grans desafiaments en aquest àmbit és l'acomodació dels indicis reveladors de la dependència als canvis en les formes de prestació de serveis. </w:t>
      </w:r>
    </w:p>
    <w:p w:rsidR="00B512B3" w:rsidRDefault="00B512B3" w:rsidP="00B512B3">
      <w:pPr>
        <w:jc w:val="both"/>
        <w:rPr>
          <w:rFonts w:ascii="Rotis Sans Serif Std" w:hAnsi="Rotis Sans Serif Std"/>
          <w:color w:val="5E6061"/>
          <w:lang w:eastAsia="es-ES_tradn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598"/>
      </w:tblGrid>
      <w:tr w:rsidR="00B512B3" w:rsidRPr="000844D1" w:rsidTr="00BF4D96">
        <w:trPr>
          <w:trHeight w:val="1018"/>
          <w:jc w:val="center"/>
        </w:trPr>
        <w:tc>
          <w:tcPr>
            <w:tcW w:w="5598" w:type="dxa"/>
            <w:shd w:val="clear" w:color="auto" w:fill="FFFFFF"/>
            <w:vAlign w:val="center"/>
          </w:tcPr>
          <w:p w:rsidR="00B512B3" w:rsidRPr="00B512B3" w:rsidRDefault="00B512B3" w:rsidP="00B512B3">
            <w:pPr>
              <w:jc w:val="center"/>
              <w:rPr>
                <w:rFonts w:ascii="Rotis Sans Serif Std" w:hAnsi="Rotis Sans Serif Std"/>
                <w:b/>
                <w:color w:val="C00000"/>
              </w:rPr>
            </w:pPr>
            <w:r w:rsidRPr="00B512B3">
              <w:rPr>
                <w:rFonts w:ascii="Rotis Sans Serif Std" w:hAnsi="Rotis Sans Serif Std"/>
                <w:b/>
                <w:color w:val="C00000"/>
              </w:rPr>
              <w:t xml:space="preserve">L'aplicació del test de </w:t>
            </w:r>
            <w:proofErr w:type="spellStart"/>
            <w:r w:rsidRPr="00B512B3">
              <w:rPr>
                <w:rFonts w:ascii="Rotis Sans Serif Std" w:hAnsi="Rotis Sans Serif Std"/>
                <w:b/>
                <w:color w:val="C00000"/>
              </w:rPr>
              <w:t>laboralitat</w:t>
            </w:r>
            <w:proofErr w:type="spellEnd"/>
            <w:r w:rsidRPr="00B512B3">
              <w:rPr>
                <w:rFonts w:ascii="Rotis Sans Serif Std" w:hAnsi="Rotis Sans Serif Std"/>
                <w:b/>
                <w:color w:val="C00000"/>
              </w:rPr>
              <w:t xml:space="preserve"> als serveis prestats mitjançant les plataformes digitals s'ha d'adaptar per determinar la concurrència del requisit de dependència en la vinculació entre la plataforma i el prestador de serveis.</w:t>
            </w:r>
          </w:p>
          <w:p w:rsidR="00B512B3" w:rsidRPr="0078444C" w:rsidRDefault="00B512B3" w:rsidP="00BF4D96">
            <w:pPr>
              <w:ind w:right="-54"/>
              <w:jc w:val="center"/>
              <w:rPr>
                <w:rFonts w:ascii="Rotis Sans Serif Std" w:hAnsi="Rotis Sans Serif Std"/>
                <w:b/>
                <w:color w:val="C00000"/>
              </w:rPr>
            </w:pPr>
          </w:p>
        </w:tc>
      </w:tr>
    </w:tbl>
    <w:p w:rsidR="00B512B3" w:rsidRDefault="00B512B3" w:rsidP="00B512B3">
      <w:pPr>
        <w:jc w:val="both"/>
        <w:rPr>
          <w:rFonts w:ascii="Rotis Sans Serif Std" w:hAnsi="Rotis Sans Serif Std"/>
          <w:color w:val="5E6061"/>
          <w:lang w:eastAsia="es-ES_tradnl"/>
        </w:rPr>
      </w:pPr>
      <w:r>
        <w:rPr>
          <w:rFonts w:ascii="Rotis Sans Serif Std" w:hAnsi="Rotis Sans Serif Std"/>
          <w:color w:val="5E6061"/>
          <w:lang w:eastAsia="es-ES_tradnl"/>
        </w:rPr>
        <w:t xml:space="preserve">El fet que el treballador tingui la capacitat d'elecció sobre la seva jornada de treball i el seu horari no suposarà, obligatòriament, que el treballador sigui considerat independent. La dependència ara no es manifestarà sempre a través dels indicadors clàssics de temps i lloc predeterminats, o en la manera de realització del treball en un lloc subjecte a control i ordenació de la prestació contínua. </w:t>
      </w:r>
    </w:p>
    <w:p w:rsidR="00B512B3" w:rsidRPr="00B512B3" w:rsidRDefault="00B512B3" w:rsidP="00B512B3">
      <w:pPr>
        <w:jc w:val="both"/>
        <w:rPr>
          <w:rFonts w:ascii="Rotis Sans Serif Std" w:hAnsi="Rotis Sans Serif Std"/>
          <w:b/>
          <w:color w:val="C00000"/>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598"/>
      </w:tblGrid>
      <w:tr w:rsidR="00B512B3" w:rsidRPr="00B512B3" w:rsidTr="00BF4D96">
        <w:trPr>
          <w:trHeight w:val="1018"/>
          <w:jc w:val="center"/>
        </w:trPr>
        <w:tc>
          <w:tcPr>
            <w:tcW w:w="5598" w:type="dxa"/>
            <w:shd w:val="clear" w:color="auto" w:fill="FFFFFF"/>
            <w:vAlign w:val="center"/>
          </w:tcPr>
          <w:p w:rsidR="00B512B3" w:rsidRPr="0078444C" w:rsidRDefault="00B512B3" w:rsidP="00B512B3">
            <w:pPr>
              <w:ind w:right="-54"/>
              <w:jc w:val="center"/>
              <w:rPr>
                <w:rFonts w:ascii="Rotis Sans Serif Std" w:hAnsi="Rotis Sans Serif Std"/>
                <w:b/>
                <w:color w:val="C00000"/>
              </w:rPr>
            </w:pPr>
            <w:r w:rsidRPr="00B512B3">
              <w:rPr>
                <w:rFonts w:ascii="Rotis Sans Serif Std" w:hAnsi="Rotis Sans Serif Std"/>
                <w:b/>
                <w:color w:val="C00000"/>
              </w:rPr>
              <w:t>Abundants plataformes plantegen una total llibertat del prestador per executar la seva prestació els dies i hores que decideixi unilateralment, sense exigència d'obligació de prestació mínima, i, a més amb llibertat per activar-se o desactivar-se de la plataforma. En aquests casos, no haurien de tenir la consideració de treballadors per compte d'altri</w:t>
            </w:r>
            <w:r>
              <w:rPr>
                <w:rFonts w:ascii="Rotis Sans Serif Std" w:hAnsi="Rotis Sans Serif Std"/>
                <w:b/>
                <w:color w:val="C00000"/>
              </w:rPr>
              <w:t>.</w:t>
            </w:r>
          </w:p>
        </w:tc>
      </w:tr>
    </w:tbl>
    <w:p w:rsidR="00B512B3" w:rsidRDefault="00B512B3" w:rsidP="00B512B3">
      <w:pPr>
        <w:rPr>
          <w:rFonts w:ascii="Rotis Sans Serif Std" w:hAnsi="Rotis Sans Serif Std"/>
          <w:color w:val="5E6061"/>
          <w:lang w:eastAsia="es-ES_tradnl"/>
        </w:rPr>
      </w:pPr>
      <w:r>
        <w:rPr>
          <w:rFonts w:ascii="Rotis Sans Serif Std" w:hAnsi="Rotis Sans Serif Std"/>
          <w:color w:val="5E6061"/>
          <w:lang w:eastAsia="es-ES_tradnl"/>
        </w:rPr>
        <w:t>.</w:t>
      </w:r>
    </w:p>
    <w:p w:rsidR="00B512B3" w:rsidRDefault="00B512B3" w:rsidP="00B512B3"/>
    <w:p w:rsidR="00B512B3" w:rsidRDefault="00B512B3" w:rsidP="00B512B3">
      <w:pPr>
        <w:jc w:val="both"/>
        <w:rPr>
          <w:rFonts w:ascii="Rotis Sans Serif Std" w:hAnsi="Rotis Sans Serif Std"/>
          <w:color w:val="5E6061"/>
          <w:lang w:eastAsia="es-ES_tradnl"/>
        </w:rPr>
      </w:pPr>
      <w:r>
        <w:rPr>
          <w:rFonts w:ascii="Rotis Sans Serif Std" w:hAnsi="Rotis Sans Serif Std"/>
          <w:color w:val="5E6061"/>
          <w:lang w:eastAsia="es-ES_tradnl"/>
        </w:rPr>
        <w:t xml:space="preserve">Malgrat això, ha d'insistir-se en les fronteres cada vegada més difuses i qüestionades en aquest tipus de plantejaments taxatius perquè les noves tecnologies i els processos de descentralització productiva flexibilitzen i matisen aquests indicis i factors com la llibertat en la determinació del temps de treball, la utilització de materials propis o la capacitat per fixar preus són clars exemples del desgast i </w:t>
      </w:r>
      <w:proofErr w:type="spellStart"/>
      <w:r>
        <w:rPr>
          <w:rFonts w:ascii="Rotis Sans Serif Std" w:hAnsi="Rotis Sans Serif Std"/>
          <w:color w:val="5E6061"/>
          <w:lang w:eastAsia="es-ES_tradnl"/>
        </w:rPr>
        <w:t>qüestionament</w:t>
      </w:r>
      <w:proofErr w:type="spellEnd"/>
      <w:r>
        <w:rPr>
          <w:rFonts w:ascii="Rotis Sans Serif Std" w:hAnsi="Rotis Sans Serif Std"/>
          <w:color w:val="5E6061"/>
          <w:lang w:eastAsia="es-ES_tradnl"/>
        </w:rPr>
        <w:t xml:space="preserve"> dels indicis clàssics.</w:t>
      </w:r>
    </w:p>
    <w:p w:rsidR="00B512B3" w:rsidRDefault="00B512B3" w:rsidP="00B512B3">
      <w:pPr>
        <w:jc w:val="both"/>
        <w:rPr>
          <w:rFonts w:ascii="Rotis Sans Serif Std" w:hAnsi="Rotis Sans Serif Std"/>
          <w:color w:val="5E6061"/>
          <w:lang w:eastAsia="es-ES_tradn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598"/>
      </w:tblGrid>
      <w:tr w:rsidR="001E6D1A" w:rsidRPr="000844D1" w:rsidTr="00BF4D96">
        <w:trPr>
          <w:trHeight w:val="1018"/>
          <w:jc w:val="center"/>
        </w:trPr>
        <w:tc>
          <w:tcPr>
            <w:tcW w:w="5598" w:type="dxa"/>
            <w:shd w:val="clear" w:color="auto" w:fill="FFFFFF"/>
            <w:vAlign w:val="center"/>
          </w:tcPr>
          <w:p w:rsidR="001E6D1A" w:rsidRDefault="001E6D1A" w:rsidP="001E6D1A">
            <w:pPr>
              <w:jc w:val="center"/>
              <w:rPr>
                <w:rFonts w:ascii="Rotis Sans Serif Std" w:hAnsi="Rotis Sans Serif Std"/>
                <w:color w:val="5E6061"/>
                <w:lang w:eastAsia="es-ES_tradnl"/>
              </w:rPr>
            </w:pPr>
            <w:r w:rsidRPr="001E6D1A">
              <w:rPr>
                <w:rFonts w:ascii="Rotis Sans Serif Std" w:hAnsi="Rotis Sans Serif Std"/>
                <w:b/>
                <w:color w:val="C00000"/>
              </w:rPr>
              <w:t xml:space="preserve">Les opcions </w:t>
            </w:r>
            <w:proofErr w:type="spellStart"/>
            <w:r w:rsidRPr="001E6D1A">
              <w:rPr>
                <w:rFonts w:ascii="Rotis Sans Serif Std" w:hAnsi="Rotis Sans Serif Std"/>
                <w:b/>
                <w:color w:val="C00000"/>
              </w:rPr>
              <w:t>regulatòries</w:t>
            </w:r>
            <w:proofErr w:type="spellEnd"/>
            <w:r w:rsidRPr="001E6D1A">
              <w:rPr>
                <w:rFonts w:ascii="Rotis Sans Serif Std" w:hAnsi="Rotis Sans Serif Std"/>
                <w:b/>
                <w:color w:val="C00000"/>
              </w:rPr>
              <w:t xml:space="preserve"> per adaptar aquestes noves formes de prestació de serveis en el marc de la nova economia des de la perspectiva laboral poden anar des de l’assimilació al treball per compte aliena, a la creació d’una relació laboral de caràcter especial, a la consideració com a treball per compte pròpia, o com a TRADE, fins a l’autoregulació.</w:t>
            </w:r>
          </w:p>
          <w:p w:rsidR="001E6D1A" w:rsidRPr="0078444C" w:rsidRDefault="00EC3667" w:rsidP="00BF4D96">
            <w:pPr>
              <w:ind w:right="-54"/>
              <w:jc w:val="center"/>
              <w:rPr>
                <w:rFonts w:ascii="Rotis Sans Serif Std" w:hAnsi="Rotis Sans Serif Std"/>
                <w:b/>
                <w:color w:val="C00000"/>
              </w:rPr>
            </w:pPr>
            <w:r>
              <w:rPr>
                <w:rFonts w:ascii="Rotis Sans Serif Std" w:hAnsi="Rotis Sans Serif Std"/>
                <w:b/>
                <w:color w:val="C00000"/>
              </w:rPr>
              <w:t xml:space="preserve"> </w:t>
            </w:r>
          </w:p>
        </w:tc>
      </w:tr>
    </w:tbl>
    <w:p w:rsidR="001E6D1A" w:rsidRDefault="001E6D1A" w:rsidP="00B512B3">
      <w:pPr>
        <w:jc w:val="both"/>
        <w:rPr>
          <w:rFonts w:ascii="Rotis Sans Serif Std" w:hAnsi="Rotis Sans Serif Std"/>
          <w:color w:val="5E6061"/>
          <w:lang w:eastAsia="es-ES_tradnl"/>
        </w:rPr>
      </w:pPr>
    </w:p>
    <w:p w:rsidR="001E6D1A" w:rsidRDefault="001E6D1A" w:rsidP="00B512B3">
      <w:pPr>
        <w:jc w:val="both"/>
        <w:rPr>
          <w:rFonts w:ascii="Rotis Sans Serif Std" w:hAnsi="Rotis Sans Serif Std"/>
          <w:color w:val="5E6061"/>
          <w:lang w:eastAsia="es-ES_tradnl"/>
        </w:rPr>
      </w:pPr>
    </w:p>
    <w:p w:rsidR="00B512B3" w:rsidRDefault="00B512B3">
      <w:pPr>
        <w:rPr>
          <w:rFonts w:ascii="Rotis Sans Serif Std" w:hAnsi="Rotis Sans Serif Std"/>
          <w:b/>
          <w:color w:val="C00000"/>
        </w:rPr>
      </w:pPr>
    </w:p>
    <w:p w:rsidR="003C1C58" w:rsidRDefault="003C1C58">
      <w:pPr>
        <w:rPr>
          <w:rFonts w:ascii="Rotis Sans Serif Std" w:hAnsi="Rotis Sans Serif Std"/>
          <w:b/>
          <w:color w:val="C00000"/>
        </w:rPr>
      </w:pPr>
      <w:r>
        <w:rPr>
          <w:rFonts w:ascii="Rotis Sans Serif Std" w:hAnsi="Rotis Sans Serif Std"/>
          <w:b/>
          <w:color w:val="C00000"/>
        </w:rPr>
        <w:br w:type="page"/>
      </w:r>
    </w:p>
    <w:p w:rsidR="00B43746" w:rsidRPr="003171F9" w:rsidRDefault="00B43746" w:rsidP="003A799A">
      <w:pPr>
        <w:rPr>
          <w:rFonts w:ascii="Rotis Sans Serif Std" w:hAnsi="Rotis Sans Serif Std" w:cs="RotisSansSerifStd-Regular"/>
          <w:color w:val="5E6061"/>
          <w:lang w:eastAsia="es-ES_tradnl"/>
        </w:rPr>
      </w:pPr>
      <w:r w:rsidRPr="003171F9">
        <w:rPr>
          <w:rFonts w:ascii="Rotis Sans Serif Std" w:hAnsi="Rotis Sans Serif Std"/>
          <w:b/>
          <w:color w:val="C00000"/>
        </w:rPr>
        <w:t xml:space="preserve">2.  </w:t>
      </w:r>
      <w:bookmarkStart w:id="1" w:name="dades"/>
      <w:r w:rsidRPr="003171F9">
        <w:rPr>
          <w:rFonts w:ascii="Rotis Sans Serif Std" w:hAnsi="Rotis Sans Serif Std"/>
          <w:b/>
          <w:color w:val="C00000"/>
        </w:rPr>
        <w:t>DADES ESTADÍSTIQUES DEL MERCAT DE TREBALL I NEGOCIACIÓ COL·LECT</w:t>
      </w:r>
      <w:r w:rsidR="00E46C67" w:rsidRPr="003171F9">
        <w:rPr>
          <w:rFonts w:ascii="Rotis Sans Serif Std" w:hAnsi="Rotis Sans Serif Std"/>
          <w:b/>
          <w:color w:val="C00000"/>
        </w:rPr>
        <w:t>IVA</w:t>
      </w:r>
      <w:r w:rsidRPr="003171F9">
        <w:rPr>
          <w:rFonts w:ascii="Rotis Sans Serif Std" w:hAnsi="Rotis Sans Serif Std"/>
          <w:b/>
          <w:color w:val="C00000"/>
        </w:rPr>
        <w:t>:</w:t>
      </w:r>
    </w:p>
    <w:p w:rsidR="00B43746" w:rsidRPr="003171F9" w:rsidRDefault="00B43746" w:rsidP="00AD57D6">
      <w:pPr>
        <w:pStyle w:val="Prrafodelista"/>
        <w:ind w:left="0"/>
        <w:rPr>
          <w:rFonts w:ascii="Rotis Sans Serif Std" w:hAnsi="Rotis Sans Serif Std" w:cs="RotisSansSerifStd-Regular"/>
          <w:color w:val="5E6061"/>
          <w:lang w:eastAsia="es-ES_tradnl"/>
        </w:rPr>
      </w:pPr>
    </w:p>
    <w:p w:rsidR="00EB2442" w:rsidRPr="00DE46DD" w:rsidRDefault="00EB2442" w:rsidP="00EB2442">
      <w:pPr>
        <w:shd w:val="clear" w:color="auto" w:fill="F2F2F2"/>
        <w:spacing w:line="276" w:lineRule="auto"/>
        <w:jc w:val="both"/>
        <w:rPr>
          <w:rFonts w:ascii="Rotis Sans Serif Std" w:hAnsi="Rotis Sans Serif Std"/>
          <w:b/>
          <w:color w:val="FF0000"/>
        </w:rPr>
      </w:pPr>
      <w:r>
        <w:rPr>
          <w:rFonts w:ascii="Rotis Sans Serif Std" w:hAnsi="Rotis Sans Serif Std"/>
          <w:b/>
          <w:color w:val="C00000"/>
        </w:rPr>
        <w:t>2.1.</w:t>
      </w:r>
      <w:bookmarkStart w:id="2" w:name="ocupacio"/>
      <w:r>
        <w:rPr>
          <w:rFonts w:ascii="Rotis Sans Serif Std" w:hAnsi="Rotis Sans Serif Std"/>
          <w:b/>
          <w:color w:val="C00000"/>
        </w:rPr>
        <w:t xml:space="preserve"> </w:t>
      </w:r>
      <w:r w:rsidRPr="00DE46DD">
        <w:rPr>
          <w:rFonts w:ascii="Rotis Sans Serif Std" w:hAnsi="Rotis Sans Serif Std"/>
          <w:b/>
          <w:color w:val="C00000"/>
        </w:rPr>
        <w:t xml:space="preserve">OCUPACIÓ </w:t>
      </w:r>
      <w:r w:rsidRPr="00DE46DD">
        <w:rPr>
          <w:rFonts w:ascii="Rotis Sans Serif Std" w:hAnsi="Rotis Sans Serif Std"/>
          <w:b/>
          <w:color w:val="FF0000"/>
        </w:rPr>
        <w:t xml:space="preserve"> </w:t>
      </w:r>
      <w:bookmarkEnd w:id="2"/>
    </w:p>
    <w:bookmarkEnd w:id="1"/>
    <w:p w:rsidR="00EB2442" w:rsidRPr="00EA5418" w:rsidRDefault="00EB2442" w:rsidP="00EB2442">
      <w:pPr>
        <w:pStyle w:val="TEXTBOLD"/>
        <w:spacing w:line="276" w:lineRule="auto"/>
        <w:rPr>
          <w:rFonts w:cs="Times New Roman"/>
          <w:b w:val="0"/>
          <w:color w:val="FF0000"/>
          <w:sz w:val="24"/>
          <w:szCs w:val="24"/>
          <w:lang w:val="ca-ES" w:eastAsia="en-US"/>
        </w:rPr>
      </w:pPr>
    </w:p>
    <w:p w:rsidR="00EB2442" w:rsidRDefault="00EB2442" w:rsidP="00AB0BAA">
      <w:pPr>
        <w:pStyle w:val="TEXTBOLD"/>
        <w:numPr>
          <w:ilvl w:val="2"/>
          <w:numId w:val="7"/>
        </w:numPr>
        <w:spacing w:line="276" w:lineRule="auto"/>
        <w:rPr>
          <w:rFonts w:cs="Times New Roman"/>
          <w:color w:val="C00000"/>
          <w:sz w:val="24"/>
          <w:szCs w:val="24"/>
          <w:lang w:val="ca-ES" w:eastAsia="en-US"/>
        </w:rPr>
      </w:pPr>
      <w:bookmarkStart w:id="3" w:name="Atur"/>
      <w:r w:rsidRPr="00EA5418">
        <w:rPr>
          <w:rFonts w:cs="Times New Roman"/>
          <w:color w:val="C00000"/>
          <w:sz w:val="24"/>
          <w:szCs w:val="24"/>
          <w:lang w:val="ca-ES" w:eastAsia="en-US"/>
        </w:rPr>
        <w:t xml:space="preserve">Atur registrat </w:t>
      </w:r>
    </w:p>
    <w:bookmarkEnd w:id="3"/>
    <w:p w:rsidR="00767D0B" w:rsidRDefault="00767D0B" w:rsidP="00543B23">
      <w:pPr>
        <w:pStyle w:val="TEXTBOLD"/>
        <w:spacing w:line="276" w:lineRule="auto"/>
        <w:rPr>
          <w:rFonts w:cs="Times New Roman"/>
          <w:color w:val="C00000"/>
          <w:sz w:val="24"/>
          <w:szCs w:val="24"/>
          <w:lang w:val="ca-ES" w:eastAsia="en-US"/>
        </w:rPr>
      </w:pPr>
    </w:p>
    <w:p w:rsidR="00763868" w:rsidRPr="002F7259" w:rsidRDefault="00763868" w:rsidP="00763868">
      <w:pPr>
        <w:pStyle w:val="TEXTBOLD"/>
        <w:rPr>
          <w:b w:val="0"/>
          <w:sz w:val="24"/>
          <w:szCs w:val="24"/>
          <w:lang w:val="ca-ES"/>
        </w:rPr>
      </w:pPr>
      <w:r w:rsidRPr="002F7259">
        <w:rPr>
          <w:b w:val="0"/>
          <w:sz w:val="24"/>
          <w:szCs w:val="24"/>
          <w:lang w:val="ca-ES"/>
        </w:rPr>
        <w:t>Segons les dades</w:t>
      </w:r>
      <w:r>
        <w:rPr>
          <w:b w:val="0"/>
          <w:sz w:val="24"/>
          <w:szCs w:val="24"/>
          <w:vertAlign w:val="superscript"/>
          <w:lang w:val="ca-ES"/>
        </w:rPr>
        <w:t xml:space="preserve"> </w:t>
      </w:r>
      <w:r w:rsidRPr="002F7259">
        <w:rPr>
          <w:b w:val="0"/>
          <w:sz w:val="24"/>
          <w:szCs w:val="24"/>
          <w:lang w:val="ca-ES"/>
        </w:rPr>
        <w:t>de l’at</w:t>
      </w:r>
      <w:r>
        <w:rPr>
          <w:b w:val="0"/>
          <w:sz w:val="24"/>
          <w:szCs w:val="24"/>
          <w:lang w:val="ca-ES"/>
        </w:rPr>
        <w:t>ur registrat del mes de setembre,</w:t>
      </w:r>
      <w:r w:rsidRPr="002F7259">
        <w:rPr>
          <w:b w:val="0"/>
          <w:sz w:val="24"/>
          <w:szCs w:val="24"/>
          <w:lang w:val="ca-ES"/>
        </w:rPr>
        <w:t xml:space="preserve"> a Catalunya l’atur ha disminuït en</w:t>
      </w:r>
      <w:r>
        <w:rPr>
          <w:b w:val="0"/>
          <w:sz w:val="24"/>
          <w:szCs w:val="24"/>
          <w:lang w:val="ca-ES"/>
        </w:rPr>
        <w:t xml:space="preserve"> 374</w:t>
      </w:r>
      <w:r w:rsidRPr="002F7259">
        <w:rPr>
          <w:b w:val="0"/>
          <w:sz w:val="24"/>
          <w:szCs w:val="24"/>
          <w:lang w:val="ca-ES"/>
        </w:rPr>
        <w:t xml:space="preserve"> </w:t>
      </w:r>
      <w:r>
        <w:rPr>
          <w:b w:val="0"/>
          <w:sz w:val="24"/>
          <w:szCs w:val="24"/>
          <w:lang w:val="ca-ES"/>
        </w:rPr>
        <w:t>persones (-0,10</w:t>
      </w:r>
      <w:r w:rsidRPr="002F7259">
        <w:rPr>
          <w:b w:val="0"/>
          <w:sz w:val="24"/>
          <w:szCs w:val="24"/>
          <w:lang w:val="ca-ES"/>
        </w:rPr>
        <w:t xml:space="preserve">%), i </w:t>
      </w:r>
      <w:r>
        <w:rPr>
          <w:b w:val="0"/>
          <w:sz w:val="24"/>
          <w:szCs w:val="24"/>
          <w:lang w:val="ca-ES"/>
        </w:rPr>
        <w:t xml:space="preserve">la xifra total d’aturats se situa en 380.344 persones. </w:t>
      </w:r>
    </w:p>
    <w:p w:rsidR="00763868" w:rsidRPr="002F7259" w:rsidRDefault="00763868" w:rsidP="00763868">
      <w:pPr>
        <w:pStyle w:val="TEXTBOLD"/>
        <w:rPr>
          <w:b w:val="0"/>
          <w:color w:val="FF0000"/>
          <w:sz w:val="24"/>
          <w:szCs w:val="24"/>
          <w:lang w:val="ca-ES"/>
        </w:rPr>
      </w:pPr>
    </w:p>
    <w:p w:rsidR="00763868" w:rsidRPr="002F7259" w:rsidRDefault="00763868" w:rsidP="00763868">
      <w:pPr>
        <w:pStyle w:val="TEXTBOLD"/>
        <w:spacing w:after="120"/>
        <w:rPr>
          <w:b w:val="0"/>
          <w:sz w:val="24"/>
          <w:szCs w:val="24"/>
          <w:lang w:val="ca-ES"/>
        </w:rPr>
      </w:pPr>
      <w:proofErr w:type="spellStart"/>
      <w:r w:rsidRPr="002F7259">
        <w:rPr>
          <w:b w:val="0"/>
          <w:sz w:val="24"/>
          <w:szCs w:val="24"/>
          <w:lang w:val="ca-ES"/>
        </w:rPr>
        <w:t>Interanualment</w:t>
      </w:r>
      <w:proofErr w:type="spellEnd"/>
      <w:r w:rsidRPr="002F7259">
        <w:rPr>
          <w:b w:val="0"/>
          <w:sz w:val="24"/>
          <w:szCs w:val="24"/>
          <w:lang w:val="ca-ES"/>
        </w:rPr>
        <w:t xml:space="preserve">, </w:t>
      </w:r>
      <w:r>
        <w:rPr>
          <w:b w:val="0"/>
          <w:sz w:val="24"/>
          <w:szCs w:val="24"/>
          <w:lang w:val="ca-ES"/>
        </w:rPr>
        <w:t xml:space="preserve">s’ha produït </w:t>
      </w:r>
      <w:r w:rsidRPr="002F7259">
        <w:rPr>
          <w:b w:val="0"/>
          <w:sz w:val="24"/>
          <w:szCs w:val="24"/>
          <w:lang w:val="ca-ES"/>
        </w:rPr>
        <w:t xml:space="preserve">una </w:t>
      </w:r>
      <w:r>
        <w:rPr>
          <w:b w:val="0"/>
          <w:sz w:val="24"/>
          <w:szCs w:val="24"/>
          <w:lang w:val="ca-ES"/>
        </w:rPr>
        <w:t>reducció</w:t>
      </w:r>
      <w:r w:rsidRPr="002F7259">
        <w:rPr>
          <w:b w:val="0"/>
          <w:sz w:val="24"/>
          <w:szCs w:val="24"/>
          <w:lang w:val="ca-ES"/>
        </w:rPr>
        <w:t xml:space="preserve"> del</w:t>
      </w:r>
      <w:r>
        <w:rPr>
          <w:b w:val="0"/>
          <w:sz w:val="24"/>
          <w:szCs w:val="24"/>
          <w:lang w:val="ca-ES"/>
        </w:rPr>
        <w:t xml:space="preserve"> </w:t>
      </w:r>
      <w:r w:rsidRPr="00E1430E">
        <w:rPr>
          <w:b w:val="0"/>
          <w:sz w:val="24"/>
          <w:szCs w:val="24"/>
          <w:lang w:val="ca-ES"/>
        </w:rPr>
        <w:t>-</w:t>
      </w:r>
      <w:r>
        <w:rPr>
          <w:b w:val="0"/>
          <w:sz w:val="24"/>
          <w:szCs w:val="24"/>
          <w:lang w:val="ca-ES"/>
        </w:rPr>
        <w:t>5</w:t>
      </w:r>
      <w:r w:rsidRPr="002F7259">
        <w:rPr>
          <w:b w:val="0"/>
          <w:sz w:val="24"/>
          <w:szCs w:val="24"/>
          <w:lang w:val="ca-ES"/>
        </w:rPr>
        <w:t>% (</w:t>
      </w:r>
      <w:r w:rsidRPr="00E1430E">
        <w:rPr>
          <w:b w:val="0"/>
          <w:sz w:val="24"/>
          <w:szCs w:val="24"/>
          <w:lang w:val="ca-ES"/>
        </w:rPr>
        <w:t>-</w:t>
      </w:r>
      <w:r>
        <w:rPr>
          <w:b w:val="0"/>
          <w:sz w:val="24"/>
          <w:szCs w:val="24"/>
          <w:lang w:val="ca-ES"/>
        </w:rPr>
        <w:t>20.029 aturats menys) respect</w:t>
      </w:r>
      <w:r w:rsidRPr="002F7259">
        <w:rPr>
          <w:b w:val="0"/>
          <w:sz w:val="24"/>
          <w:szCs w:val="24"/>
          <w:lang w:val="ca-ES"/>
        </w:rPr>
        <w:t xml:space="preserve">e </w:t>
      </w:r>
      <w:r>
        <w:rPr>
          <w:b w:val="0"/>
          <w:sz w:val="24"/>
          <w:szCs w:val="24"/>
          <w:lang w:val="ca-ES"/>
        </w:rPr>
        <w:t>setembre del 2017</w:t>
      </w:r>
      <w:r w:rsidRPr="002F7259">
        <w:rPr>
          <w:b w:val="0"/>
          <w:sz w:val="24"/>
          <w:szCs w:val="24"/>
          <w:lang w:val="ca-ES"/>
        </w:rPr>
        <w:t>.</w:t>
      </w:r>
    </w:p>
    <w:p w:rsidR="00763868" w:rsidRPr="002F7259" w:rsidRDefault="00763868" w:rsidP="00763868">
      <w:pPr>
        <w:pStyle w:val="TEXTBOLD"/>
        <w:jc w:val="center"/>
        <w:rPr>
          <w:b w:val="0"/>
          <w:color w:val="FF0000"/>
          <w:lang w:val="ca-ES"/>
        </w:rPr>
      </w:pPr>
      <w:r>
        <w:rPr>
          <w:noProof/>
          <w:lang w:val="es-ES" w:eastAsia="es-ES"/>
        </w:rPr>
        <w:drawing>
          <wp:inline distT="0" distB="0" distL="0" distR="0" wp14:anchorId="2D35FAB4" wp14:editId="0ADF9D4A">
            <wp:extent cx="5615796" cy="2838091"/>
            <wp:effectExtent l="0" t="0" r="23495" b="19685"/>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3868" w:rsidRPr="002F7259" w:rsidRDefault="00763868" w:rsidP="00763868">
      <w:pPr>
        <w:pStyle w:val="TEXTBOLD"/>
        <w:jc w:val="center"/>
        <w:rPr>
          <w:b w:val="0"/>
          <w:sz w:val="20"/>
          <w:szCs w:val="20"/>
          <w:lang w:val="ca-ES"/>
        </w:rPr>
      </w:pPr>
      <w:r w:rsidRPr="002F7259">
        <w:rPr>
          <w:b w:val="0"/>
          <w:sz w:val="18"/>
          <w:szCs w:val="20"/>
          <w:lang w:val="ca-ES"/>
        </w:rPr>
        <w:t xml:space="preserve">Font: Elaboració pròpia a partir de les dades de l’Observatori </w:t>
      </w:r>
      <w:r>
        <w:rPr>
          <w:b w:val="0"/>
          <w:sz w:val="18"/>
          <w:szCs w:val="20"/>
          <w:lang w:val="ca-ES"/>
        </w:rPr>
        <w:t>del Treball i Model Productiu.</w:t>
      </w:r>
    </w:p>
    <w:p w:rsidR="00763868" w:rsidRPr="002F7259" w:rsidRDefault="00763868" w:rsidP="00763868">
      <w:pPr>
        <w:pStyle w:val="TEXTBOLD"/>
        <w:rPr>
          <w:b w:val="0"/>
          <w:sz w:val="24"/>
          <w:lang w:val="ca-ES" w:eastAsia="es-ES"/>
        </w:rPr>
      </w:pPr>
    </w:p>
    <w:p w:rsidR="00763868" w:rsidRPr="002F7259" w:rsidRDefault="00763868" w:rsidP="00763868">
      <w:pPr>
        <w:pStyle w:val="TEXTBOLD"/>
        <w:rPr>
          <w:b w:val="0"/>
          <w:sz w:val="24"/>
          <w:lang w:val="ca-ES" w:eastAsia="es-ES"/>
        </w:rPr>
      </w:pPr>
      <w:r w:rsidRPr="002F7259">
        <w:rPr>
          <w:b w:val="0"/>
          <w:sz w:val="24"/>
          <w:u w:val="single"/>
          <w:lang w:val="ca-ES" w:eastAsia="es-ES"/>
        </w:rPr>
        <w:t>A nivell estatal</w:t>
      </w:r>
      <w:r>
        <w:rPr>
          <w:b w:val="0"/>
          <w:sz w:val="24"/>
          <w:lang w:val="ca-ES" w:eastAsia="es-ES"/>
        </w:rPr>
        <w:t>, l'atur registrat ha augmentat</w:t>
      </w:r>
      <w:r w:rsidRPr="002F7259">
        <w:rPr>
          <w:b w:val="0"/>
          <w:sz w:val="24"/>
          <w:lang w:val="ca-ES" w:eastAsia="es-ES"/>
        </w:rPr>
        <w:t xml:space="preserve"> en </w:t>
      </w:r>
      <w:r>
        <w:rPr>
          <w:b w:val="0"/>
          <w:sz w:val="24"/>
          <w:lang w:val="ca-ES" w:eastAsia="es-ES"/>
        </w:rPr>
        <w:t>20.441</w:t>
      </w:r>
      <w:r w:rsidRPr="00E1430E">
        <w:rPr>
          <w:b w:val="0"/>
          <w:sz w:val="24"/>
          <w:lang w:val="ca-ES" w:eastAsia="es-ES"/>
        </w:rPr>
        <w:t xml:space="preserve"> </w:t>
      </w:r>
      <w:r w:rsidRPr="002F7259">
        <w:rPr>
          <w:b w:val="0"/>
          <w:sz w:val="24"/>
          <w:lang w:val="ca-ES" w:eastAsia="es-ES"/>
        </w:rPr>
        <w:t>person</w:t>
      </w:r>
      <w:r>
        <w:rPr>
          <w:b w:val="0"/>
          <w:sz w:val="24"/>
          <w:lang w:val="ca-ES" w:eastAsia="es-ES"/>
        </w:rPr>
        <w:t>es en relació al mes anterior (0,64</w:t>
      </w:r>
      <w:r w:rsidRPr="002F7259">
        <w:rPr>
          <w:b w:val="0"/>
          <w:sz w:val="24"/>
          <w:lang w:val="ca-ES" w:eastAsia="es-ES"/>
        </w:rPr>
        <w:t>%)</w:t>
      </w:r>
      <w:r>
        <w:rPr>
          <w:b w:val="0"/>
          <w:sz w:val="24"/>
          <w:lang w:val="ca-ES" w:eastAsia="es-ES"/>
        </w:rPr>
        <w:t>, un augment lleument inferior que el del 2017, com a conseqüència de la pèrdua d’ocupació en activitats vinculades al turisme al final de setembre</w:t>
      </w:r>
      <w:r w:rsidRPr="002F7259">
        <w:rPr>
          <w:b w:val="0"/>
          <w:sz w:val="24"/>
          <w:lang w:val="ca-ES" w:eastAsia="es-ES"/>
        </w:rPr>
        <w:t>. La xifra d'atur a nivel</w:t>
      </w:r>
      <w:r>
        <w:rPr>
          <w:b w:val="0"/>
          <w:sz w:val="24"/>
          <w:lang w:val="ca-ES" w:eastAsia="es-ES"/>
        </w:rPr>
        <w:t xml:space="preserve">l estatal se situa en el mes de setembre en </w:t>
      </w:r>
      <w:r w:rsidRPr="00E1430E">
        <w:rPr>
          <w:b w:val="0"/>
          <w:sz w:val="24"/>
          <w:lang w:val="ca-ES" w:eastAsia="es-ES"/>
        </w:rPr>
        <w:t>3.</w:t>
      </w:r>
      <w:r>
        <w:rPr>
          <w:b w:val="0"/>
          <w:sz w:val="24"/>
          <w:lang w:val="ca-ES" w:eastAsia="es-ES"/>
        </w:rPr>
        <w:t>202.509</w:t>
      </w:r>
      <w:r w:rsidRPr="00E1430E">
        <w:rPr>
          <w:b w:val="0"/>
          <w:sz w:val="24"/>
          <w:lang w:val="ca-ES" w:eastAsia="es-ES"/>
        </w:rPr>
        <w:t xml:space="preserve"> </w:t>
      </w:r>
      <w:r w:rsidRPr="002F7259">
        <w:rPr>
          <w:b w:val="0"/>
          <w:sz w:val="24"/>
          <w:lang w:val="ca-ES" w:eastAsia="es-ES"/>
        </w:rPr>
        <w:t>persones.</w:t>
      </w:r>
    </w:p>
    <w:p w:rsidR="00763868" w:rsidRPr="002F7259" w:rsidRDefault="00763868" w:rsidP="00763868">
      <w:pPr>
        <w:pStyle w:val="TEXTBOLD"/>
        <w:rPr>
          <w:b w:val="0"/>
          <w:color w:val="FF0000"/>
          <w:sz w:val="24"/>
          <w:szCs w:val="24"/>
          <w:lang w:val="ca-ES"/>
        </w:rPr>
      </w:pPr>
    </w:p>
    <w:p w:rsidR="00763868" w:rsidRDefault="00763868" w:rsidP="00763868">
      <w:pPr>
        <w:pStyle w:val="TEXTBOLD"/>
        <w:rPr>
          <w:b w:val="0"/>
          <w:sz w:val="24"/>
          <w:lang w:val="ca-ES" w:eastAsia="es-ES"/>
        </w:rPr>
      </w:pPr>
      <w:r w:rsidRPr="002F7259">
        <w:rPr>
          <w:b w:val="0"/>
          <w:sz w:val="24"/>
          <w:lang w:val="ca-ES" w:eastAsia="es-ES"/>
        </w:rPr>
        <w:t xml:space="preserve">En termes interanuals, l'atur disminueix en </w:t>
      </w:r>
      <w:r>
        <w:rPr>
          <w:b w:val="0"/>
          <w:sz w:val="24"/>
          <w:lang w:val="ca-ES" w:eastAsia="es-ES"/>
        </w:rPr>
        <w:t>207.673</w:t>
      </w:r>
      <w:r w:rsidRPr="00E1430E">
        <w:rPr>
          <w:b w:val="0"/>
          <w:sz w:val="24"/>
          <w:lang w:val="ca-ES" w:eastAsia="es-ES"/>
        </w:rPr>
        <w:t xml:space="preserve"> </w:t>
      </w:r>
      <w:r w:rsidRPr="002F7259">
        <w:rPr>
          <w:b w:val="0"/>
          <w:sz w:val="24"/>
          <w:lang w:val="ca-ES" w:eastAsia="es-ES"/>
        </w:rPr>
        <w:t>persones, fet que suposa una variació del -</w:t>
      </w:r>
      <w:r>
        <w:rPr>
          <w:b w:val="0"/>
          <w:sz w:val="24"/>
          <w:lang w:val="ca-ES" w:eastAsia="es-ES"/>
        </w:rPr>
        <w:t xml:space="preserve">6,09%. </w:t>
      </w:r>
    </w:p>
    <w:p w:rsidR="00763868" w:rsidRPr="002F7259" w:rsidRDefault="00763868" w:rsidP="00763868">
      <w:pPr>
        <w:pStyle w:val="TEXTBOLD"/>
        <w:rPr>
          <w:b w:val="0"/>
          <w:color w:val="FF0000"/>
          <w:sz w:val="24"/>
          <w:szCs w:val="24"/>
          <w:lang w:val="ca-ES"/>
        </w:rPr>
      </w:pPr>
    </w:p>
    <w:p w:rsidR="00763868" w:rsidRPr="002F7259" w:rsidRDefault="00763868" w:rsidP="00763868">
      <w:pPr>
        <w:pStyle w:val="TEXTBOLD"/>
        <w:rPr>
          <w:b w:val="0"/>
          <w:sz w:val="24"/>
          <w:lang w:val="ca-ES" w:eastAsia="es-ES"/>
        </w:rPr>
      </w:pPr>
      <w:r w:rsidRPr="002F7259">
        <w:rPr>
          <w:b w:val="0"/>
          <w:sz w:val="24"/>
          <w:lang w:val="ca-ES" w:eastAsia="es-ES"/>
        </w:rPr>
        <w:t xml:space="preserve">Tornant a l’anàlisi de la situació a Catalunya, i </w:t>
      </w:r>
      <w:r w:rsidRPr="002F7259">
        <w:rPr>
          <w:b w:val="0"/>
          <w:sz w:val="24"/>
          <w:u w:val="single"/>
          <w:lang w:val="ca-ES" w:eastAsia="es-ES"/>
        </w:rPr>
        <w:t>segons el sexe</w:t>
      </w:r>
      <w:r w:rsidRPr="002F7259">
        <w:rPr>
          <w:b w:val="0"/>
          <w:sz w:val="24"/>
          <w:lang w:val="ca-ES" w:eastAsia="es-ES"/>
        </w:rPr>
        <w:t xml:space="preserve">, </w:t>
      </w:r>
      <w:proofErr w:type="spellStart"/>
      <w:r>
        <w:rPr>
          <w:b w:val="0"/>
          <w:sz w:val="24"/>
          <w:lang w:val="ca-ES" w:eastAsia="es-ES"/>
        </w:rPr>
        <w:t>interanualment</w:t>
      </w:r>
      <w:proofErr w:type="spellEnd"/>
      <w:r>
        <w:rPr>
          <w:b w:val="0"/>
          <w:sz w:val="24"/>
          <w:lang w:val="ca-ES" w:eastAsia="es-ES"/>
        </w:rPr>
        <w:t xml:space="preserve">, l’atur es redueix més en els homes (-6,74%) amb 11.776 aturats menys que l’any anterior, que en les dones (-3,66%) amb 8.253 aturades menys que l’any anterior. </w:t>
      </w:r>
      <w:r w:rsidRPr="002F7259">
        <w:rPr>
          <w:b w:val="0"/>
          <w:sz w:val="24"/>
          <w:lang w:val="ca-ES" w:eastAsia="es-ES"/>
        </w:rPr>
        <w:t xml:space="preserve"> </w:t>
      </w:r>
    </w:p>
    <w:p w:rsidR="00763868" w:rsidRPr="002F7259" w:rsidRDefault="00763868" w:rsidP="00763868">
      <w:pPr>
        <w:pStyle w:val="TEXTBOLD"/>
        <w:rPr>
          <w:b w:val="0"/>
          <w:color w:val="auto"/>
          <w:sz w:val="24"/>
          <w:szCs w:val="24"/>
          <w:lang w:val="ca-ES"/>
        </w:rPr>
      </w:pPr>
    </w:p>
    <w:p w:rsidR="00763868" w:rsidRPr="00007089" w:rsidRDefault="00763868" w:rsidP="00763868">
      <w:pPr>
        <w:pStyle w:val="TEXTBOLD"/>
        <w:rPr>
          <w:b w:val="0"/>
          <w:sz w:val="24"/>
          <w:lang w:val="ca-ES" w:eastAsia="es-ES"/>
        </w:rPr>
      </w:pPr>
      <w:r w:rsidRPr="00007089">
        <w:rPr>
          <w:b w:val="0"/>
          <w:sz w:val="24"/>
          <w:u w:val="single"/>
          <w:lang w:val="ca-ES" w:eastAsia="es-ES"/>
        </w:rPr>
        <w:t>Per edats</w:t>
      </w:r>
      <w:r w:rsidRPr="00007089">
        <w:rPr>
          <w:b w:val="0"/>
          <w:sz w:val="24"/>
          <w:lang w:val="ca-ES" w:eastAsia="es-ES"/>
        </w:rPr>
        <w:t xml:space="preserve">, l’atur s’ha reduït un </w:t>
      </w:r>
      <w:r>
        <w:rPr>
          <w:b w:val="0"/>
          <w:sz w:val="24"/>
          <w:lang w:val="ca-ES" w:eastAsia="es-ES"/>
        </w:rPr>
        <w:t>0,29</w:t>
      </w:r>
      <w:r w:rsidRPr="00007089">
        <w:rPr>
          <w:b w:val="0"/>
          <w:sz w:val="24"/>
          <w:lang w:val="ca-ES" w:eastAsia="es-ES"/>
        </w:rPr>
        <w:t>% en els menors de 25</w:t>
      </w:r>
      <w:r>
        <w:rPr>
          <w:b w:val="0"/>
          <w:sz w:val="24"/>
          <w:lang w:val="ca-ES" w:eastAsia="es-ES"/>
        </w:rPr>
        <w:t xml:space="preserve"> anys respecte fa un any i un -5,35</w:t>
      </w:r>
      <w:r w:rsidRPr="00007089">
        <w:rPr>
          <w:b w:val="0"/>
          <w:sz w:val="24"/>
          <w:lang w:val="ca-ES" w:eastAsia="es-ES"/>
        </w:rPr>
        <w:t xml:space="preserve">% entre la població de 25 i més anys. </w:t>
      </w:r>
    </w:p>
    <w:p w:rsidR="00763868" w:rsidRPr="002F7259" w:rsidRDefault="00763868" w:rsidP="00763868">
      <w:pPr>
        <w:pStyle w:val="TEXTBOLD"/>
        <w:rPr>
          <w:b w:val="0"/>
          <w:color w:val="FF0000"/>
          <w:sz w:val="24"/>
          <w:szCs w:val="24"/>
          <w:lang w:val="ca-ES"/>
        </w:rPr>
      </w:pPr>
    </w:p>
    <w:p w:rsidR="00763868" w:rsidRPr="002F7259" w:rsidRDefault="00763868" w:rsidP="00763868">
      <w:pPr>
        <w:pStyle w:val="TEXTBOLD"/>
        <w:rPr>
          <w:b w:val="0"/>
          <w:sz w:val="24"/>
          <w:lang w:val="ca-ES" w:eastAsia="es-ES"/>
        </w:rPr>
      </w:pPr>
      <w:r w:rsidRPr="002F7259">
        <w:rPr>
          <w:b w:val="0"/>
          <w:sz w:val="24"/>
          <w:u w:val="single"/>
          <w:lang w:val="ca-ES" w:eastAsia="es-ES"/>
        </w:rPr>
        <w:t>En relació amb els sectors</w:t>
      </w:r>
      <w:r w:rsidRPr="002F7259">
        <w:rPr>
          <w:b w:val="0"/>
          <w:sz w:val="24"/>
          <w:lang w:val="ca-ES" w:eastAsia="es-ES"/>
        </w:rPr>
        <w:t xml:space="preserve">, </w:t>
      </w:r>
      <w:r>
        <w:rPr>
          <w:b w:val="0"/>
          <w:sz w:val="24"/>
          <w:lang w:val="ca-ES" w:eastAsia="es-ES"/>
        </w:rPr>
        <w:t xml:space="preserve">el major descens interanual es produeix en l’agricultura (-14,95%), seguit de la construcció (-12,53%), la indústria (-9,26%) i per últim el sector serveis (-2,94%). </w:t>
      </w:r>
    </w:p>
    <w:p w:rsidR="00763868" w:rsidRPr="002F7259" w:rsidRDefault="00763868" w:rsidP="00763868">
      <w:pPr>
        <w:pStyle w:val="TEXTBOLD"/>
        <w:rPr>
          <w:b w:val="0"/>
          <w:color w:val="FF0000"/>
          <w:sz w:val="24"/>
          <w:szCs w:val="24"/>
          <w:lang w:val="ca-ES"/>
        </w:rPr>
      </w:pPr>
    </w:p>
    <w:p w:rsidR="00763868" w:rsidRPr="002F7259" w:rsidRDefault="00763868" w:rsidP="00763868">
      <w:pPr>
        <w:pStyle w:val="TEXTBOLD"/>
        <w:jc w:val="center"/>
        <w:rPr>
          <w:b w:val="0"/>
          <w:color w:val="FF0000"/>
          <w:lang w:val="ca-ES"/>
        </w:rPr>
      </w:pPr>
      <w:r>
        <w:rPr>
          <w:noProof/>
          <w:lang w:val="es-ES" w:eastAsia="es-ES"/>
        </w:rPr>
        <w:drawing>
          <wp:inline distT="0" distB="0" distL="0" distR="0" wp14:anchorId="3FA1E7D0" wp14:editId="4146FECA">
            <wp:extent cx="5275792" cy="2689225"/>
            <wp:effectExtent l="0" t="0" r="20320" b="15875"/>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3868" w:rsidRPr="002F7259" w:rsidRDefault="00763868" w:rsidP="00763868">
      <w:pPr>
        <w:pStyle w:val="TEXTBOLD"/>
        <w:jc w:val="center"/>
        <w:rPr>
          <w:b w:val="0"/>
          <w:sz w:val="20"/>
          <w:szCs w:val="20"/>
          <w:lang w:val="ca-ES"/>
        </w:rPr>
      </w:pPr>
      <w:r w:rsidRPr="002F7259">
        <w:rPr>
          <w:b w:val="0"/>
          <w:sz w:val="18"/>
          <w:szCs w:val="20"/>
          <w:lang w:val="ca-ES"/>
        </w:rPr>
        <w:t xml:space="preserve">Font: Elaboració pròpia a partir de les dades de l’Observatori </w:t>
      </w:r>
      <w:r>
        <w:rPr>
          <w:b w:val="0"/>
          <w:sz w:val="18"/>
          <w:szCs w:val="20"/>
          <w:lang w:val="ca-ES"/>
        </w:rPr>
        <w:t>del Treball i Model Productiu.</w:t>
      </w:r>
    </w:p>
    <w:p w:rsidR="00763868" w:rsidRPr="002F7259" w:rsidRDefault="00763868" w:rsidP="00763868">
      <w:pPr>
        <w:pStyle w:val="TEXTBOLD"/>
        <w:rPr>
          <w:b w:val="0"/>
          <w:color w:val="FF0000"/>
          <w:sz w:val="24"/>
          <w:lang w:val="ca-ES"/>
        </w:rPr>
      </w:pPr>
    </w:p>
    <w:p w:rsidR="00763868" w:rsidRPr="002F7259" w:rsidRDefault="00763868" w:rsidP="00763868">
      <w:pPr>
        <w:pStyle w:val="TEXTBOLD"/>
        <w:rPr>
          <w:b w:val="0"/>
          <w:color w:val="FF0000"/>
          <w:sz w:val="24"/>
          <w:szCs w:val="24"/>
          <w:u w:val="single"/>
          <w:lang w:val="ca-ES"/>
        </w:rPr>
      </w:pPr>
    </w:p>
    <w:p w:rsidR="00763868" w:rsidRDefault="00763868" w:rsidP="00763868">
      <w:pPr>
        <w:pStyle w:val="TEXTBOLD"/>
        <w:rPr>
          <w:b w:val="0"/>
          <w:sz w:val="24"/>
          <w:lang w:val="ca-ES" w:eastAsia="es-ES"/>
        </w:rPr>
      </w:pPr>
      <w:r w:rsidRPr="00007089">
        <w:rPr>
          <w:b w:val="0"/>
          <w:sz w:val="24"/>
          <w:u w:val="single"/>
          <w:lang w:val="ca-ES" w:eastAsia="es-ES"/>
        </w:rPr>
        <w:t>En funció de la durada de la demanda,</w:t>
      </w:r>
      <w:r w:rsidRPr="00007089">
        <w:rPr>
          <w:b w:val="0"/>
          <w:sz w:val="24"/>
          <w:lang w:val="ca-ES" w:eastAsia="es-ES"/>
        </w:rPr>
        <w:t xml:space="preserve"> trobem que del total d’atur </w:t>
      </w:r>
      <w:r>
        <w:rPr>
          <w:b w:val="0"/>
          <w:sz w:val="24"/>
          <w:lang w:val="ca-ES" w:eastAsia="es-ES"/>
        </w:rPr>
        <w:t>registrat a Catalunya, el  44,84</w:t>
      </w:r>
      <w:r w:rsidRPr="00007089">
        <w:rPr>
          <w:b w:val="0"/>
          <w:sz w:val="24"/>
          <w:lang w:val="ca-ES" w:eastAsia="es-ES"/>
        </w:rPr>
        <w:t xml:space="preserve">% d’aturats, porten fins a 6 mesos a l’atur, el </w:t>
      </w:r>
      <w:r>
        <w:rPr>
          <w:b w:val="0"/>
          <w:sz w:val="24"/>
          <w:lang w:val="ca-ES" w:eastAsia="es-ES"/>
        </w:rPr>
        <w:t>15,12</w:t>
      </w:r>
      <w:r w:rsidRPr="00007089">
        <w:rPr>
          <w:b w:val="0"/>
          <w:sz w:val="24"/>
          <w:lang w:val="ca-ES" w:eastAsia="es-ES"/>
        </w:rPr>
        <w:t xml:space="preserve">% fa entre 6 i 12 mesos que es troben a l’atur, i el </w:t>
      </w:r>
      <w:r>
        <w:rPr>
          <w:b w:val="0"/>
          <w:sz w:val="24"/>
          <w:lang w:val="ca-ES" w:eastAsia="es-ES"/>
        </w:rPr>
        <w:t>40,03</w:t>
      </w:r>
      <w:r w:rsidRPr="00007089">
        <w:rPr>
          <w:b w:val="0"/>
          <w:sz w:val="24"/>
          <w:lang w:val="ca-ES" w:eastAsia="es-ES"/>
        </w:rPr>
        <w:t xml:space="preserve">% restant, fa més de 12 mesos.  </w:t>
      </w:r>
    </w:p>
    <w:p w:rsidR="00763868" w:rsidRDefault="00763868" w:rsidP="00763868">
      <w:pPr>
        <w:pStyle w:val="TEXTBOLD"/>
        <w:rPr>
          <w:b w:val="0"/>
          <w:sz w:val="24"/>
          <w:lang w:val="ca-ES" w:eastAsia="es-ES"/>
        </w:rPr>
      </w:pPr>
    </w:p>
    <w:p w:rsidR="00763868" w:rsidRDefault="00763868" w:rsidP="00763868">
      <w:pPr>
        <w:pStyle w:val="TEXTBOLD"/>
        <w:rPr>
          <w:b w:val="0"/>
          <w:sz w:val="24"/>
          <w:lang w:val="ca-ES" w:eastAsia="es-ES"/>
        </w:rPr>
      </w:pPr>
      <w:proofErr w:type="spellStart"/>
      <w:r>
        <w:rPr>
          <w:b w:val="0"/>
          <w:sz w:val="24"/>
          <w:lang w:val="ca-ES" w:eastAsia="es-ES"/>
        </w:rPr>
        <w:t>Inteanualment</w:t>
      </w:r>
      <w:proofErr w:type="spellEnd"/>
      <w:r>
        <w:rPr>
          <w:b w:val="0"/>
          <w:sz w:val="24"/>
          <w:lang w:val="ca-ES" w:eastAsia="es-ES"/>
        </w:rPr>
        <w:t xml:space="preserve">, s’ha reduït un -9,6% els aturats de més de 12 mesos, un -2,9% els aturats de fins a 6 mesos i un -0,6% els aturats de 6 a 12 mesos. </w:t>
      </w:r>
    </w:p>
    <w:p w:rsidR="00763868" w:rsidRDefault="00763868" w:rsidP="00763868">
      <w:pPr>
        <w:pStyle w:val="TEXTBOLD"/>
        <w:rPr>
          <w:b w:val="0"/>
          <w:sz w:val="24"/>
          <w:lang w:val="ca-ES" w:eastAsia="es-ES"/>
        </w:rPr>
      </w:pPr>
    </w:p>
    <w:p w:rsidR="00763868" w:rsidRDefault="00763868" w:rsidP="00763868">
      <w:pPr>
        <w:pStyle w:val="TEXTBOLD"/>
        <w:rPr>
          <w:b w:val="0"/>
          <w:sz w:val="24"/>
          <w:lang w:val="ca-ES" w:eastAsia="es-ES"/>
        </w:rPr>
      </w:pPr>
    </w:p>
    <w:p w:rsidR="00763868" w:rsidRPr="002F7259" w:rsidRDefault="00763868" w:rsidP="00763868">
      <w:pPr>
        <w:pStyle w:val="TEXTBOLD"/>
        <w:jc w:val="center"/>
        <w:rPr>
          <w:b w:val="0"/>
          <w:color w:val="FF0000"/>
          <w:lang w:val="ca-ES"/>
        </w:rPr>
      </w:pPr>
      <w:r>
        <w:rPr>
          <w:noProof/>
          <w:lang w:val="es-ES" w:eastAsia="es-ES"/>
        </w:rPr>
        <w:drawing>
          <wp:inline distT="0" distB="0" distL="0" distR="0" wp14:anchorId="5BA95842" wp14:editId="0AABC3C1">
            <wp:extent cx="4588098" cy="2702953"/>
            <wp:effectExtent l="0" t="0" r="22225" b="2159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3868" w:rsidRPr="002F7259" w:rsidRDefault="00763868" w:rsidP="00763868">
      <w:pPr>
        <w:pStyle w:val="TEXTBOLD"/>
        <w:jc w:val="center"/>
        <w:rPr>
          <w:b w:val="0"/>
          <w:sz w:val="20"/>
          <w:szCs w:val="20"/>
          <w:lang w:val="ca-ES"/>
        </w:rPr>
      </w:pPr>
      <w:r w:rsidRPr="002F7259">
        <w:rPr>
          <w:b w:val="0"/>
          <w:sz w:val="18"/>
          <w:szCs w:val="20"/>
          <w:lang w:val="ca-ES"/>
        </w:rPr>
        <w:t xml:space="preserve">Font: Elaboració pròpia a partir de les dades de l’Observatori </w:t>
      </w:r>
      <w:r>
        <w:rPr>
          <w:b w:val="0"/>
          <w:sz w:val="18"/>
          <w:szCs w:val="20"/>
          <w:lang w:val="ca-ES"/>
        </w:rPr>
        <w:t>del Treball i Model Productiu.</w:t>
      </w:r>
    </w:p>
    <w:p w:rsidR="00763868" w:rsidRDefault="00763868" w:rsidP="00763868">
      <w:pPr>
        <w:pStyle w:val="TEXTBOLD"/>
        <w:rPr>
          <w:b w:val="0"/>
          <w:sz w:val="24"/>
          <w:u w:val="single"/>
          <w:lang w:val="ca-ES" w:eastAsia="es-ES"/>
        </w:rPr>
      </w:pPr>
    </w:p>
    <w:p w:rsidR="00763868" w:rsidRDefault="00763868" w:rsidP="00763868">
      <w:pPr>
        <w:pStyle w:val="TEXTBOLD"/>
        <w:rPr>
          <w:b w:val="0"/>
          <w:sz w:val="24"/>
          <w:lang w:val="ca-ES" w:eastAsia="es-ES"/>
        </w:rPr>
      </w:pPr>
      <w:r w:rsidRPr="002F7259">
        <w:rPr>
          <w:b w:val="0"/>
          <w:sz w:val="24"/>
          <w:u w:val="single"/>
          <w:lang w:val="ca-ES" w:eastAsia="es-ES"/>
        </w:rPr>
        <w:t>Segons l’àmbit territorial,</w:t>
      </w:r>
      <w:r>
        <w:rPr>
          <w:sz w:val="24"/>
          <w:lang w:val="ca-ES" w:eastAsia="es-ES"/>
        </w:rPr>
        <w:t xml:space="preserve"> </w:t>
      </w:r>
      <w:proofErr w:type="spellStart"/>
      <w:r>
        <w:rPr>
          <w:b w:val="0"/>
          <w:sz w:val="24"/>
          <w:lang w:val="ca-ES" w:eastAsia="es-ES"/>
        </w:rPr>
        <w:t>interanualment</w:t>
      </w:r>
      <w:proofErr w:type="spellEnd"/>
      <w:r w:rsidRPr="002F7259">
        <w:rPr>
          <w:b w:val="0"/>
          <w:color w:val="FF0000"/>
          <w:sz w:val="24"/>
          <w:szCs w:val="24"/>
          <w:lang w:val="ca-ES"/>
        </w:rPr>
        <w:t xml:space="preserve"> </w:t>
      </w:r>
      <w:r w:rsidRPr="002F7259">
        <w:rPr>
          <w:b w:val="0"/>
          <w:sz w:val="24"/>
          <w:lang w:val="ca-ES" w:eastAsia="es-ES"/>
        </w:rPr>
        <w:t xml:space="preserve">l’atur es redueix a </w:t>
      </w:r>
      <w:r>
        <w:rPr>
          <w:sz w:val="24"/>
          <w:lang w:val="ca-ES" w:eastAsia="es-ES"/>
        </w:rPr>
        <w:t xml:space="preserve">Barcelona </w:t>
      </w:r>
      <w:r>
        <w:rPr>
          <w:b w:val="0"/>
          <w:sz w:val="24"/>
          <w:lang w:val="ca-ES" w:eastAsia="es-ES"/>
        </w:rPr>
        <w:t xml:space="preserve">un -5,33% amb 15.830 aturats menys i la xifra total d’aturats se situa en 281.406 persones.  A </w:t>
      </w:r>
      <w:r>
        <w:rPr>
          <w:sz w:val="24"/>
          <w:lang w:val="ca-ES" w:eastAsia="es-ES"/>
        </w:rPr>
        <w:t>Girona</w:t>
      </w:r>
      <w:r>
        <w:rPr>
          <w:b w:val="0"/>
          <w:sz w:val="24"/>
          <w:lang w:val="ca-ES" w:eastAsia="es-ES"/>
        </w:rPr>
        <w:t xml:space="preserve"> hi ha 34.750 aturats el que suposa una reducció interanual de 1.693 aturats (-4,65%).  A </w:t>
      </w:r>
      <w:r>
        <w:rPr>
          <w:sz w:val="24"/>
          <w:lang w:val="ca-ES" w:eastAsia="es-ES"/>
        </w:rPr>
        <w:t>Lleida</w:t>
      </w:r>
      <w:r>
        <w:rPr>
          <w:b w:val="0"/>
          <w:sz w:val="24"/>
          <w:lang w:val="ca-ES" w:eastAsia="es-ES"/>
        </w:rPr>
        <w:t xml:space="preserve"> l’atur registrat ha augmentat en un 1,43% respecte l’any anterior (273 aturats) i el total d’aturats se situa en 19.417 persones. Per últim, a </w:t>
      </w:r>
      <w:r>
        <w:rPr>
          <w:sz w:val="24"/>
          <w:lang w:val="ca-ES" w:eastAsia="es-ES"/>
        </w:rPr>
        <w:t>Tarragona</w:t>
      </w:r>
      <w:r>
        <w:rPr>
          <w:b w:val="0"/>
          <w:sz w:val="24"/>
          <w:lang w:val="ca-ES" w:eastAsia="es-ES"/>
        </w:rPr>
        <w:t>, hi ha 47.550 aturats, 2.779 menys que l’any anterior (-5,84%)</w:t>
      </w:r>
      <w:r w:rsidR="008B44A1">
        <w:rPr>
          <w:b w:val="0"/>
          <w:sz w:val="24"/>
          <w:lang w:val="ca-ES" w:eastAsia="es-ES"/>
        </w:rPr>
        <w:t>.</w:t>
      </w:r>
    </w:p>
    <w:p w:rsidR="008B44A1" w:rsidRPr="002C4E36" w:rsidRDefault="008B44A1" w:rsidP="00763868">
      <w:pPr>
        <w:pStyle w:val="TEXTBOLD"/>
        <w:rPr>
          <w:b w:val="0"/>
          <w:sz w:val="24"/>
          <w:lang w:val="ca-ES" w:eastAsia="es-ES"/>
        </w:rPr>
      </w:pPr>
    </w:p>
    <w:p w:rsidR="00B56BA9" w:rsidRPr="003171F9" w:rsidRDefault="00B56BA9" w:rsidP="00C32619">
      <w:pPr>
        <w:pStyle w:val="TEXTBOLD"/>
        <w:numPr>
          <w:ilvl w:val="2"/>
          <w:numId w:val="7"/>
        </w:numPr>
        <w:spacing w:line="276" w:lineRule="auto"/>
        <w:rPr>
          <w:rFonts w:cs="Times New Roman"/>
          <w:color w:val="C1002B"/>
          <w:sz w:val="24"/>
          <w:szCs w:val="24"/>
          <w:lang w:val="ca-ES" w:eastAsia="en-US"/>
        </w:rPr>
      </w:pPr>
      <w:bookmarkStart w:id="4" w:name="Enquesta"/>
      <w:r w:rsidRPr="003171F9">
        <w:rPr>
          <w:rFonts w:cs="Times New Roman"/>
          <w:color w:val="C1002B"/>
          <w:sz w:val="24"/>
          <w:szCs w:val="24"/>
          <w:lang w:val="ca-ES" w:eastAsia="en-US"/>
        </w:rPr>
        <w:t xml:space="preserve">Enquesta de Població Activa. </w:t>
      </w:r>
    </w:p>
    <w:bookmarkEnd w:id="4"/>
    <w:p w:rsidR="00B56BA9" w:rsidRPr="003171F9" w:rsidRDefault="00B56BA9" w:rsidP="00B56BA9">
      <w:pPr>
        <w:pStyle w:val="TEXTBOLD"/>
        <w:spacing w:line="276" w:lineRule="auto"/>
        <w:rPr>
          <w:b w:val="0"/>
          <w:sz w:val="24"/>
          <w:szCs w:val="24"/>
          <w:lang w:val="ca-ES"/>
        </w:rPr>
      </w:pPr>
    </w:p>
    <w:p w:rsidR="00767D0B" w:rsidRPr="003171F9" w:rsidRDefault="00767D0B" w:rsidP="00767D0B">
      <w:pPr>
        <w:pStyle w:val="TEXTBOLD"/>
        <w:spacing w:line="276" w:lineRule="auto"/>
        <w:rPr>
          <w:b w:val="0"/>
          <w:sz w:val="24"/>
          <w:lang w:val="ca-ES" w:eastAsia="es-ES"/>
        </w:rPr>
      </w:pPr>
      <w:r w:rsidRPr="003171F9">
        <w:rPr>
          <w:b w:val="0"/>
          <w:sz w:val="24"/>
          <w:lang w:val="ca-ES" w:eastAsia="es-ES"/>
        </w:rPr>
        <w:t xml:space="preserve">L'Enquesta de Població Activa del </w:t>
      </w:r>
      <w:r>
        <w:rPr>
          <w:b w:val="0"/>
          <w:sz w:val="24"/>
          <w:lang w:val="ca-ES" w:eastAsia="es-ES"/>
        </w:rPr>
        <w:t>2on</w:t>
      </w:r>
      <w:r w:rsidRPr="003171F9">
        <w:rPr>
          <w:b w:val="0"/>
          <w:sz w:val="24"/>
          <w:lang w:val="ca-ES" w:eastAsia="es-ES"/>
        </w:rPr>
        <w:t xml:space="preserve"> Trimestre de</w:t>
      </w:r>
      <w:r>
        <w:rPr>
          <w:b w:val="0"/>
          <w:sz w:val="24"/>
          <w:lang w:val="ca-ES" w:eastAsia="es-ES"/>
        </w:rPr>
        <w:t xml:space="preserve"> 2018 </w:t>
      </w:r>
      <w:r w:rsidRPr="003171F9">
        <w:rPr>
          <w:b w:val="0"/>
          <w:sz w:val="24"/>
          <w:lang w:val="ca-ES" w:eastAsia="es-ES"/>
        </w:rPr>
        <w:t xml:space="preserve">va situar la taxa d'atur a Catalunya en un </w:t>
      </w:r>
      <w:r>
        <w:rPr>
          <w:b w:val="0"/>
          <w:sz w:val="24"/>
          <w:lang w:val="ca-ES" w:eastAsia="es-ES"/>
        </w:rPr>
        <w:t>11,4</w:t>
      </w:r>
      <w:r w:rsidRPr="003171F9">
        <w:rPr>
          <w:b w:val="0"/>
          <w:sz w:val="24"/>
          <w:lang w:val="ca-ES" w:eastAsia="es-ES"/>
        </w:rPr>
        <w:t>% (</w:t>
      </w:r>
      <w:r>
        <w:rPr>
          <w:b w:val="0"/>
          <w:sz w:val="24"/>
          <w:lang w:val="ca-ES" w:eastAsia="es-ES"/>
        </w:rPr>
        <w:t>0,8</w:t>
      </w:r>
      <w:r w:rsidRPr="003171F9">
        <w:rPr>
          <w:b w:val="0"/>
          <w:sz w:val="24"/>
          <w:lang w:val="ca-ES" w:eastAsia="es-ES"/>
        </w:rPr>
        <w:t xml:space="preserve"> punts </w:t>
      </w:r>
      <w:r>
        <w:rPr>
          <w:b w:val="0"/>
          <w:sz w:val="24"/>
          <w:lang w:val="ca-ES" w:eastAsia="es-ES"/>
        </w:rPr>
        <w:t>menys</w:t>
      </w:r>
      <w:r w:rsidRPr="003171F9">
        <w:rPr>
          <w:b w:val="0"/>
          <w:sz w:val="24"/>
          <w:lang w:val="ca-ES" w:eastAsia="es-ES"/>
        </w:rPr>
        <w:t xml:space="preserve"> que el trimestre anterior, que va ser del </w:t>
      </w:r>
      <w:r>
        <w:rPr>
          <w:b w:val="0"/>
          <w:sz w:val="24"/>
          <w:lang w:val="ca-ES" w:eastAsia="es-ES"/>
        </w:rPr>
        <w:t>12,19</w:t>
      </w:r>
      <w:r w:rsidRPr="003171F9">
        <w:rPr>
          <w:b w:val="0"/>
          <w:sz w:val="24"/>
          <w:lang w:val="ca-ES" w:eastAsia="es-ES"/>
        </w:rPr>
        <w:t>%), situant</w:t>
      </w:r>
      <w:r>
        <w:rPr>
          <w:b w:val="0"/>
          <w:sz w:val="24"/>
          <w:lang w:val="ca-ES" w:eastAsia="es-ES"/>
        </w:rPr>
        <w:t>-se</w:t>
      </w:r>
      <w:r w:rsidRPr="003171F9">
        <w:rPr>
          <w:b w:val="0"/>
          <w:sz w:val="24"/>
          <w:lang w:val="ca-ES" w:eastAsia="es-ES"/>
        </w:rPr>
        <w:t xml:space="preserve"> </w:t>
      </w:r>
      <w:r>
        <w:rPr>
          <w:b w:val="0"/>
          <w:sz w:val="24"/>
          <w:lang w:val="ca-ES" w:eastAsia="es-ES"/>
        </w:rPr>
        <w:t xml:space="preserve">en valors del quart trimestre de 2008, sent </w:t>
      </w:r>
      <w:r w:rsidRPr="003171F9">
        <w:rPr>
          <w:b w:val="0"/>
          <w:sz w:val="24"/>
          <w:lang w:val="ca-ES" w:eastAsia="es-ES"/>
        </w:rPr>
        <w:t xml:space="preserve">el nombre total d'aturats </w:t>
      </w:r>
      <w:r w:rsidR="0014223B">
        <w:rPr>
          <w:b w:val="0"/>
          <w:sz w:val="24"/>
          <w:lang w:val="ca-ES" w:eastAsia="es-ES"/>
        </w:rPr>
        <w:t>de</w:t>
      </w:r>
      <w:r w:rsidRPr="003171F9">
        <w:rPr>
          <w:b w:val="0"/>
          <w:sz w:val="24"/>
          <w:lang w:val="ca-ES" w:eastAsia="es-ES"/>
        </w:rPr>
        <w:t xml:space="preserve"> </w:t>
      </w:r>
      <w:r>
        <w:rPr>
          <w:b w:val="0"/>
          <w:sz w:val="24"/>
          <w:lang w:val="ca-ES" w:eastAsia="es-ES"/>
        </w:rPr>
        <w:t>432.000</w:t>
      </w:r>
      <w:r w:rsidRPr="003171F9">
        <w:rPr>
          <w:b w:val="0"/>
          <w:sz w:val="24"/>
          <w:lang w:val="ca-ES" w:eastAsia="es-ES"/>
        </w:rPr>
        <w:t xml:space="preserve"> persones. Les dades exposades per l'INE, suposen un </w:t>
      </w:r>
      <w:r>
        <w:rPr>
          <w:b w:val="0"/>
          <w:sz w:val="24"/>
          <w:lang w:val="ca-ES" w:eastAsia="es-ES"/>
        </w:rPr>
        <w:t>descens</w:t>
      </w:r>
      <w:r w:rsidRPr="003171F9">
        <w:rPr>
          <w:b w:val="0"/>
          <w:sz w:val="24"/>
          <w:lang w:val="ca-ES" w:eastAsia="es-ES"/>
        </w:rPr>
        <w:t xml:space="preserve"> del nombre d'aturats en </w:t>
      </w:r>
      <w:r>
        <w:rPr>
          <w:b w:val="0"/>
          <w:sz w:val="24"/>
          <w:lang w:val="ca-ES" w:eastAsia="es-ES"/>
        </w:rPr>
        <w:t xml:space="preserve">26.700 </w:t>
      </w:r>
      <w:r w:rsidRPr="003171F9">
        <w:rPr>
          <w:b w:val="0"/>
          <w:sz w:val="24"/>
          <w:lang w:val="ca-ES" w:eastAsia="es-ES"/>
        </w:rPr>
        <w:t>persones re</w:t>
      </w:r>
      <w:r>
        <w:rPr>
          <w:b w:val="0"/>
          <w:sz w:val="24"/>
          <w:lang w:val="ca-ES" w:eastAsia="es-ES"/>
        </w:rPr>
        <w:t>specte del trimestre anterior (-5,8</w:t>
      </w:r>
      <w:r w:rsidRPr="003171F9">
        <w:rPr>
          <w:b w:val="0"/>
          <w:sz w:val="24"/>
          <w:lang w:val="ca-ES" w:eastAsia="es-ES"/>
        </w:rPr>
        <w:t>%), i en relació amb e</w:t>
      </w:r>
      <w:r>
        <w:rPr>
          <w:b w:val="0"/>
          <w:sz w:val="24"/>
          <w:lang w:val="ca-ES" w:eastAsia="es-ES"/>
        </w:rPr>
        <w:t>l mateix trimestre de l'any 2017</w:t>
      </w:r>
      <w:r w:rsidRPr="003171F9">
        <w:rPr>
          <w:b w:val="0"/>
          <w:sz w:val="24"/>
          <w:lang w:val="ca-ES" w:eastAsia="es-ES"/>
        </w:rPr>
        <w:t xml:space="preserve">, hi ha hagut un descens de </w:t>
      </w:r>
      <w:r>
        <w:rPr>
          <w:b w:val="0"/>
          <w:sz w:val="24"/>
          <w:lang w:val="ca-ES" w:eastAsia="es-ES"/>
        </w:rPr>
        <w:t>65.500</w:t>
      </w:r>
      <w:r w:rsidRPr="003171F9">
        <w:rPr>
          <w:b w:val="0"/>
          <w:sz w:val="24"/>
          <w:lang w:val="ca-ES" w:eastAsia="es-ES"/>
        </w:rPr>
        <w:t xml:space="preserve"> aturats (-</w:t>
      </w:r>
      <w:r>
        <w:rPr>
          <w:b w:val="0"/>
          <w:sz w:val="24"/>
          <w:lang w:val="ca-ES" w:eastAsia="es-ES"/>
        </w:rPr>
        <w:t>13,1</w:t>
      </w:r>
      <w:r w:rsidRPr="003171F9">
        <w:rPr>
          <w:b w:val="0"/>
          <w:sz w:val="24"/>
          <w:lang w:val="ca-ES" w:eastAsia="es-ES"/>
        </w:rPr>
        <w:t>%). Així mateix, el n</w:t>
      </w:r>
      <w:r>
        <w:rPr>
          <w:b w:val="0"/>
          <w:sz w:val="24"/>
          <w:lang w:val="ca-ES" w:eastAsia="es-ES"/>
        </w:rPr>
        <w:t xml:space="preserve">ombre d'ocupats ha augmentat en 57.200 </w:t>
      </w:r>
      <w:r w:rsidRPr="003171F9">
        <w:rPr>
          <w:b w:val="0"/>
          <w:sz w:val="24"/>
          <w:lang w:val="ca-ES" w:eastAsia="es-ES"/>
        </w:rPr>
        <w:t>persones (</w:t>
      </w:r>
      <w:r>
        <w:rPr>
          <w:b w:val="0"/>
          <w:sz w:val="24"/>
          <w:lang w:val="ca-ES" w:eastAsia="es-ES"/>
        </w:rPr>
        <w:t>1,7</w:t>
      </w:r>
      <w:r w:rsidRPr="003171F9">
        <w:rPr>
          <w:b w:val="0"/>
          <w:sz w:val="24"/>
          <w:lang w:val="ca-ES" w:eastAsia="es-ES"/>
        </w:rPr>
        <w:t xml:space="preserve">%) respecte </w:t>
      </w:r>
      <w:r>
        <w:rPr>
          <w:b w:val="0"/>
          <w:sz w:val="24"/>
          <w:lang w:val="ca-ES" w:eastAsia="es-ES"/>
        </w:rPr>
        <w:t xml:space="preserve">al trimestre anterior i </w:t>
      </w:r>
      <w:r w:rsidRPr="003171F9">
        <w:rPr>
          <w:b w:val="0"/>
          <w:sz w:val="24"/>
          <w:lang w:val="ca-ES" w:eastAsia="es-ES"/>
        </w:rPr>
        <w:t xml:space="preserve">en </w:t>
      </w:r>
      <w:r>
        <w:rPr>
          <w:b w:val="0"/>
          <w:sz w:val="24"/>
          <w:lang w:val="ca-ES" w:eastAsia="es-ES"/>
        </w:rPr>
        <w:t>89.900</w:t>
      </w:r>
      <w:r w:rsidRPr="003171F9">
        <w:rPr>
          <w:b w:val="0"/>
          <w:sz w:val="24"/>
          <w:lang w:val="ca-ES" w:eastAsia="es-ES"/>
        </w:rPr>
        <w:t xml:space="preserve"> person</w:t>
      </w:r>
      <w:r>
        <w:rPr>
          <w:b w:val="0"/>
          <w:sz w:val="24"/>
          <w:lang w:val="ca-ES" w:eastAsia="es-ES"/>
        </w:rPr>
        <w:t>es respecte a l'any anterior (2,7</w:t>
      </w:r>
      <w:r w:rsidRPr="003171F9">
        <w:rPr>
          <w:b w:val="0"/>
          <w:sz w:val="24"/>
          <w:lang w:val="ca-ES" w:eastAsia="es-ES"/>
        </w:rPr>
        <w:t>%).</w:t>
      </w:r>
    </w:p>
    <w:p w:rsidR="00767D0B" w:rsidRPr="003171F9" w:rsidRDefault="00767D0B" w:rsidP="00767D0B">
      <w:pPr>
        <w:pStyle w:val="TEXTBOLD"/>
        <w:spacing w:line="276" w:lineRule="auto"/>
        <w:rPr>
          <w:b w:val="0"/>
          <w:sz w:val="24"/>
          <w:lang w:val="ca-ES" w:eastAsia="es-ES"/>
        </w:rPr>
      </w:pPr>
    </w:p>
    <w:p w:rsidR="00767D0B" w:rsidRPr="00647AED" w:rsidRDefault="00767D0B" w:rsidP="00767D0B">
      <w:pPr>
        <w:pStyle w:val="TEXTBOLD"/>
        <w:spacing w:line="276" w:lineRule="auto"/>
        <w:jc w:val="center"/>
        <w:rPr>
          <w:rFonts w:cs="Times New Roman"/>
          <w:color w:val="C00000"/>
          <w:sz w:val="28"/>
          <w:szCs w:val="24"/>
          <w:lang w:val="ca-ES" w:eastAsia="en-US"/>
        </w:rPr>
      </w:pPr>
      <w:r w:rsidRPr="00647AED">
        <w:rPr>
          <w:rFonts w:cs="Times New Roman"/>
          <w:color w:val="C00000"/>
          <w:sz w:val="28"/>
          <w:szCs w:val="24"/>
          <w:lang w:val="ca-ES" w:eastAsia="en-US"/>
        </w:rPr>
        <w:t>Evolució taxa d’atur 2007-2018</w:t>
      </w:r>
    </w:p>
    <w:p w:rsidR="00767D0B" w:rsidRPr="003171F9" w:rsidRDefault="00445415" w:rsidP="00767D0B">
      <w:pPr>
        <w:pStyle w:val="TEXTBOLD"/>
        <w:spacing w:line="276" w:lineRule="auto"/>
        <w:jc w:val="center"/>
        <w:rPr>
          <w:b w:val="0"/>
          <w:color w:val="FF0000"/>
          <w:lang w:val="ca-ES"/>
        </w:rPr>
      </w:pPr>
      <w:r>
        <w:rPr>
          <w:noProof/>
          <w:lang w:val="es-ES" w:eastAsia="es-ES"/>
        </w:rPr>
        <w:drawing>
          <wp:inline distT="0" distB="0" distL="0" distR="0" wp14:anchorId="61A77705" wp14:editId="4A336523">
            <wp:extent cx="6245524" cy="2441276"/>
            <wp:effectExtent l="0" t="0" r="22225" b="16510"/>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7D0B" w:rsidRPr="003171F9" w:rsidRDefault="00767D0B" w:rsidP="00767D0B">
      <w:pPr>
        <w:pStyle w:val="TEXTBOLD"/>
        <w:spacing w:line="276" w:lineRule="auto"/>
        <w:jc w:val="center"/>
        <w:rPr>
          <w:b w:val="0"/>
          <w:color w:val="FF0000"/>
          <w:sz w:val="20"/>
          <w:szCs w:val="24"/>
          <w:lang w:val="ca-ES"/>
        </w:rPr>
      </w:pPr>
      <w:r w:rsidRPr="003171F9">
        <w:rPr>
          <w:b w:val="0"/>
          <w:sz w:val="18"/>
          <w:lang w:val="ca-ES" w:eastAsia="es-ES"/>
        </w:rPr>
        <w:t>Font: Elaboració pròpia a partir de les dades de l’INE</w:t>
      </w:r>
      <w:r w:rsidRPr="00805215">
        <w:rPr>
          <w:b w:val="0"/>
          <w:sz w:val="18"/>
          <w:lang w:val="ca-ES" w:eastAsia="es-ES"/>
        </w:rPr>
        <w:t>.</w:t>
      </w:r>
    </w:p>
    <w:p w:rsidR="00767D0B" w:rsidRDefault="00767D0B" w:rsidP="00767D0B">
      <w:pPr>
        <w:pStyle w:val="TEXTBOLD"/>
        <w:spacing w:line="276" w:lineRule="auto"/>
        <w:rPr>
          <w:b w:val="0"/>
          <w:sz w:val="24"/>
          <w:lang w:val="ca-ES" w:eastAsia="es-ES"/>
        </w:rPr>
      </w:pPr>
    </w:p>
    <w:p w:rsidR="00767D0B" w:rsidRPr="004B7ED8" w:rsidRDefault="00767D0B" w:rsidP="00767D0B">
      <w:pPr>
        <w:pStyle w:val="TEXTBOLD"/>
        <w:spacing w:line="276" w:lineRule="auto"/>
        <w:rPr>
          <w:b w:val="0"/>
          <w:sz w:val="24"/>
          <w:lang w:val="ca-ES" w:eastAsia="es-ES"/>
        </w:rPr>
      </w:pPr>
      <w:r>
        <w:rPr>
          <w:b w:val="0"/>
          <w:sz w:val="24"/>
          <w:u w:val="single"/>
          <w:lang w:val="ca-ES" w:eastAsia="es-ES"/>
        </w:rPr>
        <w:t>A Espanya</w:t>
      </w:r>
      <w:r w:rsidRPr="004B7ED8">
        <w:rPr>
          <w:b w:val="0"/>
          <w:sz w:val="24"/>
          <w:u w:val="single"/>
          <w:lang w:val="ca-ES" w:eastAsia="es-ES"/>
        </w:rPr>
        <w:t>,</w:t>
      </w:r>
      <w:r>
        <w:rPr>
          <w:b w:val="0"/>
          <w:sz w:val="24"/>
          <w:lang w:val="ca-ES" w:eastAsia="es-ES"/>
        </w:rPr>
        <w:t xml:space="preserve"> </w:t>
      </w:r>
      <w:r w:rsidRPr="004B7ED8">
        <w:rPr>
          <w:b w:val="0"/>
          <w:sz w:val="24"/>
          <w:lang w:val="ca-ES" w:eastAsia="es-ES"/>
        </w:rPr>
        <w:t xml:space="preserve">el nombre d'aturats se situa </w:t>
      </w:r>
      <w:r>
        <w:rPr>
          <w:b w:val="0"/>
          <w:sz w:val="24"/>
          <w:lang w:val="ca-ES" w:eastAsia="es-ES"/>
        </w:rPr>
        <w:t xml:space="preserve">en 3.490.100 persones, havent disminuït la taxa d'atur 1,46 punts </w:t>
      </w:r>
      <w:r w:rsidRPr="004B7ED8">
        <w:rPr>
          <w:b w:val="0"/>
          <w:sz w:val="24"/>
          <w:lang w:val="ca-ES" w:eastAsia="es-ES"/>
        </w:rPr>
        <w:t xml:space="preserve">situant-se en un </w:t>
      </w:r>
      <w:r>
        <w:rPr>
          <w:b w:val="0"/>
          <w:sz w:val="24"/>
          <w:lang w:val="ca-ES" w:eastAsia="es-ES"/>
        </w:rPr>
        <w:t>15,28</w:t>
      </w:r>
      <w:r w:rsidRPr="004B7ED8">
        <w:rPr>
          <w:b w:val="0"/>
          <w:sz w:val="24"/>
          <w:lang w:val="ca-ES" w:eastAsia="es-ES"/>
        </w:rPr>
        <w:t xml:space="preserve">% en aquest trimestre, </w:t>
      </w:r>
      <w:r>
        <w:rPr>
          <w:b w:val="0"/>
          <w:sz w:val="24"/>
          <w:lang w:val="ca-ES" w:eastAsia="es-ES"/>
        </w:rPr>
        <w:t>reduint-se el</w:t>
      </w:r>
      <w:r w:rsidRPr="004B7ED8">
        <w:rPr>
          <w:b w:val="0"/>
          <w:sz w:val="24"/>
          <w:lang w:val="ca-ES" w:eastAsia="es-ES"/>
        </w:rPr>
        <w:t xml:space="preserve"> nombre d'aturats en </w:t>
      </w:r>
      <w:r>
        <w:rPr>
          <w:b w:val="0"/>
          <w:sz w:val="24"/>
          <w:lang w:val="ca-ES" w:eastAsia="es-ES"/>
        </w:rPr>
        <w:t>306.000</w:t>
      </w:r>
      <w:r w:rsidRPr="004B7ED8">
        <w:rPr>
          <w:b w:val="0"/>
          <w:sz w:val="24"/>
          <w:lang w:val="ca-ES" w:eastAsia="es-ES"/>
        </w:rPr>
        <w:t xml:space="preserve"> persones aquest trimestre</w:t>
      </w:r>
      <w:r w:rsidRPr="006C3697">
        <w:rPr>
          <w:b w:val="0"/>
          <w:sz w:val="24"/>
          <w:lang w:val="ca-ES" w:eastAsia="es-ES"/>
        </w:rPr>
        <w:t xml:space="preserve"> i en relació amb el mateix trimestre de l'any 201</w:t>
      </w:r>
      <w:r>
        <w:rPr>
          <w:b w:val="0"/>
          <w:sz w:val="24"/>
          <w:lang w:val="ca-ES" w:eastAsia="es-ES"/>
        </w:rPr>
        <w:t>7</w:t>
      </w:r>
      <w:r w:rsidRPr="006C3697">
        <w:rPr>
          <w:b w:val="0"/>
          <w:sz w:val="24"/>
          <w:lang w:val="ca-ES" w:eastAsia="es-ES"/>
        </w:rPr>
        <w:t xml:space="preserve">, ha disminuït en </w:t>
      </w:r>
      <w:r>
        <w:rPr>
          <w:b w:val="0"/>
          <w:sz w:val="24"/>
          <w:lang w:val="ca-ES" w:eastAsia="es-ES"/>
        </w:rPr>
        <w:t>424.200</w:t>
      </w:r>
      <w:r w:rsidRPr="006C3697">
        <w:rPr>
          <w:b w:val="0"/>
          <w:sz w:val="24"/>
          <w:lang w:val="ca-ES" w:eastAsia="es-ES"/>
        </w:rPr>
        <w:t xml:space="preserve"> persones (-</w:t>
      </w:r>
      <w:r>
        <w:rPr>
          <w:b w:val="0"/>
          <w:sz w:val="24"/>
          <w:lang w:val="ca-ES" w:eastAsia="es-ES"/>
        </w:rPr>
        <w:t>10,84</w:t>
      </w:r>
      <w:r w:rsidRPr="006C3697">
        <w:rPr>
          <w:b w:val="0"/>
          <w:sz w:val="24"/>
          <w:lang w:val="ca-ES" w:eastAsia="es-ES"/>
        </w:rPr>
        <w:t>% de variació interanual).</w:t>
      </w:r>
    </w:p>
    <w:p w:rsidR="00767D0B" w:rsidRDefault="00767D0B" w:rsidP="00767D0B">
      <w:pPr>
        <w:pStyle w:val="TEXTBOLD"/>
        <w:spacing w:line="276" w:lineRule="auto"/>
        <w:rPr>
          <w:b w:val="0"/>
          <w:sz w:val="24"/>
          <w:u w:val="single"/>
          <w:lang w:val="ca-ES" w:eastAsia="es-ES"/>
        </w:rPr>
      </w:pPr>
    </w:p>
    <w:p w:rsidR="00767D0B" w:rsidRDefault="00767D0B" w:rsidP="00767D0B">
      <w:pPr>
        <w:pStyle w:val="TEXTBOLD"/>
        <w:spacing w:line="276" w:lineRule="auto"/>
        <w:rPr>
          <w:b w:val="0"/>
          <w:sz w:val="24"/>
          <w:lang w:val="ca-ES" w:eastAsia="es-ES"/>
        </w:rPr>
      </w:pPr>
      <w:r>
        <w:rPr>
          <w:b w:val="0"/>
          <w:sz w:val="24"/>
          <w:lang w:val="ca-ES" w:eastAsia="es-ES"/>
        </w:rPr>
        <w:t>El nombre d'ocupats augmenta</w:t>
      </w:r>
      <w:r w:rsidRPr="00B97D94">
        <w:rPr>
          <w:b w:val="0"/>
          <w:sz w:val="24"/>
          <w:lang w:val="ca-ES" w:eastAsia="es-ES"/>
        </w:rPr>
        <w:t xml:space="preserve"> a Espanya en </w:t>
      </w:r>
      <w:r>
        <w:rPr>
          <w:b w:val="0"/>
          <w:sz w:val="24"/>
          <w:lang w:val="ca-ES" w:eastAsia="es-ES"/>
        </w:rPr>
        <w:t>469.900</w:t>
      </w:r>
      <w:r w:rsidRPr="00B97D94">
        <w:rPr>
          <w:b w:val="0"/>
          <w:sz w:val="24"/>
          <w:lang w:val="ca-ES" w:eastAsia="es-ES"/>
        </w:rPr>
        <w:t xml:space="preserve"> persones (</w:t>
      </w:r>
      <w:r>
        <w:rPr>
          <w:b w:val="0"/>
          <w:sz w:val="24"/>
          <w:lang w:val="ca-ES" w:eastAsia="es-ES"/>
        </w:rPr>
        <w:t>un 2,49</w:t>
      </w:r>
      <w:r w:rsidRPr="00B97D94">
        <w:rPr>
          <w:b w:val="0"/>
          <w:sz w:val="24"/>
          <w:lang w:val="ca-ES" w:eastAsia="es-ES"/>
        </w:rPr>
        <w:t>%) respecte a</w:t>
      </w:r>
      <w:r>
        <w:rPr>
          <w:b w:val="0"/>
          <w:sz w:val="24"/>
          <w:lang w:val="ca-ES" w:eastAsia="es-ES"/>
        </w:rPr>
        <w:t xml:space="preserve">l trimestre anterior, sent el major increment trimestral observat en la sèrie històrica. En termes interanuals, el nombre d’ocupats augmenta </w:t>
      </w:r>
      <w:r w:rsidRPr="00B97D94">
        <w:rPr>
          <w:b w:val="0"/>
          <w:sz w:val="24"/>
          <w:lang w:val="ca-ES" w:eastAsia="es-ES"/>
        </w:rPr>
        <w:t xml:space="preserve">en </w:t>
      </w:r>
      <w:r>
        <w:rPr>
          <w:b w:val="0"/>
          <w:sz w:val="24"/>
          <w:lang w:val="ca-ES" w:eastAsia="es-ES"/>
        </w:rPr>
        <w:t>530.800</w:t>
      </w:r>
      <w:r w:rsidRPr="00B97D94">
        <w:rPr>
          <w:b w:val="0"/>
          <w:sz w:val="24"/>
          <w:lang w:val="ca-ES" w:eastAsia="es-ES"/>
        </w:rPr>
        <w:t xml:space="preserve"> amb un </w:t>
      </w:r>
      <w:r>
        <w:rPr>
          <w:b w:val="0"/>
          <w:sz w:val="24"/>
          <w:lang w:val="ca-ES" w:eastAsia="es-ES"/>
        </w:rPr>
        <w:t>1</w:t>
      </w:r>
      <w:r w:rsidRPr="00B97D94">
        <w:rPr>
          <w:b w:val="0"/>
          <w:sz w:val="24"/>
          <w:lang w:val="ca-ES" w:eastAsia="es-ES"/>
        </w:rPr>
        <w:t>% d'increment.</w:t>
      </w:r>
      <w:r>
        <w:rPr>
          <w:b w:val="0"/>
          <w:sz w:val="24"/>
          <w:lang w:val="ca-ES" w:eastAsia="es-ES"/>
        </w:rPr>
        <w:t xml:space="preserve"> La xifra d’ocupats se situa en 19.344.100 persones al segon trimestre de 2018. </w:t>
      </w:r>
    </w:p>
    <w:p w:rsidR="00767D0B" w:rsidRDefault="00767D0B" w:rsidP="00767D0B">
      <w:pPr>
        <w:pStyle w:val="TEXTBOLD"/>
        <w:spacing w:line="276" w:lineRule="auto"/>
        <w:rPr>
          <w:b w:val="0"/>
          <w:sz w:val="24"/>
          <w:lang w:val="ca-ES" w:eastAsia="es-ES"/>
        </w:rPr>
      </w:pPr>
    </w:p>
    <w:p w:rsidR="00767D0B" w:rsidRDefault="00767D0B" w:rsidP="00767D0B">
      <w:pPr>
        <w:pStyle w:val="TEXTBOLD"/>
        <w:spacing w:line="276" w:lineRule="auto"/>
        <w:rPr>
          <w:b w:val="0"/>
          <w:sz w:val="24"/>
          <w:lang w:val="ca-ES" w:eastAsia="es-ES"/>
        </w:rPr>
      </w:pPr>
      <w:r>
        <w:rPr>
          <w:b w:val="0"/>
          <w:sz w:val="24"/>
          <w:lang w:val="ca-ES" w:eastAsia="es-ES"/>
        </w:rPr>
        <w:t>En relació a l’atur, l</w:t>
      </w:r>
      <w:r w:rsidRPr="004B7ED8">
        <w:rPr>
          <w:b w:val="0"/>
          <w:sz w:val="24"/>
          <w:lang w:val="ca-ES" w:eastAsia="es-ES"/>
        </w:rPr>
        <w:t xml:space="preserve">'evolució ha estat molt similar, tant en els períodes d'increment de la desocupació com en els de disminució del mateix, si bé, la taxa de desocupació a Catalunya es mostra sempre per sota </w:t>
      </w:r>
      <w:r>
        <w:rPr>
          <w:b w:val="0"/>
          <w:sz w:val="24"/>
          <w:lang w:val="ca-ES" w:eastAsia="es-ES"/>
        </w:rPr>
        <w:t xml:space="preserve">de </w:t>
      </w:r>
      <w:r w:rsidRPr="004B7ED8">
        <w:rPr>
          <w:b w:val="0"/>
          <w:sz w:val="24"/>
          <w:lang w:val="ca-ES" w:eastAsia="es-ES"/>
        </w:rPr>
        <w:t>la del conjunt d'Espanya, com es visualitza en el següent gràfic:</w:t>
      </w:r>
    </w:p>
    <w:p w:rsidR="00767D0B" w:rsidRPr="004B7ED8" w:rsidRDefault="00767D0B" w:rsidP="00767D0B">
      <w:pPr>
        <w:pStyle w:val="TEXTBOLD"/>
        <w:spacing w:line="276" w:lineRule="auto"/>
        <w:rPr>
          <w:b w:val="0"/>
          <w:sz w:val="24"/>
          <w:lang w:val="ca-ES" w:eastAsia="es-ES"/>
        </w:rPr>
      </w:pPr>
    </w:p>
    <w:p w:rsidR="00767D0B" w:rsidRPr="004905FD" w:rsidRDefault="00767D0B" w:rsidP="00767D0B">
      <w:pPr>
        <w:spacing w:line="276" w:lineRule="auto"/>
        <w:jc w:val="center"/>
        <w:rPr>
          <w:rFonts w:ascii="Rotis Sans Serif Std" w:hAnsi="Rotis Sans Serif Std" w:cs="RotisSansSerifStd-Regular"/>
          <w:color w:val="5E6061"/>
          <w:sz w:val="18"/>
          <w:szCs w:val="22"/>
          <w:lang w:eastAsia="es-ES"/>
        </w:rPr>
      </w:pPr>
      <w:r>
        <w:rPr>
          <w:noProof/>
          <w:lang w:val="es-ES" w:eastAsia="es-ES"/>
        </w:rPr>
        <w:drawing>
          <wp:inline distT="0" distB="0" distL="0" distR="0" wp14:anchorId="2A416C04" wp14:editId="2AD99658">
            <wp:extent cx="5746035" cy="2812294"/>
            <wp:effectExtent l="0" t="0" r="2667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67D0B" w:rsidRPr="004905FD" w:rsidRDefault="00767D0B" w:rsidP="00767D0B">
      <w:pPr>
        <w:spacing w:line="276" w:lineRule="auto"/>
        <w:jc w:val="center"/>
        <w:rPr>
          <w:rFonts w:ascii="Rotis Sans Serif Std" w:hAnsi="Rotis Sans Serif Std" w:cs="RotisSansSerifStd-Regular"/>
          <w:color w:val="5E6061"/>
          <w:sz w:val="18"/>
          <w:szCs w:val="22"/>
          <w:lang w:eastAsia="es-ES"/>
        </w:rPr>
      </w:pPr>
      <w:r w:rsidRPr="004905FD">
        <w:rPr>
          <w:rFonts w:ascii="Rotis Sans Serif Std" w:hAnsi="Rotis Sans Serif Std" w:cs="RotisSansSerifStd-Regular"/>
          <w:color w:val="5E6061"/>
          <w:sz w:val="18"/>
          <w:szCs w:val="22"/>
          <w:lang w:eastAsia="es-ES"/>
        </w:rPr>
        <w:t>Font: Elaboració pròpia a partir de les dades de l’INE.</w:t>
      </w:r>
    </w:p>
    <w:p w:rsidR="00767D0B" w:rsidRPr="009C7DAA" w:rsidRDefault="00767D0B" w:rsidP="00767D0B">
      <w:pPr>
        <w:pStyle w:val="NormalWeb"/>
        <w:jc w:val="both"/>
        <w:rPr>
          <w:rFonts w:ascii="Rotis Sans Serif Std" w:hAnsi="Rotis Sans Serif Std" w:cs="RotisSansSerifStd-Regular"/>
          <w:color w:val="5E6061"/>
          <w:sz w:val="24"/>
          <w:szCs w:val="22"/>
          <w:lang w:val="ca-ES" w:eastAsia="es-ES"/>
        </w:rPr>
      </w:pPr>
      <w:r w:rsidRPr="001D14D9">
        <w:rPr>
          <w:rFonts w:ascii="Rotis Sans Serif Std" w:hAnsi="Rotis Sans Serif Std" w:cs="RotisSansSerifStd-Regular"/>
          <w:color w:val="5E6061"/>
          <w:sz w:val="24"/>
          <w:szCs w:val="22"/>
          <w:u w:val="single"/>
          <w:lang w:val="ca-ES" w:eastAsia="es-ES"/>
        </w:rPr>
        <w:t>A Espanya,</w:t>
      </w:r>
      <w:r w:rsidRPr="001D14D9">
        <w:rPr>
          <w:rFonts w:ascii="Rotis Sans Serif Std" w:hAnsi="Rotis Sans Serif Std" w:cs="RotisSansSerifStd-Regular"/>
          <w:color w:val="5E6061"/>
          <w:sz w:val="24"/>
          <w:szCs w:val="22"/>
          <w:lang w:val="ca-ES" w:eastAsia="es-ES"/>
        </w:rPr>
        <w:t xml:space="preserve"> la població activa augmenta aquest trimestre en 163.900 persones respecte al trimestre anterior (</w:t>
      </w:r>
      <w:r>
        <w:rPr>
          <w:rFonts w:ascii="Rotis Sans Serif Std" w:hAnsi="Rotis Sans Serif Std" w:cs="RotisSansSerifStd-Regular"/>
          <w:color w:val="5E6061"/>
          <w:sz w:val="24"/>
          <w:szCs w:val="22"/>
          <w:lang w:val="ca-ES" w:eastAsia="es-ES"/>
        </w:rPr>
        <w:t>0,72</w:t>
      </w:r>
      <w:r w:rsidRPr="001D14D9">
        <w:rPr>
          <w:rFonts w:ascii="Rotis Sans Serif Std" w:hAnsi="Rotis Sans Serif Std" w:cs="RotisSansSerifStd-Regular"/>
          <w:color w:val="5E6061"/>
          <w:sz w:val="24"/>
          <w:szCs w:val="22"/>
          <w:lang w:val="ca-ES" w:eastAsia="es-ES"/>
        </w:rPr>
        <w:t>%)</w:t>
      </w:r>
      <w:r>
        <w:rPr>
          <w:rFonts w:ascii="Rotis Sans Serif Std" w:hAnsi="Rotis Sans Serif Std" w:cs="RotisSansSerifStd-Regular"/>
          <w:color w:val="5E6061"/>
          <w:sz w:val="24"/>
          <w:szCs w:val="22"/>
          <w:lang w:val="ca-ES" w:eastAsia="es-ES"/>
        </w:rPr>
        <w:t xml:space="preserve"> i se situa en 22.834.2</w:t>
      </w:r>
      <w:r w:rsidRPr="001D14D9">
        <w:rPr>
          <w:rFonts w:ascii="Rotis Sans Serif Std" w:hAnsi="Rotis Sans Serif Std" w:cs="RotisSansSerifStd-Regular"/>
          <w:color w:val="5E6061"/>
          <w:sz w:val="24"/>
          <w:szCs w:val="22"/>
          <w:lang w:val="ca-ES" w:eastAsia="es-ES"/>
        </w:rPr>
        <w:t>00 persones. La variació de</w:t>
      </w:r>
      <w:r>
        <w:rPr>
          <w:rFonts w:ascii="Rotis Sans Serif Std" w:hAnsi="Rotis Sans Serif Std" w:cs="RotisSansSerifStd-Regular"/>
          <w:color w:val="5E6061"/>
          <w:sz w:val="24"/>
          <w:szCs w:val="22"/>
          <w:lang w:val="ca-ES" w:eastAsia="es-ES"/>
        </w:rPr>
        <w:t xml:space="preserve"> població activa respecte el 2on</w:t>
      </w:r>
      <w:r w:rsidRPr="001D14D9">
        <w:rPr>
          <w:rFonts w:ascii="Rotis Sans Serif Std" w:hAnsi="Rotis Sans Serif Std" w:cs="RotisSansSerifStd-Regular"/>
          <w:color w:val="5E6061"/>
          <w:sz w:val="24"/>
          <w:szCs w:val="22"/>
          <w:lang w:val="ca-ES" w:eastAsia="es-ES"/>
        </w:rPr>
        <w:t xml:space="preserve"> trimestre de l'any 2017, és de </w:t>
      </w:r>
      <w:r>
        <w:rPr>
          <w:rFonts w:ascii="Rotis Sans Serif Std" w:hAnsi="Rotis Sans Serif Std" w:cs="RotisSansSerifStd-Regular"/>
          <w:color w:val="5E6061"/>
          <w:sz w:val="24"/>
          <w:szCs w:val="22"/>
          <w:lang w:val="ca-ES" w:eastAsia="es-ES"/>
        </w:rPr>
        <w:t>106.600</w:t>
      </w:r>
      <w:r w:rsidRPr="001D14D9">
        <w:rPr>
          <w:rFonts w:ascii="Rotis Sans Serif Std" w:hAnsi="Rotis Sans Serif Std" w:cs="RotisSansSerifStd-Regular"/>
          <w:color w:val="5E6061"/>
          <w:sz w:val="24"/>
          <w:szCs w:val="22"/>
          <w:lang w:val="ca-ES" w:eastAsia="es-ES"/>
        </w:rPr>
        <w:t xml:space="preserve"> persones, la qual cosa suposa un </w:t>
      </w:r>
      <w:r>
        <w:rPr>
          <w:rFonts w:ascii="Rotis Sans Serif Std" w:hAnsi="Rotis Sans Serif Std" w:cs="RotisSansSerifStd-Regular"/>
          <w:color w:val="5E6061"/>
          <w:sz w:val="24"/>
          <w:szCs w:val="22"/>
          <w:lang w:val="ca-ES" w:eastAsia="es-ES"/>
        </w:rPr>
        <w:t>increment</w:t>
      </w:r>
      <w:r w:rsidRPr="001D14D9">
        <w:rPr>
          <w:rFonts w:ascii="Rotis Sans Serif Std" w:hAnsi="Rotis Sans Serif Std" w:cs="RotisSansSerifStd-Regular"/>
          <w:color w:val="5E6061"/>
          <w:sz w:val="24"/>
          <w:szCs w:val="22"/>
          <w:lang w:val="ca-ES" w:eastAsia="es-ES"/>
        </w:rPr>
        <w:t xml:space="preserve"> del 0,47% </w:t>
      </w:r>
    </w:p>
    <w:p w:rsidR="00767D0B" w:rsidRPr="00100020" w:rsidRDefault="00767D0B" w:rsidP="00767D0B">
      <w:pPr>
        <w:pStyle w:val="TEXTBOLD"/>
        <w:spacing w:line="276" w:lineRule="auto"/>
        <w:rPr>
          <w:b w:val="0"/>
          <w:sz w:val="24"/>
          <w:lang w:val="ca-ES" w:eastAsia="es-ES"/>
        </w:rPr>
      </w:pPr>
      <w:r w:rsidRPr="00100020">
        <w:rPr>
          <w:b w:val="0"/>
          <w:sz w:val="24"/>
          <w:lang w:val="ca-ES" w:eastAsia="es-ES"/>
        </w:rPr>
        <w:t xml:space="preserve">L’Enquesta de població activa del </w:t>
      </w:r>
      <w:r>
        <w:rPr>
          <w:b w:val="0"/>
          <w:sz w:val="24"/>
          <w:lang w:val="ca-ES" w:eastAsia="es-ES"/>
        </w:rPr>
        <w:t>segon</w:t>
      </w:r>
      <w:r w:rsidRPr="00100020">
        <w:rPr>
          <w:b w:val="0"/>
          <w:sz w:val="24"/>
          <w:lang w:val="ca-ES" w:eastAsia="es-ES"/>
        </w:rPr>
        <w:t xml:space="preserve"> trimestre </w:t>
      </w:r>
      <w:r>
        <w:rPr>
          <w:b w:val="0"/>
          <w:sz w:val="24"/>
          <w:lang w:val="ca-ES" w:eastAsia="es-ES"/>
        </w:rPr>
        <w:t xml:space="preserve">de 2018 estima que hi ha 3.792.400 les </w:t>
      </w:r>
      <w:r w:rsidRPr="00100020">
        <w:rPr>
          <w:b w:val="0"/>
          <w:sz w:val="24"/>
          <w:lang w:val="ca-ES" w:eastAsia="es-ES"/>
        </w:rPr>
        <w:t xml:space="preserve">persones actives a </w:t>
      </w:r>
      <w:r>
        <w:rPr>
          <w:b w:val="0"/>
          <w:sz w:val="24"/>
          <w:lang w:val="ca-ES" w:eastAsia="es-ES"/>
        </w:rPr>
        <w:t xml:space="preserve">Catalunya, de les quals 3.360.400 es troben ocupades i 432.00, </w:t>
      </w:r>
      <w:r w:rsidRPr="00100020">
        <w:rPr>
          <w:b w:val="0"/>
          <w:sz w:val="24"/>
          <w:lang w:val="ca-ES" w:eastAsia="es-ES"/>
        </w:rPr>
        <w:t>aturades i buscant feina de manera activa.</w:t>
      </w:r>
    </w:p>
    <w:p w:rsidR="00767D0B" w:rsidRPr="004905FD" w:rsidRDefault="00767D0B" w:rsidP="00767D0B">
      <w:pPr>
        <w:spacing w:line="276" w:lineRule="auto"/>
        <w:jc w:val="both"/>
        <w:rPr>
          <w:rFonts w:ascii="Rotis Sans Serif Std" w:hAnsi="Rotis Sans Serif Std" w:cs="RotisSansSerifStd-Regular"/>
          <w:color w:val="5E6061"/>
          <w:szCs w:val="22"/>
          <w:u w:val="single"/>
          <w:lang w:eastAsia="es-ES"/>
        </w:rPr>
      </w:pPr>
    </w:p>
    <w:p w:rsidR="00767D0B" w:rsidRPr="00100020" w:rsidRDefault="00767D0B" w:rsidP="00767D0B">
      <w:pPr>
        <w:pStyle w:val="TEXTBOLD"/>
        <w:spacing w:line="276" w:lineRule="auto"/>
        <w:rPr>
          <w:b w:val="0"/>
          <w:sz w:val="24"/>
          <w:lang w:val="ca-ES" w:eastAsia="es-ES"/>
        </w:rPr>
      </w:pPr>
      <w:r w:rsidRPr="00100020">
        <w:rPr>
          <w:b w:val="0"/>
          <w:sz w:val="24"/>
          <w:lang w:val="ca-ES" w:eastAsia="es-ES"/>
        </w:rPr>
        <w:t xml:space="preserve">Per sexe, </w:t>
      </w:r>
      <w:r>
        <w:rPr>
          <w:b w:val="0"/>
          <w:sz w:val="24"/>
          <w:lang w:val="ca-ES" w:eastAsia="es-ES"/>
        </w:rPr>
        <w:t xml:space="preserve">l’ocupació s’ha incrementat gairebé amb la mateixa intensitat en els dos sexes (1,8% entre les dones i 1,7% entre els homes). La taxa femenina se situa 8,2 punts per sota de la masculina(65% i 73% respectivament). </w:t>
      </w:r>
    </w:p>
    <w:p w:rsidR="00767D0B" w:rsidRDefault="00767D0B" w:rsidP="00767D0B">
      <w:pPr>
        <w:pStyle w:val="TEXTBOLD"/>
        <w:spacing w:line="276" w:lineRule="auto"/>
        <w:rPr>
          <w:b w:val="0"/>
          <w:sz w:val="24"/>
          <w:lang w:val="ca-ES" w:eastAsia="es-ES"/>
        </w:rPr>
      </w:pPr>
    </w:p>
    <w:p w:rsidR="00767D0B" w:rsidRPr="00100020" w:rsidRDefault="00767D0B" w:rsidP="00767D0B">
      <w:pPr>
        <w:pStyle w:val="TEXTBOLD"/>
        <w:spacing w:line="276" w:lineRule="auto"/>
        <w:rPr>
          <w:b w:val="0"/>
          <w:sz w:val="24"/>
          <w:lang w:val="ca-ES" w:eastAsia="es-ES"/>
        </w:rPr>
      </w:pPr>
      <w:r w:rsidRPr="00100020">
        <w:rPr>
          <w:b w:val="0"/>
          <w:sz w:val="24"/>
          <w:lang w:val="ca-ES" w:eastAsia="es-ES"/>
        </w:rPr>
        <w:t xml:space="preserve">En relació amb l’atur, </w:t>
      </w:r>
      <w:r>
        <w:rPr>
          <w:b w:val="0"/>
          <w:sz w:val="24"/>
          <w:lang w:val="ca-ES" w:eastAsia="es-ES"/>
        </w:rPr>
        <w:t>destaca el descens de l’atur femení (-7,5%). D’altra banda, en els joves de 16 a 29 anys l’atur ha crescut (5.700 joves aturats més; 4,4%), per la gran entrada de joves actius al mercat de treball (19.500 més; 3,2%), atès que s’ha creat ocupació (13.800 més; 2,8%).</w:t>
      </w:r>
    </w:p>
    <w:p w:rsidR="00767D0B" w:rsidRPr="004905FD" w:rsidRDefault="00767D0B" w:rsidP="00767D0B">
      <w:pPr>
        <w:pStyle w:val="TEXTBOLD"/>
        <w:spacing w:line="276" w:lineRule="auto"/>
        <w:rPr>
          <w:b w:val="0"/>
          <w:sz w:val="14"/>
          <w:lang w:val="ca-ES" w:eastAsia="es-ES"/>
        </w:rPr>
      </w:pPr>
    </w:p>
    <w:p w:rsidR="00767D0B" w:rsidRDefault="00767D0B" w:rsidP="00767D0B">
      <w:pPr>
        <w:pStyle w:val="TEXTBOLD"/>
        <w:spacing w:line="276" w:lineRule="auto"/>
        <w:rPr>
          <w:b w:val="0"/>
          <w:sz w:val="24"/>
          <w:lang w:val="ca-ES" w:eastAsia="es-ES"/>
        </w:rPr>
      </w:pPr>
      <w:r w:rsidRPr="00100020">
        <w:rPr>
          <w:b w:val="0"/>
          <w:sz w:val="24"/>
          <w:lang w:val="ca-ES" w:eastAsia="es-ES"/>
        </w:rPr>
        <w:t xml:space="preserve">Quant al tipus de jornada, </w:t>
      </w:r>
      <w:r>
        <w:rPr>
          <w:b w:val="0"/>
          <w:sz w:val="24"/>
          <w:lang w:val="ca-ES" w:eastAsia="es-ES"/>
        </w:rPr>
        <w:t xml:space="preserve">l’ocupació a temps parcial creix amb més força que la del temps complet (2,9% davant del 1,5%) i la taxa de parcialitat s’incrementa lleument en el trimestre fins al 14,4%. </w:t>
      </w:r>
    </w:p>
    <w:p w:rsidR="00767D0B" w:rsidRDefault="00767D0B" w:rsidP="00767D0B">
      <w:pPr>
        <w:pStyle w:val="TEXTBOLD"/>
        <w:spacing w:line="276" w:lineRule="auto"/>
        <w:rPr>
          <w:b w:val="0"/>
          <w:sz w:val="24"/>
          <w:lang w:val="ca-ES" w:eastAsia="es-ES"/>
        </w:rPr>
      </w:pPr>
    </w:p>
    <w:p w:rsidR="00767D0B" w:rsidRDefault="00767D0B" w:rsidP="00767D0B">
      <w:pPr>
        <w:pStyle w:val="TEXTBOLD"/>
        <w:spacing w:line="276" w:lineRule="auto"/>
        <w:rPr>
          <w:b w:val="0"/>
          <w:sz w:val="24"/>
          <w:lang w:val="ca-ES" w:eastAsia="es-ES"/>
        </w:rPr>
      </w:pPr>
      <w:r>
        <w:rPr>
          <w:b w:val="0"/>
          <w:sz w:val="24"/>
          <w:lang w:val="ca-ES" w:eastAsia="es-ES"/>
        </w:rPr>
        <w:t xml:space="preserve">Per tipus de contracte, destaca l’increment de la població assalariada amb contracte temporal (26.500 més; 1,2%), en conseqüència la taxa de temporalitat ha augmentat en 0,7 punts percentuals respecte el trimestre anterior (21,6%). </w:t>
      </w:r>
      <w:proofErr w:type="spellStart"/>
      <w:r>
        <w:rPr>
          <w:b w:val="0"/>
          <w:sz w:val="24"/>
          <w:lang w:val="ca-ES" w:eastAsia="es-ES"/>
        </w:rPr>
        <w:t>Interanualment</w:t>
      </w:r>
      <w:proofErr w:type="spellEnd"/>
      <w:r>
        <w:rPr>
          <w:b w:val="0"/>
          <w:sz w:val="24"/>
          <w:lang w:val="ca-ES" w:eastAsia="es-ES"/>
        </w:rPr>
        <w:t>, els ocupats a temps complet s’incrementen amb més del doble d’intensitat que els de temps parcial (3%; 84.500 més i 1,2%; 5.500 més, respectivament). Quant al tipus de contracte, creixen amb més força els assalariats amb contracte indefinit (3,5% enfront del 2,7% dels temporals).</w:t>
      </w:r>
    </w:p>
    <w:p w:rsidR="00767D0B" w:rsidRDefault="00767D0B" w:rsidP="00767D0B">
      <w:pPr>
        <w:pStyle w:val="TEXTBOLD"/>
        <w:spacing w:line="276" w:lineRule="auto"/>
        <w:rPr>
          <w:b w:val="0"/>
          <w:sz w:val="24"/>
          <w:lang w:val="ca-ES" w:eastAsia="es-ES"/>
        </w:rPr>
      </w:pPr>
    </w:p>
    <w:p w:rsidR="00767D0B" w:rsidRDefault="00767D0B" w:rsidP="00767D0B">
      <w:pPr>
        <w:pStyle w:val="TEXTBOLD"/>
        <w:spacing w:line="276" w:lineRule="auto"/>
        <w:rPr>
          <w:b w:val="0"/>
          <w:sz w:val="24"/>
          <w:lang w:val="ca-ES" w:eastAsia="es-ES"/>
        </w:rPr>
      </w:pPr>
    </w:p>
    <w:p w:rsidR="00767D0B" w:rsidRPr="00100020" w:rsidRDefault="00E650B8" w:rsidP="00767D0B">
      <w:pPr>
        <w:pStyle w:val="TEXTBOLD"/>
        <w:spacing w:line="276" w:lineRule="auto"/>
        <w:jc w:val="center"/>
        <w:rPr>
          <w:b w:val="0"/>
          <w:sz w:val="24"/>
          <w:lang w:val="ca-ES" w:eastAsia="es-ES"/>
        </w:rPr>
      </w:pPr>
      <w:r>
        <w:rPr>
          <w:noProof/>
          <w:lang w:val="es-ES" w:eastAsia="es-ES"/>
        </w:rPr>
        <w:drawing>
          <wp:inline distT="0" distB="0" distL="0" distR="0" wp14:anchorId="41E2371E" wp14:editId="4AFD5CFA">
            <wp:extent cx="5391397" cy="2470067"/>
            <wp:effectExtent l="0" t="0" r="19050" b="26035"/>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7D0B" w:rsidRPr="004905FD" w:rsidRDefault="00767D0B" w:rsidP="00767D0B">
      <w:pPr>
        <w:spacing w:line="276" w:lineRule="auto"/>
        <w:jc w:val="center"/>
        <w:rPr>
          <w:rFonts w:ascii="Rotis Sans Serif Std" w:hAnsi="Rotis Sans Serif Std" w:cs="RotisSansSerifStd-Regular"/>
          <w:color w:val="5E6061"/>
          <w:sz w:val="18"/>
          <w:szCs w:val="22"/>
          <w:lang w:eastAsia="es-ES"/>
        </w:rPr>
      </w:pPr>
      <w:r w:rsidRPr="004905FD">
        <w:rPr>
          <w:rFonts w:ascii="Rotis Sans Serif Std" w:hAnsi="Rotis Sans Serif Std" w:cs="RotisSansSerifStd-Regular"/>
          <w:color w:val="5E6061"/>
          <w:sz w:val="18"/>
          <w:szCs w:val="22"/>
          <w:lang w:eastAsia="es-ES"/>
        </w:rPr>
        <w:t>Font: Elaboració pròpia a partir de les dades de l’INE.</w:t>
      </w:r>
    </w:p>
    <w:p w:rsidR="00767D0B" w:rsidRPr="004905FD" w:rsidRDefault="00767D0B" w:rsidP="00767D0B">
      <w:pPr>
        <w:jc w:val="both"/>
        <w:rPr>
          <w:rFonts w:ascii="Rotis Sans Serif Std" w:hAnsi="Rotis Sans Serif Std" w:cs="RotisSansSerifStd-Regular"/>
          <w:color w:val="5E6061"/>
          <w:szCs w:val="22"/>
          <w:lang w:eastAsia="es-ES"/>
        </w:rPr>
      </w:pPr>
      <w:r w:rsidRPr="004905FD">
        <w:rPr>
          <w:rFonts w:ascii="Rotis Sans Serif Std" w:hAnsi="Rotis Sans Serif Std" w:cs="RotisSansSerifStd-Regular"/>
          <w:color w:val="5E6061"/>
          <w:szCs w:val="22"/>
          <w:u w:val="single"/>
          <w:lang w:eastAsia="es-ES"/>
        </w:rPr>
        <w:br/>
        <w:t>Sectorialment</w:t>
      </w:r>
      <w:r w:rsidRPr="004905FD">
        <w:rPr>
          <w:rFonts w:ascii="Rotis Sans Serif Std" w:hAnsi="Rotis Sans Serif Std" w:cs="RotisSansSerifStd-Regular"/>
          <w:color w:val="5E6061"/>
          <w:szCs w:val="22"/>
          <w:lang w:eastAsia="es-ES"/>
        </w:rPr>
        <w:t xml:space="preserve">, </w:t>
      </w:r>
      <w:r>
        <w:rPr>
          <w:rFonts w:ascii="Rotis Sans Serif Std" w:hAnsi="Rotis Sans Serif Std" w:cs="RotisSansSerifStd-Regular"/>
          <w:color w:val="5E6061"/>
          <w:szCs w:val="22"/>
          <w:lang w:eastAsia="es-ES"/>
        </w:rPr>
        <w:t>tots quatre han guanyat ocupació, amb especial intensitat en l’agricultura i la construcció, amb un increment de l’11,4% i del 2,9%, respectivament. En termes absoluts, els serveis és el sector que ha guanyat més ocupats (33.200 més), seguit de la indústria (11.600 més).</w:t>
      </w:r>
    </w:p>
    <w:p w:rsidR="00767D0B" w:rsidRPr="004905FD" w:rsidRDefault="00767D0B" w:rsidP="00767D0B">
      <w:pPr>
        <w:spacing w:line="276" w:lineRule="auto"/>
        <w:jc w:val="both"/>
        <w:rPr>
          <w:rFonts w:ascii="Rotis Sans Serif Std" w:hAnsi="Rotis Sans Serif Std" w:cs="RotisSansSerifStd-Regular"/>
          <w:color w:val="5E6061"/>
          <w:sz w:val="14"/>
          <w:szCs w:val="22"/>
          <w:lang w:eastAsia="es-ES"/>
        </w:rPr>
      </w:pPr>
    </w:p>
    <w:p w:rsidR="00767D0B" w:rsidRPr="004905FD" w:rsidRDefault="00767D0B" w:rsidP="00767D0B">
      <w:pPr>
        <w:spacing w:line="276" w:lineRule="auto"/>
        <w:jc w:val="both"/>
        <w:rPr>
          <w:rFonts w:ascii="Rotis Sans Serif Std" w:hAnsi="Rotis Sans Serif Std" w:cs="RotisSansSerifStd-Regular"/>
          <w:color w:val="5E6061"/>
          <w:szCs w:val="22"/>
          <w:lang w:eastAsia="es-ES"/>
        </w:rPr>
      </w:pPr>
      <w:r w:rsidRPr="004905FD">
        <w:rPr>
          <w:rFonts w:ascii="Rotis Sans Serif Std" w:hAnsi="Rotis Sans Serif Std" w:cs="RotisSansSerifStd-Regular"/>
          <w:color w:val="5E6061"/>
          <w:szCs w:val="22"/>
          <w:lang w:eastAsia="es-ES"/>
        </w:rPr>
        <w:t xml:space="preserve">En termes interanuals l’ocupació ha crescut en tots els sectors, </w:t>
      </w:r>
      <w:r>
        <w:rPr>
          <w:rFonts w:ascii="Rotis Sans Serif Std" w:hAnsi="Rotis Sans Serif Std" w:cs="RotisSansSerifStd-Regular"/>
          <w:color w:val="5E6061"/>
          <w:szCs w:val="22"/>
          <w:lang w:eastAsia="es-ES"/>
        </w:rPr>
        <w:t>sent la agricultura el que més ha augmentat</w:t>
      </w:r>
      <w:r w:rsidRPr="004905FD">
        <w:rPr>
          <w:rFonts w:ascii="Rotis Sans Serif Std" w:hAnsi="Rotis Sans Serif Std" w:cs="RotisSansSerifStd-Regular"/>
          <w:color w:val="5E6061"/>
          <w:szCs w:val="22"/>
          <w:lang w:eastAsia="es-ES"/>
        </w:rPr>
        <w:t xml:space="preserve">, tal com es pot observar al següent quadre: </w:t>
      </w:r>
    </w:p>
    <w:p w:rsidR="00767D0B" w:rsidRPr="004905FD" w:rsidRDefault="00767D0B" w:rsidP="00767D0B">
      <w:pPr>
        <w:spacing w:line="276" w:lineRule="auto"/>
        <w:jc w:val="right"/>
        <w:rPr>
          <w:rFonts w:ascii="Rotis Sans Serif Std" w:hAnsi="Rotis Sans Serif Std"/>
          <w:b/>
          <w:color w:val="C00000"/>
        </w:rPr>
      </w:pPr>
      <w:r w:rsidRPr="004905FD">
        <w:rPr>
          <w:rFonts w:ascii="Rotis Sans Serif Std" w:hAnsi="Rotis Sans Serif Std"/>
          <w:b/>
          <w:color w:val="C00000"/>
        </w:rPr>
        <w:t>OCUPATS</w:t>
      </w:r>
    </w:p>
    <w:tbl>
      <w:tblPr>
        <w:tblW w:w="5000" w:type="pct"/>
        <w:tblCellMar>
          <w:left w:w="0" w:type="dxa"/>
          <w:right w:w="0" w:type="dxa"/>
        </w:tblCellMar>
        <w:tblLook w:val="00A0" w:firstRow="1" w:lastRow="0" w:firstColumn="1" w:lastColumn="0" w:noHBand="0" w:noVBand="0"/>
      </w:tblPr>
      <w:tblGrid>
        <w:gridCol w:w="2761"/>
        <w:gridCol w:w="1565"/>
        <w:gridCol w:w="1325"/>
        <w:gridCol w:w="1435"/>
        <w:gridCol w:w="1336"/>
        <w:gridCol w:w="1433"/>
      </w:tblGrid>
      <w:tr w:rsidR="00767D0B" w:rsidRPr="003171F9" w:rsidTr="00767D0B">
        <w:trPr>
          <w:trHeight w:val="402"/>
        </w:trPr>
        <w:tc>
          <w:tcPr>
            <w:tcW w:w="1401" w:type="pct"/>
            <w:vMerge w:val="restart"/>
            <w:tcBorders>
              <w:top w:val="nil"/>
              <w:left w:val="nil"/>
              <w:right w:val="single" w:sz="8" w:space="0" w:color="FFFFFF"/>
            </w:tcBorders>
            <w:tcMar>
              <w:top w:w="0" w:type="dxa"/>
              <w:left w:w="108" w:type="dxa"/>
              <w:bottom w:w="0" w:type="dxa"/>
              <w:right w:w="108" w:type="dxa"/>
            </w:tcMar>
          </w:tcPr>
          <w:p w:rsidR="00767D0B" w:rsidRPr="004905FD" w:rsidRDefault="00767D0B" w:rsidP="00767D0B">
            <w:pPr>
              <w:spacing w:after="200" w:line="276" w:lineRule="auto"/>
              <w:jc w:val="both"/>
              <w:rPr>
                <w:rFonts w:ascii="Rotis Sans Serif Std" w:hAnsi="Rotis Sans Serif Std"/>
                <w:color w:val="FF0000"/>
                <w:lang w:eastAsia="es-ES_tradnl"/>
              </w:rPr>
            </w:pPr>
          </w:p>
        </w:tc>
        <w:tc>
          <w:tcPr>
            <w:tcW w:w="794" w:type="pct"/>
            <w:vMerge w:val="restart"/>
            <w:tcBorders>
              <w:top w:val="single" w:sz="8" w:space="0" w:color="FFFFFF"/>
              <w:left w:val="single" w:sz="8" w:space="0" w:color="FFFFFF"/>
              <w:right w:val="single" w:sz="4" w:space="0" w:color="C0504D"/>
            </w:tcBorders>
            <w:shd w:val="clear" w:color="auto" w:fill="C0504D"/>
            <w:tcMar>
              <w:top w:w="0" w:type="dxa"/>
              <w:left w:w="108" w:type="dxa"/>
              <w:bottom w:w="0" w:type="dxa"/>
              <w:right w:w="108" w:type="dxa"/>
            </w:tcMar>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p>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Valor</w:t>
            </w:r>
          </w:p>
        </w:tc>
        <w:tc>
          <w:tcPr>
            <w:tcW w:w="1400" w:type="pct"/>
            <w:gridSpan w:val="2"/>
            <w:tcBorders>
              <w:top w:val="single" w:sz="8" w:space="0" w:color="FFFFFF"/>
              <w:left w:val="single" w:sz="4" w:space="0" w:color="C0504D"/>
              <w:bottom w:val="single" w:sz="8" w:space="0" w:color="FFFFFF"/>
              <w:right w:val="single" w:sz="4" w:space="0" w:color="C0504D"/>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 xml:space="preserve">Var. </w:t>
            </w:r>
            <w:proofErr w:type="spellStart"/>
            <w:r w:rsidRPr="004905FD">
              <w:rPr>
                <w:rFonts w:ascii="Rotis Sans Serif Std" w:hAnsi="Rotis Sans Serif Std" w:cs="RotisSansSerifStd-Regular"/>
                <w:color w:val="FFFFFF"/>
                <w:lang w:eastAsia="es-ES_tradnl"/>
              </w:rPr>
              <w:t>Intertrimestral</w:t>
            </w:r>
            <w:proofErr w:type="spellEnd"/>
          </w:p>
        </w:tc>
        <w:tc>
          <w:tcPr>
            <w:tcW w:w="1405" w:type="pct"/>
            <w:gridSpan w:val="2"/>
            <w:tcBorders>
              <w:top w:val="single" w:sz="8" w:space="0" w:color="FFFFFF"/>
              <w:left w:val="single" w:sz="4" w:space="0" w:color="C0504D"/>
              <w:bottom w:val="single" w:sz="8" w:space="0" w:color="FFFFFF"/>
              <w:right w:val="single" w:sz="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Var. interanual</w:t>
            </w:r>
          </w:p>
        </w:tc>
      </w:tr>
      <w:tr w:rsidR="00767D0B" w:rsidRPr="003171F9" w:rsidTr="00767D0B">
        <w:trPr>
          <w:trHeight w:val="466"/>
        </w:trPr>
        <w:tc>
          <w:tcPr>
            <w:tcW w:w="1401" w:type="pct"/>
            <w:vMerge/>
            <w:tcBorders>
              <w:left w:val="nil"/>
              <w:bottom w:val="single" w:sz="24" w:space="0" w:color="FFFFFF"/>
              <w:right w:val="single" w:sz="8" w:space="0" w:color="FFFFFF"/>
            </w:tcBorders>
            <w:tcMar>
              <w:top w:w="0" w:type="dxa"/>
              <w:left w:w="108" w:type="dxa"/>
              <w:bottom w:w="0" w:type="dxa"/>
              <w:right w:w="108" w:type="dxa"/>
            </w:tcMar>
          </w:tcPr>
          <w:p w:rsidR="00767D0B" w:rsidRPr="004905FD" w:rsidRDefault="00767D0B" w:rsidP="00767D0B">
            <w:pPr>
              <w:spacing w:after="200" w:line="276" w:lineRule="auto"/>
              <w:jc w:val="both"/>
              <w:rPr>
                <w:rFonts w:ascii="Rotis Sans Serif Std" w:hAnsi="Rotis Sans Serif Std"/>
                <w:color w:val="FF0000"/>
                <w:lang w:eastAsia="es-ES_tradnl"/>
              </w:rPr>
            </w:pPr>
          </w:p>
        </w:tc>
        <w:tc>
          <w:tcPr>
            <w:tcW w:w="794" w:type="pct"/>
            <w:vMerge/>
            <w:tcBorders>
              <w:left w:val="single" w:sz="8" w:space="0" w:color="FFFFFF"/>
              <w:bottom w:val="single" w:sz="18" w:space="0" w:color="FFFFFF"/>
              <w:right w:val="single" w:sz="4" w:space="0" w:color="C0504D"/>
            </w:tcBorders>
            <w:shd w:val="clear" w:color="auto" w:fill="C0504D"/>
            <w:tcMar>
              <w:top w:w="0" w:type="dxa"/>
              <w:left w:w="108" w:type="dxa"/>
              <w:bottom w:w="0" w:type="dxa"/>
              <w:right w:w="108" w:type="dxa"/>
            </w:tcMar>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p>
        </w:tc>
        <w:tc>
          <w:tcPr>
            <w:tcW w:w="672" w:type="pct"/>
            <w:tcBorders>
              <w:top w:val="single" w:sz="8" w:space="0" w:color="FFFFFF"/>
              <w:left w:val="single" w:sz="4" w:space="0" w:color="C0504D"/>
              <w:bottom w:val="single" w:sz="18" w:space="0" w:color="FFFFFF"/>
              <w:right w:val="single" w:sz="4" w:space="0" w:color="C0504D"/>
            </w:tcBorders>
            <w:shd w:val="clear" w:color="auto" w:fill="C0504D"/>
            <w:tcMar>
              <w:top w:w="0" w:type="dxa"/>
              <w:left w:w="108" w:type="dxa"/>
              <w:bottom w:w="0" w:type="dxa"/>
              <w:right w:w="108" w:type="dxa"/>
            </w:tcMar>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Absoluta</w:t>
            </w:r>
          </w:p>
        </w:tc>
        <w:tc>
          <w:tcPr>
            <w:tcW w:w="728" w:type="pct"/>
            <w:tcBorders>
              <w:top w:val="single" w:sz="8" w:space="0" w:color="FFFFFF"/>
              <w:left w:val="single" w:sz="4" w:space="0" w:color="C0504D"/>
              <w:bottom w:val="single" w:sz="18" w:space="0" w:color="FFFFFF"/>
              <w:right w:val="single" w:sz="4" w:space="0" w:color="C0504D"/>
            </w:tcBorders>
            <w:shd w:val="clear" w:color="auto" w:fill="C0504D"/>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Relativa (%)</w:t>
            </w:r>
          </w:p>
        </w:tc>
        <w:tc>
          <w:tcPr>
            <w:tcW w:w="678" w:type="pct"/>
            <w:tcBorders>
              <w:top w:val="single" w:sz="8" w:space="0" w:color="FFFFFF"/>
              <w:left w:val="single" w:sz="4" w:space="0" w:color="C0504D"/>
              <w:bottom w:val="single" w:sz="18" w:space="0" w:color="FFFFFF"/>
              <w:right w:val="single" w:sz="4" w:space="0" w:color="C0504D"/>
            </w:tcBorders>
            <w:shd w:val="clear" w:color="auto" w:fill="C0504D"/>
            <w:tcMar>
              <w:top w:w="0" w:type="dxa"/>
              <w:left w:w="108" w:type="dxa"/>
              <w:bottom w:w="0" w:type="dxa"/>
              <w:right w:w="108" w:type="dxa"/>
            </w:tcMar>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 xml:space="preserve">Absoluta </w:t>
            </w:r>
          </w:p>
        </w:tc>
        <w:tc>
          <w:tcPr>
            <w:tcW w:w="727" w:type="pct"/>
            <w:tcBorders>
              <w:top w:val="single" w:sz="8" w:space="0" w:color="FFFFFF"/>
              <w:left w:val="single" w:sz="4" w:space="0" w:color="C0504D"/>
              <w:bottom w:val="single" w:sz="18" w:space="0" w:color="FFFFFF"/>
              <w:right w:val="single" w:sz="8" w:space="0" w:color="FFFFFF"/>
            </w:tcBorders>
            <w:shd w:val="clear" w:color="auto" w:fill="C0504D"/>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Relativa (%)</w:t>
            </w:r>
          </w:p>
        </w:tc>
      </w:tr>
      <w:tr w:rsidR="00767D0B" w:rsidRPr="003171F9" w:rsidTr="00767D0B">
        <w:trPr>
          <w:trHeight w:val="504"/>
        </w:trPr>
        <w:tc>
          <w:tcPr>
            <w:tcW w:w="1401" w:type="pct"/>
            <w:tcBorders>
              <w:top w:val="nil"/>
              <w:left w:val="single" w:sz="24" w:space="0" w:color="FFFFFF"/>
              <w:right w:val="single" w:sz="1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Agricultura</w:t>
            </w:r>
          </w:p>
        </w:tc>
        <w:tc>
          <w:tcPr>
            <w:tcW w:w="794" w:type="pct"/>
            <w:tcBorders>
              <w:top w:val="single" w:sz="18" w:space="0" w:color="FFFFFF"/>
              <w:left w:val="single" w:sz="18" w:space="0" w:color="FFFFFF"/>
              <w:right w:val="single" w:sz="8" w:space="0" w:color="FFFFFF"/>
            </w:tcBorders>
            <w:shd w:val="clear" w:color="auto" w:fill="EFD3D2"/>
            <w:tcMar>
              <w:top w:w="0" w:type="dxa"/>
              <w:left w:w="108" w:type="dxa"/>
              <w:bottom w:w="0" w:type="dxa"/>
              <w:right w:w="108" w:type="dxa"/>
            </w:tcMa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szCs w:val="22"/>
                <w:lang w:eastAsia="es-ES"/>
              </w:rPr>
              <w:t>62.300</w:t>
            </w:r>
          </w:p>
        </w:tc>
        <w:tc>
          <w:tcPr>
            <w:tcW w:w="672" w:type="pct"/>
            <w:tcBorders>
              <w:top w:val="single" w:sz="18" w:space="0" w:color="FFFFFF"/>
              <w:left w:val="single" w:sz="8" w:space="0" w:color="FFFFFF"/>
              <w:right w:val="single" w:sz="8" w:space="0" w:color="FFFFFF"/>
            </w:tcBorders>
            <w:shd w:val="clear" w:color="auto" w:fill="EFD3D2"/>
            <w:tcMar>
              <w:top w:w="0" w:type="dxa"/>
              <w:left w:w="108" w:type="dxa"/>
              <w:bottom w:w="0" w:type="dxa"/>
              <w:right w:w="108" w:type="dxa"/>
            </w:tcMa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szCs w:val="22"/>
                <w:lang w:eastAsia="es-ES"/>
              </w:rPr>
              <w:t>6.400</w:t>
            </w:r>
          </w:p>
        </w:tc>
        <w:tc>
          <w:tcPr>
            <w:tcW w:w="728" w:type="pct"/>
            <w:tcBorders>
              <w:top w:val="single" w:sz="18" w:space="0" w:color="FFFFFF"/>
              <w:left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11.4</w:t>
            </w:r>
          </w:p>
        </w:tc>
        <w:tc>
          <w:tcPr>
            <w:tcW w:w="678" w:type="pct"/>
            <w:tcBorders>
              <w:top w:val="single" w:sz="18" w:space="0" w:color="FFFFFF"/>
              <w:left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9.00</w:t>
            </w:r>
            <w:r w:rsidRPr="004905FD">
              <w:rPr>
                <w:rFonts w:ascii="Rotis Sans Serif Std" w:hAnsi="Rotis Sans Serif Std" w:cs="RotisSansSerifStd-Regular"/>
                <w:color w:val="5E6061"/>
                <w:lang w:eastAsia="es-ES"/>
              </w:rPr>
              <w:t>0</w:t>
            </w:r>
          </w:p>
        </w:tc>
        <w:tc>
          <w:tcPr>
            <w:tcW w:w="727" w:type="pct"/>
            <w:tcBorders>
              <w:top w:val="single" w:sz="18" w:space="0" w:color="FFFFFF"/>
              <w:left w:val="single" w:sz="8" w:space="0" w:color="FFFFFF"/>
              <w:right w:val="single" w:sz="24"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szCs w:val="22"/>
                <w:lang w:eastAsia="es-ES"/>
              </w:rPr>
              <w:t>16,9</w:t>
            </w:r>
          </w:p>
        </w:tc>
      </w:tr>
      <w:tr w:rsidR="00767D0B" w:rsidRPr="003171F9" w:rsidTr="00767D0B">
        <w:trPr>
          <w:trHeight w:val="268"/>
        </w:trPr>
        <w:tc>
          <w:tcPr>
            <w:tcW w:w="1401" w:type="pct"/>
            <w:tcBorders>
              <w:top w:val="single" w:sz="8" w:space="0" w:color="FFFFFF"/>
              <w:left w:val="single" w:sz="24" w:space="0" w:color="FFFFFF"/>
              <w:bottom w:val="single" w:sz="8" w:space="0" w:color="FFFFFF"/>
              <w:right w:val="single" w:sz="1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 xml:space="preserve">Indústria </w:t>
            </w:r>
          </w:p>
        </w:tc>
        <w:tc>
          <w:tcPr>
            <w:tcW w:w="794" w:type="pct"/>
            <w:tcBorders>
              <w:top w:val="single" w:sz="8" w:space="0" w:color="FFFFFF"/>
              <w:left w:val="single" w:sz="18" w:space="0" w:color="FFFFFF"/>
              <w:bottom w:val="single" w:sz="8" w:space="0" w:color="FFFFFF"/>
              <w:right w:val="single" w:sz="8" w:space="0" w:color="FFFFFF"/>
            </w:tcBorders>
            <w:shd w:val="clear" w:color="auto" w:fill="EFD3D2"/>
            <w:tcMar>
              <w:top w:w="0" w:type="dxa"/>
              <w:left w:w="108" w:type="dxa"/>
              <w:bottom w:w="0" w:type="dxa"/>
              <w:right w:w="108" w:type="dxa"/>
            </w:tcMa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szCs w:val="22"/>
                <w:lang w:eastAsia="es-ES"/>
              </w:rPr>
              <w:t>631.500</w:t>
            </w:r>
          </w:p>
        </w:tc>
        <w:tc>
          <w:tcPr>
            <w:tcW w:w="672"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szCs w:val="22"/>
                <w:lang w:eastAsia="es-ES"/>
              </w:rPr>
              <w:t>11.600</w:t>
            </w:r>
          </w:p>
        </w:tc>
        <w:tc>
          <w:tcPr>
            <w:tcW w:w="72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1,9</w:t>
            </w:r>
          </w:p>
        </w:tc>
        <w:tc>
          <w:tcPr>
            <w:tcW w:w="67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53.700</w:t>
            </w:r>
          </w:p>
        </w:tc>
        <w:tc>
          <w:tcPr>
            <w:tcW w:w="727" w:type="pct"/>
            <w:tcBorders>
              <w:top w:val="single" w:sz="8" w:space="0" w:color="FFFFFF"/>
              <w:left w:val="single" w:sz="8" w:space="0" w:color="FFFFFF"/>
              <w:bottom w:val="single" w:sz="8" w:space="0" w:color="FFFFFF"/>
              <w:right w:val="single" w:sz="24"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sidRPr="004905FD">
              <w:rPr>
                <w:rFonts w:ascii="Rotis Sans Serif Std" w:hAnsi="Rotis Sans Serif Std" w:cs="RotisSansSerifStd-Regular"/>
                <w:color w:val="5E6061"/>
                <w:szCs w:val="22"/>
                <w:lang w:eastAsia="es-ES"/>
              </w:rPr>
              <w:t>9,</w:t>
            </w:r>
            <w:r>
              <w:rPr>
                <w:rFonts w:ascii="Rotis Sans Serif Std" w:hAnsi="Rotis Sans Serif Std" w:cs="RotisSansSerifStd-Regular"/>
                <w:color w:val="5E6061"/>
                <w:szCs w:val="22"/>
                <w:lang w:eastAsia="es-ES"/>
              </w:rPr>
              <w:t>3</w:t>
            </w:r>
          </w:p>
        </w:tc>
      </w:tr>
      <w:tr w:rsidR="00767D0B" w:rsidRPr="003171F9" w:rsidTr="00767D0B">
        <w:trPr>
          <w:trHeight w:val="318"/>
        </w:trPr>
        <w:tc>
          <w:tcPr>
            <w:tcW w:w="1401" w:type="pct"/>
            <w:tcBorders>
              <w:top w:val="single" w:sz="8" w:space="0" w:color="FFFFFF"/>
              <w:left w:val="single" w:sz="24" w:space="0" w:color="FFFFFF"/>
              <w:bottom w:val="single" w:sz="8" w:space="0" w:color="FFFFFF"/>
              <w:right w:val="single" w:sz="1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Construcció</w:t>
            </w:r>
          </w:p>
        </w:tc>
        <w:tc>
          <w:tcPr>
            <w:tcW w:w="794" w:type="pct"/>
            <w:tcBorders>
              <w:top w:val="single" w:sz="8" w:space="0" w:color="FFFFFF"/>
              <w:left w:val="single" w:sz="18" w:space="0" w:color="FFFFFF"/>
              <w:bottom w:val="single" w:sz="8" w:space="0" w:color="FFFFFF"/>
              <w:right w:val="single" w:sz="8" w:space="0" w:color="FFFFFF"/>
            </w:tcBorders>
            <w:shd w:val="clear" w:color="auto" w:fill="EFD3D2"/>
            <w:tcMar>
              <w:top w:w="0" w:type="dxa"/>
              <w:left w:w="108" w:type="dxa"/>
              <w:bottom w:w="0" w:type="dxa"/>
              <w:right w:w="108" w:type="dxa"/>
            </w:tcMa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szCs w:val="22"/>
                <w:lang w:eastAsia="es-ES"/>
              </w:rPr>
              <w:t>211.300</w:t>
            </w:r>
          </w:p>
        </w:tc>
        <w:tc>
          <w:tcPr>
            <w:tcW w:w="672"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szCs w:val="22"/>
                <w:lang w:eastAsia="es-ES"/>
              </w:rPr>
              <w:t>5.90</w:t>
            </w:r>
            <w:r w:rsidRPr="004905FD">
              <w:rPr>
                <w:rFonts w:ascii="Rotis Sans Serif Std" w:hAnsi="Rotis Sans Serif Std" w:cs="RotisSansSerifStd-Regular"/>
                <w:color w:val="5E6061"/>
                <w:szCs w:val="22"/>
                <w:lang w:eastAsia="es-ES"/>
              </w:rPr>
              <w:t>0</w:t>
            </w:r>
          </w:p>
        </w:tc>
        <w:tc>
          <w:tcPr>
            <w:tcW w:w="72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2,9</w:t>
            </w:r>
          </w:p>
        </w:tc>
        <w:tc>
          <w:tcPr>
            <w:tcW w:w="67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3.2</w:t>
            </w:r>
            <w:r w:rsidRPr="004905FD">
              <w:rPr>
                <w:rFonts w:ascii="Rotis Sans Serif Std" w:hAnsi="Rotis Sans Serif Std" w:cs="RotisSansSerifStd-Regular"/>
                <w:color w:val="5E6061"/>
                <w:lang w:eastAsia="es-ES"/>
              </w:rPr>
              <w:t>00</w:t>
            </w:r>
          </w:p>
        </w:tc>
        <w:tc>
          <w:tcPr>
            <w:tcW w:w="727" w:type="pct"/>
            <w:tcBorders>
              <w:top w:val="single" w:sz="8" w:space="0" w:color="FFFFFF"/>
              <w:left w:val="single" w:sz="8" w:space="0" w:color="FFFFFF"/>
              <w:bottom w:val="single" w:sz="8" w:space="0" w:color="FFFFFF"/>
              <w:right w:val="single" w:sz="24"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szCs w:val="22"/>
                <w:lang w:eastAsia="es-ES"/>
              </w:rPr>
              <w:t>1,5</w:t>
            </w:r>
          </w:p>
        </w:tc>
      </w:tr>
      <w:tr w:rsidR="00767D0B" w:rsidRPr="003171F9" w:rsidTr="00767D0B">
        <w:trPr>
          <w:trHeight w:val="367"/>
        </w:trPr>
        <w:tc>
          <w:tcPr>
            <w:tcW w:w="1401" w:type="pct"/>
            <w:tcBorders>
              <w:top w:val="single" w:sz="8" w:space="0" w:color="FFFFFF"/>
              <w:left w:val="single" w:sz="24" w:space="0" w:color="FFFFFF"/>
              <w:bottom w:val="single" w:sz="8" w:space="0" w:color="FFFFFF"/>
              <w:right w:val="single" w:sz="1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 xml:space="preserve">Serveis </w:t>
            </w:r>
          </w:p>
        </w:tc>
        <w:tc>
          <w:tcPr>
            <w:tcW w:w="794" w:type="pct"/>
            <w:tcBorders>
              <w:top w:val="single" w:sz="8" w:space="0" w:color="FFFFFF"/>
              <w:left w:val="single" w:sz="1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szCs w:val="22"/>
                <w:lang w:eastAsia="es-ES"/>
              </w:rPr>
              <w:t>2.455.300</w:t>
            </w:r>
          </w:p>
        </w:tc>
        <w:tc>
          <w:tcPr>
            <w:tcW w:w="672"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szCs w:val="22"/>
                <w:lang w:eastAsia="es-ES"/>
              </w:rPr>
              <w:t>33.200</w:t>
            </w:r>
          </w:p>
        </w:tc>
        <w:tc>
          <w:tcPr>
            <w:tcW w:w="72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1,4</w:t>
            </w:r>
          </w:p>
        </w:tc>
        <w:tc>
          <w:tcPr>
            <w:tcW w:w="67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23.900</w:t>
            </w:r>
          </w:p>
        </w:tc>
        <w:tc>
          <w:tcPr>
            <w:tcW w:w="727" w:type="pct"/>
            <w:tcBorders>
              <w:top w:val="single" w:sz="8" w:space="0" w:color="FFFFFF"/>
              <w:left w:val="single" w:sz="8" w:space="0" w:color="FFFFFF"/>
              <w:bottom w:val="single" w:sz="8" w:space="0" w:color="FFFFFF"/>
              <w:right w:val="single" w:sz="24"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szCs w:val="22"/>
                <w:lang w:eastAsia="es-ES"/>
              </w:rPr>
              <w:t>1,0</w:t>
            </w:r>
          </w:p>
        </w:tc>
      </w:tr>
      <w:tr w:rsidR="00767D0B" w:rsidRPr="00BC7ADA" w:rsidTr="00767D0B">
        <w:trPr>
          <w:trHeight w:val="403"/>
        </w:trPr>
        <w:tc>
          <w:tcPr>
            <w:tcW w:w="1401" w:type="pct"/>
            <w:tcBorders>
              <w:top w:val="single" w:sz="8" w:space="0" w:color="FFFFFF"/>
              <w:left w:val="single" w:sz="24" w:space="0" w:color="FFFFFF"/>
              <w:bottom w:val="single" w:sz="18" w:space="0" w:color="FFFFFF"/>
              <w:right w:val="single" w:sz="1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TOTAL</w:t>
            </w:r>
          </w:p>
        </w:tc>
        <w:tc>
          <w:tcPr>
            <w:tcW w:w="794" w:type="pct"/>
            <w:tcBorders>
              <w:top w:val="single" w:sz="8" w:space="0" w:color="FFFFFF"/>
              <w:left w:val="single" w:sz="18" w:space="0" w:color="FFFFFF"/>
              <w:bottom w:val="single" w:sz="18" w:space="0" w:color="FFFFFF"/>
              <w:right w:val="single" w:sz="8" w:space="0" w:color="FFFFFF"/>
            </w:tcBorders>
            <w:shd w:val="clear" w:color="auto" w:fill="EFD3D2"/>
            <w:tcMar>
              <w:top w:w="0" w:type="dxa"/>
              <w:left w:w="108" w:type="dxa"/>
              <w:bottom w:w="0" w:type="dxa"/>
              <w:right w:w="108" w:type="dxa"/>
            </w:tcMar>
          </w:tcPr>
          <w:p w:rsidR="00767D0B" w:rsidRPr="00BC7ADA" w:rsidRDefault="00767D0B" w:rsidP="00767D0B">
            <w:pPr>
              <w:spacing w:after="200" w:line="276" w:lineRule="auto"/>
              <w:jc w:val="right"/>
              <w:rPr>
                <w:rFonts w:ascii="Rotis Sans Serif Std" w:hAnsi="Rotis Sans Serif Std" w:cs="RotisSansSerifStd-Regular"/>
                <w:b/>
                <w:color w:val="5E6061"/>
                <w:lang w:eastAsia="es-ES"/>
              </w:rPr>
            </w:pPr>
            <w:r w:rsidRPr="00BC7ADA">
              <w:rPr>
                <w:rFonts w:ascii="Rotis Sans Serif Std" w:hAnsi="Rotis Sans Serif Std" w:cs="RotisSansSerifStd-Regular"/>
                <w:b/>
                <w:color w:val="5E6061"/>
                <w:lang w:eastAsia="es-ES"/>
              </w:rPr>
              <w:t>3.360.400</w:t>
            </w:r>
          </w:p>
        </w:tc>
        <w:tc>
          <w:tcPr>
            <w:tcW w:w="672" w:type="pct"/>
            <w:tcBorders>
              <w:top w:val="single" w:sz="8" w:space="0" w:color="FFFFFF"/>
              <w:left w:val="single" w:sz="8" w:space="0" w:color="FFFFFF"/>
              <w:bottom w:val="single" w:sz="18" w:space="0" w:color="FFFFFF"/>
              <w:right w:val="single" w:sz="8" w:space="0" w:color="FFFFFF"/>
            </w:tcBorders>
            <w:shd w:val="clear" w:color="auto" w:fill="EFD3D2"/>
            <w:tcMar>
              <w:top w:w="0" w:type="dxa"/>
              <w:left w:w="108" w:type="dxa"/>
              <w:bottom w:w="0" w:type="dxa"/>
              <w:right w:w="108" w:type="dxa"/>
            </w:tcMar>
            <w:vAlign w:val="center"/>
          </w:tcPr>
          <w:p w:rsidR="00767D0B" w:rsidRPr="00BC7ADA" w:rsidRDefault="00767D0B" w:rsidP="00767D0B">
            <w:pPr>
              <w:spacing w:after="200" w:line="276" w:lineRule="auto"/>
              <w:jc w:val="right"/>
              <w:rPr>
                <w:rFonts w:ascii="Rotis Sans Serif Std" w:hAnsi="Rotis Sans Serif Std" w:cs="RotisSansSerifStd-Regular"/>
                <w:b/>
                <w:color w:val="5E6061"/>
                <w:lang w:eastAsia="es-ES"/>
              </w:rPr>
            </w:pPr>
            <w:r w:rsidRPr="00BC7ADA">
              <w:rPr>
                <w:rFonts w:ascii="Rotis Sans Serif Std" w:hAnsi="Rotis Sans Serif Std" w:cs="RotisSansSerifStd-Regular"/>
                <w:b/>
                <w:color w:val="5E6061"/>
                <w:lang w:eastAsia="es-ES"/>
              </w:rPr>
              <w:t>57.200</w:t>
            </w:r>
          </w:p>
        </w:tc>
        <w:tc>
          <w:tcPr>
            <w:tcW w:w="728" w:type="pct"/>
            <w:tcBorders>
              <w:top w:val="single" w:sz="8" w:space="0" w:color="FFFFFF"/>
              <w:left w:val="single" w:sz="8" w:space="0" w:color="FFFFFF"/>
              <w:bottom w:val="single" w:sz="18" w:space="0" w:color="FFFFFF"/>
              <w:right w:val="single" w:sz="8" w:space="0" w:color="FFFFFF"/>
            </w:tcBorders>
            <w:shd w:val="clear" w:color="auto" w:fill="EFD3D2"/>
            <w:tcMar>
              <w:top w:w="0" w:type="dxa"/>
              <w:left w:w="108" w:type="dxa"/>
              <w:bottom w:w="0" w:type="dxa"/>
              <w:right w:w="108" w:type="dxa"/>
            </w:tcMar>
            <w:vAlign w:val="center"/>
          </w:tcPr>
          <w:p w:rsidR="00767D0B" w:rsidRPr="00BC7ADA" w:rsidRDefault="00767D0B" w:rsidP="00767D0B">
            <w:pPr>
              <w:spacing w:after="200" w:line="276" w:lineRule="auto"/>
              <w:jc w:val="right"/>
              <w:rPr>
                <w:rFonts w:ascii="Rotis Sans Serif Std" w:hAnsi="Rotis Sans Serif Std" w:cs="RotisSansSerifStd-Regular"/>
                <w:b/>
                <w:color w:val="5E6061"/>
                <w:lang w:eastAsia="es-ES"/>
              </w:rPr>
            </w:pPr>
            <w:r w:rsidRPr="00BC7ADA">
              <w:rPr>
                <w:rFonts w:ascii="Rotis Sans Serif Std" w:hAnsi="Rotis Sans Serif Std" w:cs="RotisSansSerifStd-Regular"/>
                <w:b/>
                <w:color w:val="5E6061"/>
                <w:lang w:eastAsia="es-ES"/>
              </w:rPr>
              <w:t>1,7</w:t>
            </w:r>
          </w:p>
        </w:tc>
        <w:tc>
          <w:tcPr>
            <w:tcW w:w="678" w:type="pct"/>
            <w:tcBorders>
              <w:top w:val="single" w:sz="8" w:space="0" w:color="FFFFFF"/>
              <w:left w:val="single" w:sz="8" w:space="0" w:color="FFFFFF"/>
              <w:bottom w:val="single" w:sz="18" w:space="0" w:color="FFFFFF"/>
              <w:right w:val="single" w:sz="8" w:space="0" w:color="FFFFFF"/>
            </w:tcBorders>
            <w:shd w:val="clear" w:color="auto" w:fill="EFD3D2"/>
            <w:tcMar>
              <w:top w:w="0" w:type="dxa"/>
              <w:left w:w="108" w:type="dxa"/>
              <w:bottom w:w="0" w:type="dxa"/>
              <w:right w:w="108" w:type="dxa"/>
            </w:tcMar>
            <w:vAlign w:val="center"/>
          </w:tcPr>
          <w:p w:rsidR="00767D0B" w:rsidRPr="00BC7ADA" w:rsidRDefault="00767D0B" w:rsidP="00767D0B">
            <w:pPr>
              <w:spacing w:after="200" w:line="276" w:lineRule="auto"/>
              <w:jc w:val="right"/>
              <w:rPr>
                <w:rFonts w:ascii="Rotis Sans Serif Std" w:hAnsi="Rotis Sans Serif Std" w:cs="RotisSansSerifStd-Regular"/>
                <w:b/>
                <w:color w:val="5E6061"/>
                <w:lang w:eastAsia="es-ES"/>
              </w:rPr>
            </w:pPr>
            <w:r w:rsidRPr="00BC7ADA">
              <w:rPr>
                <w:rFonts w:ascii="Rotis Sans Serif Std" w:hAnsi="Rotis Sans Serif Std" w:cs="RotisSansSerifStd-Regular"/>
                <w:b/>
                <w:color w:val="5E6061"/>
                <w:lang w:eastAsia="es-ES"/>
              </w:rPr>
              <w:t>89.900</w:t>
            </w:r>
          </w:p>
        </w:tc>
        <w:tc>
          <w:tcPr>
            <w:tcW w:w="727" w:type="pct"/>
            <w:tcBorders>
              <w:top w:val="single" w:sz="8" w:space="0" w:color="FFFFFF"/>
              <w:left w:val="single" w:sz="8" w:space="0" w:color="FFFFFF"/>
              <w:bottom w:val="single" w:sz="18" w:space="0" w:color="FFFFFF"/>
              <w:right w:val="single" w:sz="24" w:space="0" w:color="FFFFFF"/>
            </w:tcBorders>
            <w:shd w:val="clear" w:color="auto" w:fill="EFD3D2"/>
            <w:tcMar>
              <w:top w:w="0" w:type="dxa"/>
              <w:left w:w="108" w:type="dxa"/>
              <w:bottom w:w="0" w:type="dxa"/>
              <w:right w:w="108" w:type="dxa"/>
            </w:tcMar>
            <w:vAlign w:val="center"/>
          </w:tcPr>
          <w:p w:rsidR="00767D0B" w:rsidRPr="00BC7ADA" w:rsidRDefault="00767D0B" w:rsidP="00767D0B">
            <w:pPr>
              <w:spacing w:after="200" w:line="276" w:lineRule="auto"/>
              <w:jc w:val="right"/>
              <w:rPr>
                <w:rFonts w:ascii="Rotis Sans Serif Std" w:hAnsi="Rotis Sans Serif Std" w:cs="RotisSansSerifStd-Regular"/>
                <w:b/>
                <w:color w:val="5E6061"/>
                <w:lang w:eastAsia="es-ES"/>
              </w:rPr>
            </w:pPr>
            <w:r w:rsidRPr="00BC7ADA">
              <w:rPr>
                <w:rFonts w:ascii="Rotis Sans Serif Std" w:hAnsi="Rotis Sans Serif Std" w:cs="RotisSansSerifStd-Regular"/>
                <w:b/>
                <w:color w:val="5E6061"/>
                <w:lang w:eastAsia="es-ES"/>
              </w:rPr>
              <w:t>2,7</w:t>
            </w:r>
          </w:p>
        </w:tc>
      </w:tr>
    </w:tbl>
    <w:p w:rsidR="00767D0B" w:rsidRPr="00AD657B" w:rsidRDefault="00767D0B" w:rsidP="00767D0B">
      <w:pPr>
        <w:spacing w:line="276" w:lineRule="auto"/>
        <w:jc w:val="center"/>
        <w:rPr>
          <w:rFonts w:ascii="Rotis Sans Serif Std" w:hAnsi="Rotis Sans Serif Std" w:cs="RotisSansSerifStd-Regular"/>
          <w:color w:val="5E6061"/>
          <w:sz w:val="18"/>
          <w:szCs w:val="22"/>
          <w:lang w:eastAsia="es-ES"/>
        </w:rPr>
      </w:pPr>
      <w:r w:rsidRPr="004905FD">
        <w:rPr>
          <w:rFonts w:ascii="Rotis Sans Serif Std" w:hAnsi="Rotis Sans Serif Std" w:cs="RotisSansSerifStd-Regular"/>
          <w:color w:val="5E6061"/>
          <w:sz w:val="18"/>
          <w:szCs w:val="22"/>
          <w:lang w:eastAsia="es-ES"/>
        </w:rPr>
        <w:t>Font: Elaboració pròpia a partir de les dades de l’INE.</w:t>
      </w:r>
    </w:p>
    <w:p w:rsidR="00767D0B" w:rsidRDefault="00767D0B" w:rsidP="00767D0B">
      <w:pPr>
        <w:tabs>
          <w:tab w:val="left" w:pos="3835"/>
        </w:tabs>
        <w:spacing w:line="276" w:lineRule="auto"/>
        <w:jc w:val="right"/>
        <w:rPr>
          <w:rFonts w:ascii="Rotis Sans Serif Std" w:hAnsi="Rotis Sans Serif Std"/>
          <w:b/>
          <w:color w:val="C00000"/>
        </w:rPr>
      </w:pPr>
    </w:p>
    <w:p w:rsidR="00767D0B" w:rsidRDefault="00767D0B" w:rsidP="00767D0B">
      <w:pPr>
        <w:tabs>
          <w:tab w:val="left" w:pos="3835"/>
        </w:tabs>
        <w:spacing w:line="276" w:lineRule="auto"/>
        <w:rPr>
          <w:rFonts w:ascii="Rotis Sans Serif Std" w:hAnsi="Rotis Sans Serif Std"/>
          <w:b/>
          <w:color w:val="C00000"/>
        </w:rPr>
      </w:pPr>
    </w:p>
    <w:p w:rsidR="00E650B8" w:rsidRDefault="00E650B8" w:rsidP="00767D0B">
      <w:pPr>
        <w:tabs>
          <w:tab w:val="left" w:pos="3835"/>
        </w:tabs>
        <w:spacing w:line="276" w:lineRule="auto"/>
        <w:jc w:val="right"/>
        <w:rPr>
          <w:rFonts w:ascii="Rotis Sans Serif Std" w:hAnsi="Rotis Sans Serif Std"/>
          <w:b/>
          <w:color w:val="C00000"/>
        </w:rPr>
      </w:pPr>
    </w:p>
    <w:p w:rsidR="00E650B8" w:rsidRDefault="00E650B8" w:rsidP="00767D0B">
      <w:pPr>
        <w:tabs>
          <w:tab w:val="left" w:pos="3835"/>
        </w:tabs>
        <w:spacing w:line="276" w:lineRule="auto"/>
        <w:jc w:val="right"/>
        <w:rPr>
          <w:rFonts w:ascii="Rotis Sans Serif Std" w:hAnsi="Rotis Sans Serif Std"/>
          <w:b/>
          <w:color w:val="C00000"/>
        </w:rPr>
      </w:pPr>
    </w:p>
    <w:p w:rsidR="00E650B8" w:rsidRDefault="00E650B8" w:rsidP="00767D0B">
      <w:pPr>
        <w:tabs>
          <w:tab w:val="left" w:pos="3835"/>
        </w:tabs>
        <w:spacing w:line="276" w:lineRule="auto"/>
        <w:jc w:val="right"/>
        <w:rPr>
          <w:rFonts w:ascii="Rotis Sans Serif Std" w:hAnsi="Rotis Sans Serif Std"/>
          <w:b/>
          <w:color w:val="C00000"/>
        </w:rPr>
      </w:pPr>
    </w:p>
    <w:p w:rsidR="00763868" w:rsidRDefault="00763868" w:rsidP="00767D0B">
      <w:pPr>
        <w:tabs>
          <w:tab w:val="left" w:pos="3835"/>
        </w:tabs>
        <w:spacing w:line="276" w:lineRule="auto"/>
        <w:jc w:val="right"/>
        <w:rPr>
          <w:rFonts w:ascii="Rotis Sans Serif Std" w:hAnsi="Rotis Sans Serif Std"/>
          <w:b/>
          <w:color w:val="C00000"/>
        </w:rPr>
      </w:pPr>
    </w:p>
    <w:p w:rsidR="00763868" w:rsidRDefault="00763868" w:rsidP="00767D0B">
      <w:pPr>
        <w:tabs>
          <w:tab w:val="left" w:pos="3835"/>
        </w:tabs>
        <w:spacing w:line="276" w:lineRule="auto"/>
        <w:jc w:val="right"/>
        <w:rPr>
          <w:rFonts w:ascii="Rotis Sans Serif Std" w:hAnsi="Rotis Sans Serif Std"/>
          <w:b/>
          <w:color w:val="C00000"/>
        </w:rPr>
      </w:pPr>
    </w:p>
    <w:p w:rsidR="00763868" w:rsidRDefault="00763868" w:rsidP="00767D0B">
      <w:pPr>
        <w:tabs>
          <w:tab w:val="left" w:pos="3835"/>
        </w:tabs>
        <w:spacing w:line="276" w:lineRule="auto"/>
        <w:jc w:val="right"/>
        <w:rPr>
          <w:rFonts w:ascii="Rotis Sans Serif Std" w:hAnsi="Rotis Sans Serif Std"/>
          <w:b/>
          <w:color w:val="C00000"/>
        </w:rPr>
      </w:pPr>
    </w:p>
    <w:p w:rsidR="00E650B8" w:rsidRDefault="00E650B8" w:rsidP="00767D0B">
      <w:pPr>
        <w:tabs>
          <w:tab w:val="left" w:pos="3835"/>
        </w:tabs>
        <w:spacing w:line="276" w:lineRule="auto"/>
        <w:jc w:val="right"/>
        <w:rPr>
          <w:rFonts w:ascii="Rotis Sans Serif Std" w:hAnsi="Rotis Sans Serif Std"/>
          <w:b/>
          <w:color w:val="C00000"/>
        </w:rPr>
      </w:pPr>
    </w:p>
    <w:p w:rsidR="00767D0B" w:rsidRPr="004905FD" w:rsidRDefault="00767D0B" w:rsidP="00767D0B">
      <w:pPr>
        <w:tabs>
          <w:tab w:val="left" w:pos="3835"/>
        </w:tabs>
        <w:spacing w:line="276" w:lineRule="auto"/>
        <w:jc w:val="right"/>
        <w:rPr>
          <w:rFonts w:ascii="Rotis Sans Serif Std" w:hAnsi="Rotis Sans Serif Std"/>
          <w:b/>
          <w:color w:val="C00000"/>
        </w:rPr>
      </w:pPr>
      <w:r w:rsidRPr="004905FD">
        <w:rPr>
          <w:rFonts w:ascii="Rotis Sans Serif Std" w:hAnsi="Rotis Sans Serif Std"/>
          <w:b/>
          <w:color w:val="C00000"/>
        </w:rPr>
        <w:t>ATURATS</w:t>
      </w:r>
    </w:p>
    <w:tbl>
      <w:tblPr>
        <w:tblW w:w="5000" w:type="pct"/>
        <w:tblCellMar>
          <w:left w:w="0" w:type="dxa"/>
          <w:right w:w="0" w:type="dxa"/>
        </w:tblCellMar>
        <w:tblLook w:val="00A0" w:firstRow="1" w:lastRow="0" w:firstColumn="1" w:lastColumn="0" w:noHBand="0" w:noVBand="0"/>
      </w:tblPr>
      <w:tblGrid>
        <w:gridCol w:w="2761"/>
        <w:gridCol w:w="1565"/>
        <w:gridCol w:w="1325"/>
        <w:gridCol w:w="1435"/>
        <w:gridCol w:w="1336"/>
        <w:gridCol w:w="1433"/>
      </w:tblGrid>
      <w:tr w:rsidR="00767D0B" w:rsidRPr="003171F9" w:rsidTr="00767D0B">
        <w:trPr>
          <w:trHeight w:val="402"/>
        </w:trPr>
        <w:tc>
          <w:tcPr>
            <w:tcW w:w="1401" w:type="pct"/>
            <w:vMerge w:val="restart"/>
            <w:tcBorders>
              <w:top w:val="nil"/>
              <w:left w:val="nil"/>
              <w:right w:val="single" w:sz="8" w:space="0" w:color="FFFFFF"/>
            </w:tcBorders>
            <w:tcMar>
              <w:top w:w="0" w:type="dxa"/>
              <w:left w:w="108" w:type="dxa"/>
              <w:bottom w:w="0" w:type="dxa"/>
              <w:right w:w="108" w:type="dxa"/>
            </w:tcMar>
          </w:tcPr>
          <w:p w:rsidR="00767D0B" w:rsidRPr="004905FD" w:rsidRDefault="00767D0B" w:rsidP="00767D0B">
            <w:pPr>
              <w:spacing w:after="200" w:line="276" w:lineRule="auto"/>
              <w:jc w:val="both"/>
              <w:rPr>
                <w:rFonts w:ascii="Rotis Sans Serif Std" w:hAnsi="Rotis Sans Serif Std"/>
                <w:color w:val="FF0000"/>
                <w:lang w:eastAsia="es-ES_tradnl"/>
              </w:rPr>
            </w:pPr>
          </w:p>
        </w:tc>
        <w:tc>
          <w:tcPr>
            <w:tcW w:w="794" w:type="pct"/>
            <w:vMerge w:val="restart"/>
            <w:tcBorders>
              <w:top w:val="single" w:sz="8" w:space="0" w:color="FFFFFF"/>
              <w:left w:val="single" w:sz="8" w:space="0" w:color="FFFFFF"/>
              <w:right w:val="single" w:sz="4" w:space="0" w:color="C0504D"/>
            </w:tcBorders>
            <w:shd w:val="clear" w:color="auto" w:fill="C0504D"/>
            <w:tcMar>
              <w:top w:w="0" w:type="dxa"/>
              <w:left w:w="108" w:type="dxa"/>
              <w:bottom w:w="0" w:type="dxa"/>
              <w:right w:w="108" w:type="dxa"/>
            </w:tcMar>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p>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Valor</w:t>
            </w:r>
          </w:p>
        </w:tc>
        <w:tc>
          <w:tcPr>
            <w:tcW w:w="1400" w:type="pct"/>
            <w:gridSpan w:val="2"/>
            <w:tcBorders>
              <w:top w:val="single" w:sz="8" w:space="0" w:color="FFFFFF"/>
              <w:left w:val="single" w:sz="4" w:space="0" w:color="C0504D"/>
              <w:bottom w:val="single" w:sz="8" w:space="0" w:color="FFFFFF"/>
              <w:right w:val="single" w:sz="4" w:space="0" w:color="C0504D"/>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 xml:space="preserve">Var. </w:t>
            </w:r>
            <w:proofErr w:type="spellStart"/>
            <w:r w:rsidRPr="004905FD">
              <w:rPr>
                <w:rFonts w:ascii="Rotis Sans Serif Std" w:hAnsi="Rotis Sans Serif Std" w:cs="RotisSansSerifStd-Regular"/>
                <w:color w:val="FFFFFF"/>
                <w:lang w:eastAsia="es-ES_tradnl"/>
              </w:rPr>
              <w:t>Intertrimestral</w:t>
            </w:r>
            <w:proofErr w:type="spellEnd"/>
          </w:p>
        </w:tc>
        <w:tc>
          <w:tcPr>
            <w:tcW w:w="1405" w:type="pct"/>
            <w:gridSpan w:val="2"/>
            <w:tcBorders>
              <w:top w:val="single" w:sz="8" w:space="0" w:color="FFFFFF"/>
              <w:left w:val="single" w:sz="4" w:space="0" w:color="C0504D"/>
              <w:bottom w:val="single" w:sz="8" w:space="0" w:color="FFFFFF"/>
              <w:right w:val="single" w:sz="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Var. interanual</w:t>
            </w:r>
          </w:p>
        </w:tc>
      </w:tr>
      <w:tr w:rsidR="00767D0B" w:rsidRPr="003171F9" w:rsidTr="00767D0B">
        <w:trPr>
          <w:trHeight w:val="466"/>
        </w:trPr>
        <w:tc>
          <w:tcPr>
            <w:tcW w:w="1401" w:type="pct"/>
            <w:vMerge/>
            <w:tcBorders>
              <w:left w:val="nil"/>
              <w:bottom w:val="single" w:sz="24" w:space="0" w:color="FFFFFF"/>
              <w:right w:val="single" w:sz="8" w:space="0" w:color="FFFFFF"/>
            </w:tcBorders>
            <w:tcMar>
              <w:top w:w="0" w:type="dxa"/>
              <w:left w:w="108" w:type="dxa"/>
              <w:bottom w:w="0" w:type="dxa"/>
              <w:right w:w="108" w:type="dxa"/>
            </w:tcMar>
          </w:tcPr>
          <w:p w:rsidR="00767D0B" w:rsidRPr="004905FD" w:rsidRDefault="00767D0B" w:rsidP="00767D0B">
            <w:pPr>
              <w:spacing w:after="200" w:line="276" w:lineRule="auto"/>
              <w:jc w:val="both"/>
              <w:rPr>
                <w:rFonts w:ascii="Rotis Sans Serif Std" w:hAnsi="Rotis Sans Serif Std"/>
                <w:color w:val="FF0000"/>
                <w:lang w:eastAsia="es-ES_tradnl"/>
              </w:rPr>
            </w:pPr>
          </w:p>
        </w:tc>
        <w:tc>
          <w:tcPr>
            <w:tcW w:w="794" w:type="pct"/>
            <w:vMerge/>
            <w:tcBorders>
              <w:left w:val="single" w:sz="8" w:space="0" w:color="FFFFFF"/>
              <w:bottom w:val="single" w:sz="18" w:space="0" w:color="FFFFFF"/>
              <w:right w:val="single" w:sz="4" w:space="0" w:color="C0504D"/>
            </w:tcBorders>
            <w:shd w:val="clear" w:color="auto" w:fill="C0504D"/>
            <w:tcMar>
              <w:top w:w="0" w:type="dxa"/>
              <w:left w:w="108" w:type="dxa"/>
              <w:bottom w:w="0" w:type="dxa"/>
              <w:right w:w="108" w:type="dxa"/>
            </w:tcMar>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p>
        </w:tc>
        <w:tc>
          <w:tcPr>
            <w:tcW w:w="672" w:type="pct"/>
            <w:tcBorders>
              <w:top w:val="single" w:sz="8" w:space="0" w:color="FFFFFF"/>
              <w:left w:val="single" w:sz="4" w:space="0" w:color="C0504D"/>
              <w:bottom w:val="single" w:sz="18" w:space="0" w:color="FFFFFF"/>
              <w:right w:val="single" w:sz="4" w:space="0" w:color="C0504D"/>
            </w:tcBorders>
            <w:shd w:val="clear" w:color="auto" w:fill="C0504D"/>
            <w:tcMar>
              <w:top w:w="0" w:type="dxa"/>
              <w:left w:w="108" w:type="dxa"/>
              <w:bottom w:w="0" w:type="dxa"/>
              <w:right w:w="108" w:type="dxa"/>
            </w:tcMar>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Absoluta</w:t>
            </w:r>
          </w:p>
        </w:tc>
        <w:tc>
          <w:tcPr>
            <w:tcW w:w="728" w:type="pct"/>
            <w:tcBorders>
              <w:top w:val="single" w:sz="8" w:space="0" w:color="FFFFFF"/>
              <w:left w:val="single" w:sz="4" w:space="0" w:color="C0504D"/>
              <w:bottom w:val="single" w:sz="18" w:space="0" w:color="FFFFFF"/>
              <w:right w:val="single" w:sz="4" w:space="0" w:color="C0504D"/>
            </w:tcBorders>
            <w:shd w:val="clear" w:color="auto" w:fill="C0504D"/>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Relativa (%)</w:t>
            </w:r>
          </w:p>
        </w:tc>
        <w:tc>
          <w:tcPr>
            <w:tcW w:w="678" w:type="pct"/>
            <w:tcBorders>
              <w:top w:val="single" w:sz="8" w:space="0" w:color="FFFFFF"/>
              <w:left w:val="single" w:sz="4" w:space="0" w:color="C0504D"/>
              <w:bottom w:val="single" w:sz="18" w:space="0" w:color="FFFFFF"/>
              <w:right w:val="single" w:sz="4" w:space="0" w:color="C0504D"/>
            </w:tcBorders>
            <w:shd w:val="clear" w:color="auto" w:fill="C0504D"/>
            <w:tcMar>
              <w:top w:w="0" w:type="dxa"/>
              <w:left w:w="108" w:type="dxa"/>
              <w:bottom w:w="0" w:type="dxa"/>
              <w:right w:w="108" w:type="dxa"/>
            </w:tcMar>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 xml:space="preserve">Absoluta </w:t>
            </w:r>
          </w:p>
        </w:tc>
        <w:tc>
          <w:tcPr>
            <w:tcW w:w="727" w:type="pct"/>
            <w:tcBorders>
              <w:top w:val="single" w:sz="8" w:space="0" w:color="FFFFFF"/>
              <w:left w:val="single" w:sz="4" w:space="0" w:color="C0504D"/>
              <w:bottom w:val="single" w:sz="18" w:space="0" w:color="FFFFFF"/>
              <w:right w:val="single" w:sz="8" w:space="0" w:color="FFFFFF"/>
            </w:tcBorders>
            <w:shd w:val="clear" w:color="auto" w:fill="C0504D"/>
          </w:tcPr>
          <w:p w:rsidR="00767D0B" w:rsidRPr="004905FD" w:rsidRDefault="00767D0B" w:rsidP="00767D0B">
            <w:pPr>
              <w:spacing w:after="200" w:line="276" w:lineRule="auto"/>
              <w:jc w:val="center"/>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Relativa (%)</w:t>
            </w:r>
          </w:p>
        </w:tc>
      </w:tr>
      <w:tr w:rsidR="00767D0B" w:rsidRPr="003171F9" w:rsidTr="00767D0B">
        <w:trPr>
          <w:trHeight w:val="504"/>
        </w:trPr>
        <w:tc>
          <w:tcPr>
            <w:tcW w:w="1401" w:type="pct"/>
            <w:tcBorders>
              <w:top w:val="nil"/>
              <w:left w:val="single" w:sz="24" w:space="0" w:color="FFFFFF"/>
              <w:right w:val="single" w:sz="1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Agricultura</w:t>
            </w:r>
          </w:p>
        </w:tc>
        <w:tc>
          <w:tcPr>
            <w:tcW w:w="794" w:type="pct"/>
            <w:tcBorders>
              <w:top w:val="single" w:sz="18" w:space="0" w:color="FFFFFF"/>
              <w:left w:val="single" w:sz="18" w:space="0" w:color="FFFFFF"/>
              <w:right w:val="single" w:sz="8" w:space="0" w:color="FFFFFF"/>
            </w:tcBorders>
            <w:shd w:val="clear" w:color="auto" w:fill="EFD3D2"/>
            <w:tcMar>
              <w:top w:w="0" w:type="dxa"/>
              <w:left w:w="108" w:type="dxa"/>
              <w:bottom w:w="0" w:type="dxa"/>
              <w:right w:w="108" w:type="dxa"/>
            </w:tcMa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5.300</w:t>
            </w:r>
          </w:p>
        </w:tc>
        <w:tc>
          <w:tcPr>
            <w:tcW w:w="672" w:type="pct"/>
            <w:tcBorders>
              <w:top w:val="single" w:sz="18" w:space="0" w:color="FFFFFF"/>
              <w:left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w:t>
            </w:r>
            <w:r w:rsidRPr="004905FD">
              <w:rPr>
                <w:rFonts w:ascii="Rotis Sans Serif Std" w:hAnsi="Rotis Sans Serif Std" w:cs="RotisSansSerifStd-Regular"/>
                <w:color w:val="5E6061"/>
                <w:lang w:eastAsia="es-ES"/>
              </w:rPr>
              <w:t>1.800</w:t>
            </w:r>
          </w:p>
        </w:tc>
        <w:tc>
          <w:tcPr>
            <w:tcW w:w="728" w:type="pct"/>
            <w:tcBorders>
              <w:top w:val="single" w:sz="18" w:space="0" w:color="FFFFFF"/>
              <w:left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-25,4</w:t>
            </w:r>
          </w:p>
        </w:tc>
        <w:tc>
          <w:tcPr>
            <w:tcW w:w="678" w:type="pct"/>
            <w:tcBorders>
              <w:top w:val="single" w:sz="18" w:space="0" w:color="FFFFFF"/>
              <w:left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400</w:t>
            </w:r>
          </w:p>
        </w:tc>
        <w:tc>
          <w:tcPr>
            <w:tcW w:w="727" w:type="pct"/>
            <w:tcBorders>
              <w:top w:val="single" w:sz="18" w:space="0" w:color="FFFFFF"/>
              <w:left w:val="single" w:sz="8" w:space="0" w:color="FFFFFF"/>
              <w:right w:val="single" w:sz="24"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8,2</w:t>
            </w:r>
          </w:p>
        </w:tc>
      </w:tr>
      <w:tr w:rsidR="00767D0B" w:rsidRPr="003171F9" w:rsidTr="00767D0B">
        <w:trPr>
          <w:trHeight w:val="268"/>
        </w:trPr>
        <w:tc>
          <w:tcPr>
            <w:tcW w:w="1401" w:type="pct"/>
            <w:tcBorders>
              <w:top w:val="single" w:sz="8" w:space="0" w:color="FFFFFF"/>
              <w:left w:val="single" w:sz="24" w:space="0" w:color="FFFFFF"/>
              <w:bottom w:val="single" w:sz="8" w:space="0" w:color="FFFFFF"/>
              <w:right w:val="single" w:sz="1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 xml:space="preserve">Indústria </w:t>
            </w:r>
          </w:p>
        </w:tc>
        <w:tc>
          <w:tcPr>
            <w:tcW w:w="794" w:type="pct"/>
            <w:tcBorders>
              <w:top w:val="single" w:sz="8" w:space="0" w:color="FFFFFF"/>
              <w:left w:val="single" w:sz="18" w:space="0" w:color="FFFFFF"/>
              <w:bottom w:val="single" w:sz="8" w:space="0" w:color="FFFFFF"/>
              <w:right w:val="single" w:sz="8" w:space="0" w:color="FFFFFF"/>
            </w:tcBorders>
            <w:shd w:val="clear" w:color="auto" w:fill="EFD3D2"/>
            <w:tcMar>
              <w:top w:w="0" w:type="dxa"/>
              <w:left w:w="108" w:type="dxa"/>
              <w:bottom w:w="0" w:type="dxa"/>
              <w:right w:w="108" w:type="dxa"/>
            </w:tcMa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28.100</w:t>
            </w:r>
          </w:p>
        </w:tc>
        <w:tc>
          <w:tcPr>
            <w:tcW w:w="672"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-3.300</w:t>
            </w:r>
          </w:p>
        </w:tc>
        <w:tc>
          <w:tcPr>
            <w:tcW w:w="72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-10,5</w:t>
            </w:r>
          </w:p>
        </w:tc>
        <w:tc>
          <w:tcPr>
            <w:tcW w:w="67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1.200</w:t>
            </w:r>
          </w:p>
        </w:tc>
        <w:tc>
          <w:tcPr>
            <w:tcW w:w="727" w:type="pct"/>
            <w:tcBorders>
              <w:top w:val="single" w:sz="8" w:space="0" w:color="FFFFFF"/>
              <w:left w:val="single" w:sz="8" w:space="0" w:color="FFFFFF"/>
              <w:bottom w:val="single" w:sz="8" w:space="0" w:color="FFFFFF"/>
              <w:right w:val="single" w:sz="24"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4,5</w:t>
            </w:r>
          </w:p>
        </w:tc>
      </w:tr>
      <w:tr w:rsidR="00767D0B" w:rsidRPr="003171F9" w:rsidTr="00767D0B">
        <w:trPr>
          <w:trHeight w:val="318"/>
        </w:trPr>
        <w:tc>
          <w:tcPr>
            <w:tcW w:w="1401" w:type="pct"/>
            <w:tcBorders>
              <w:top w:val="single" w:sz="8" w:space="0" w:color="FFFFFF"/>
              <w:left w:val="single" w:sz="24" w:space="0" w:color="FFFFFF"/>
              <w:bottom w:val="single" w:sz="8" w:space="0" w:color="FFFFFF"/>
              <w:right w:val="single" w:sz="1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Construcció</w:t>
            </w:r>
          </w:p>
        </w:tc>
        <w:tc>
          <w:tcPr>
            <w:tcW w:w="794" w:type="pct"/>
            <w:tcBorders>
              <w:top w:val="single" w:sz="8" w:space="0" w:color="FFFFFF"/>
              <w:left w:val="single" w:sz="18" w:space="0" w:color="FFFFFF"/>
              <w:bottom w:val="single" w:sz="8" w:space="0" w:color="FFFFFF"/>
              <w:right w:val="single" w:sz="8" w:space="0" w:color="FFFFFF"/>
            </w:tcBorders>
            <w:shd w:val="clear" w:color="auto" w:fill="EFD3D2"/>
            <w:tcMar>
              <w:top w:w="0" w:type="dxa"/>
              <w:left w:w="108" w:type="dxa"/>
              <w:bottom w:w="0" w:type="dxa"/>
              <w:right w:w="108" w:type="dxa"/>
            </w:tcMa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16.000</w:t>
            </w:r>
          </w:p>
        </w:tc>
        <w:tc>
          <w:tcPr>
            <w:tcW w:w="672"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600</w:t>
            </w:r>
          </w:p>
        </w:tc>
        <w:tc>
          <w:tcPr>
            <w:tcW w:w="72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3,9</w:t>
            </w:r>
          </w:p>
        </w:tc>
        <w:tc>
          <w:tcPr>
            <w:tcW w:w="67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1.300</w:t>
            </w:r>
          </w:p>
        </w:tc>
        <w:tc>
          <w:tcPr>
            <w:tcW w:w="727" w:type="pct"/>
            <w:tcBorders>
              <w:top w:val="single" w:sz="8" w:space="0" w:color="FFFFFF"/>
              <w:left w:val="single" w:sz="8" w:space="0" w:color="FFFFFF"/>
              <w:bottom w:val="single" w:sz="8" w:space="0" w:color="FFFFFF"/>
              <w:right w:val="single" w:sz="24"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8,8</w:t>
            </w:r>
          </w:p>
        </w:tc>
      </w:tr>
      <w:tr w:rsidR="00767D0B" w:rsidRPr="003171F9" w:rsidTr="00767D0B">
        <w:trPr>
          <w:trHeight w:val="367"/>
        </w:trPr>
        <w:tc>
          <w:tcPr>
            <w:tcW w:w="1401" w:type="pct"/>
            <w:tcBorders>
              <w:top w:val="single" w:sz="8" w:space="0" w:color="FFFFFF"/>
              <w:left w:val="single" w:sz="24" w:space="0" w:color="FFFFFF"/>
              <w:bottom w:val="single" w:sz="8" w:space="0" w:color="FFFFFF"/>
              <w:right w:val="single" w:sz="1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 xml:space="preserve">Serveis </w:t>
            </w:r>
          </w:p>
        </w:tc>
        <w:tc>
          <w:tcPr>
            <w:tcW w:w="794" w:type="pct"/>
            <w:tcBorders>
              <w:top w:val="single" w:sz="8" w:space="0" w:color="FFFFFF"/>
              <w:left w:val="single" w:sz="1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148.400</w:t>
            </w:r>
          </w:p>
        </w:tc>
        <w:tc>
          <w:tcPr>
            <w:tcW w:w="672"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-21.100</w:t>
            </w:r>
          </w:p>
        </w:tc>
        <w:tc>
          <w:tcPr>
            <w:tcW w:w="72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-12,4</w:t>
            </w:r>
          </w:p>
        </w:tc>
        <w:tc>
          <w:tcPr>
            <w:tcW w:w="67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-5.800</w:t>
            </w:r>
          </w:p>
        </w:tc>
        <w:tc>
          <w:tcPr>
            <w:tcW w:w="727" w:type="pct"/>
            <w:tcBorders>
              <w:top w:val="single" w:sz="8" w:space="0" w:color="FFFFFF"/>
              <w:left w:val="single" w:sz="8" w:space="0" w:color="FFFFFF"/>
              <w:bottom w:val="single" w:sz="8" w:space="0" w:color="FFFFFF"/>
              <w:right w:val="single" w:sz="24"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-3,8</w:t>
            </w:r>
          </w:p>
        </w:tc>
      </w:tr>
      <w:tr w:rsidR="00767D0B" w:rsidRPr="003171F9" w:rsidTr="00767D0B">
        <w:trPr>
          <w:trHeight w:val="367"/>
        </w:trPr>
        <w:tc>
          <w:tcPr>
            <w:tcW w:w="1401" w:type="pct"/>
            <w:tcBorders>
              <w:top w:val="single" w:sz="8" w:space="0" w:color="FFFFFF"/>
              <w:left w:val="single" w:sz="24" w:space="0" w:color="FFFFFF"/>
              <w:bottom w:val="single" w:sz="8" w:space="0" w:color="FFFFFF"/>
              <w:right w:val="single" w:sz="1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No classificables</w:t>
            </w:r>
            <w:r w:rsidRPr="003171F9">
              <w:rPr>
                <w:rStyle w:val="Refdenotaalpie"/>
                <w:rFonts w:ascii="Rotis Sans Serif Std" w:hAnsi="Rotis Sans Serif Std"/>
                <w:color w:val="FFFFFF"/>
                <w:lang w:eastAsia="es-ES_tradnl"/>
              </w:rPr>
              <w:footnoteReference w:id="3"/>
            </w:r>
          </w:p>
        </w:tc>
        <w:tc>
          <w:tcPr>
            <w:tcW w:w="794" w:type="pct"/>
            <w:tcBorders>
              <w:top w:val="single" w:sz="8" w:space="0" w:color="FFFFFF"/>
              <w:left w:val="single" w:sz="1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szCs w:val="22"/>
                <w:lang w:eastAsia="es-ES"/>
              </w:rPr>
            </w:pPr>
            <w:r>
              <w:rPr>
                <w:rFonts w:ascii="Rotis Sans Serif Std" w:hAnsi="Rotis Sans Serif Std" w:cs="RotisSansSerifStd-Regular"/>
                <w:color w:val="5E6061"/>
                <w:szCs w:val="22"/>
                <w:lang w:eastAsia="es-ES"/>
              </w:rPr>
              <w:t>189.400</w:t>
            </w:r>
          </w:p>
        </w:tc>
        <w:tc>
          <w:tcPr>
            <w:tcW w:w="672"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-1.000</w:t>
            </w:r>
          </w:p>
        </w:tc>
        <w:tc>
          <w:tcPr>
            <w:tcW w:w="72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-0,5</w:t>
            </w:r>
          </w:p>
        </w:tc>
        <w:tc>
          <w:tcPr>
            <w:tcW w:w="67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-48.100</w:t>
            </w:r>
          </w:p>
        </w:tc>
        <w:tc>
          <w:tcPr>
            <w:tcW w:w="727" w:type="pct"/>
            <w:tcBorders>
              <w:top w:val="single" w:sz="8" w:space="0" w:color="FFFFFF"/>
              <w:left w:val="single" w:sz="8" w:space="0" w:color="FFFFFF"/>
              <w:bottom w:val="single" w:sz="8" w:space="0" w:color="FFFFFF"/>
              <w:right w:val="single" w:sz="24"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-20,3</w:t>
            </w:r>
          </w:p>
        </w:tc>
      </w:tr>
      <w:tr w:rsidR="00767D0B" w:rsidRPr="003171F9" w:rsidTr="00767D0B">
        <w:trPr>
          <w:trHeight w:val="367"/>
        </w:trPr>
        <w:tc>
          <w:tcPr>
            <w:tcW w:w="1401" w:type="pct"/>
            <w:tcBorders>
              <w:top w:val="single" w:sz="8" w:space="0" w:color="FFFFFF"/>
              <w:left w:val="single" w:sz="24" w:space="0" w:color="FFFFFF"/>
              <w:bottom w:val="single" w:sz="8" w:space="0" w:color="FFFFFF"/>
              <w:right w:val="single" w:sz="1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Cerquen la 1ª feina</w:t>
            </w:r>
          </w:p>
        </w:tc>
        <w:tc>
          <w:tcPr>
            <w:tcW w:w="794" w:type="pct"/>
            <w:tcBorders>
              <w:top w:val="single" w:sz="8" w:space="0" w:color="FFFFFF"/>
              <w:left w:val="single" w:sz="1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szCs w:val="22"/>
                <w:lang w:eastAsia="es-ES"/>
              </w:rPr>
            </w:pPr>
            <w:r>
              <w:rPr>
                <w:rFonts w:ascii="Rotis Sans Serif Std" w:hAnsi="Rotis Sans Serif Std" w:cs="RotisSansSerifStd-Regular"/>
                <w:color w:val="5E6061"/>
                <w:szCs w:val="22"/>
                <w:lang w:eastAsia="es-ES"/>
              </w:rPr>
              <w:t>44.800</w:t>
            </w:r>
          </w:p>
        </w:tc>
        <w:tc>
          <w:tcPr>
            <w:tcW w:w="672"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-100</w:t>
            </w:r>
          </w:p>
        </w:tc>
        <w:tc>
          <w:tcPr>
            <w:tcW w:w="72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FF5487"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-0,2</w:t>
            </w:r>
          </w:p>
        </w:tc>
        <w:tc>
          <w:tcPr>
            <w:tcW w:w="678" w:type="pct"/>
            <w:tcBorders>
              <w:top w:val="single" w:sz="8" w:space="0" w:color="FFFFFF"/>
              <w:left w:val="single" w:sz="8" w:space="0" w:color="FFFFFF"/>
              <w:bottom w:val="single" w:sz="8" w:space="0" w:color="FFFFFF"/>
              <w:right w:val="single" w:sz="8"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-14.400</w:t>
            </w:r>
          </w:p>
        </w:tc>
        <w:tc>
          <w:tcPr>
            <w:tcW w:w="727" w:type="pct"/>
            <w:tcBorders>
              <w:top w:val="single" w:sz="8" w:space="0" w:color="FFFFFF"/>
              <w:left w:val="single" w:sz="8" w:space="0" w:color="FFFFFF"/>
              <w:bottom w:val="single" w:sz="8" w:space="0" w:color="FFFFFF"/>
              <w:right w:val="single" w:sz="24" w:space="0" w:color="FFFFFF"/>
            </w:tcBorders>
            <w:shd w:val="clear" w:color="auto" w:fill="EFD3D2"/>
            <w:tcMar>
              <w:top w:w="0" w:type="dxa"/>
              <w:left w:w="108" w:type="dxa"/>
              <w:bottom w:w="0" w:type="dxa"/>
              <w:right w:w="108" w:type="dxa"/>
            </w:tcMar>
            <w:vAlign w:val="center"/>
          </w:tcPr>
          <w:p w:rsidR="00767D0B" w:rsidRPr="004905FD" w:rsidRDefault="00767D0B" w:rsidP="00767D0B">
            <w:pPr>
              <w:spacing w:after="200" w:line="276" w:lineRule="auto"/>
              <w:jc w:val="right"/>
              <w:rPr>
                <w:rFonts w:ascii="Rotis Sans Serif Std" w:hAnsi="Rotis Sans Serif Std" w:cs="RotisSansSerifStd-Regular"/>
                <w:color w:val="5E6061"/>
                <w:lang w:eastAsia="es-ES"/>
              </w:rPr>
            </w:pPr>
            <w:r>
              <w:rPr>
                <w:rFonts w:ascii="Rotis Sans Serif Std" w:hAnsi="Rotis Sans Serif Std" w:cs="RotisSansSerifStd-Regular"/>
                <w:color w:val="5E6061"/>
                <w:lang w:eastAsia="es-ES"/>
              </w:rPr>
              <w:t>-24,3</w:t>
            </w:r>
          </w:p>
        </w:tc>
      </w:tr>
      <w:tr w:rsidR="00767D0B" w:rsidRPr="00BC7ADA" w:rsidTr="00767D0B">
        <w:trPr>
          <w:trHeight w:val="403"/>
        </w:trPr>
        <w:tc>
          <w:tcPr>
            <w:tcW w:w="1401" w:type="pct"/>
            <w:tcBorders>
              <w:top w:val="single" w:sz="8" w:space="0" w:color="FFFFFF"/>
              <w:left w:val="single" w:sz="24" w:space="0" w:color="FFFFFF"/>
              <w:bottom w:val="single" w:sz="18" w:space="0" w:color="FFFFFF"/>
              <w:right w:val="single" w:sz="18" w:space="0" w:color="FFFFFF"/>
            </w:tcBorders>
            <w:shd w:val="clear" w:color="auto" w:fill="C0504D"/>
            <w:tcMar>
              <w:top w:w="0" w:type="dxa"/>
              <w:left w:w="108" w:type="dxa"/>
              <w:bottom w:w="0" w:type="dxa"/>
              <w:right w:w="108" w:type="dxa"/>
            </w:tcMar>
            <w:vAlign w:val="center"/>
          </w:tcPr>
          <w:p w:rsidR="00767D0B" w:rsidRPr="004905FD" w:rsidRDefault="00767D0B" w:rsidP="00767D0B">
            <w:pPr>
              <w:spacing w:after="200" w:line="276" w:lineRule="auto"/>
              <w:rPr>
                <w:rFonts w:ascii="Rotis Sans Serif Std" w:hAnsi="Rotis Sans Serif Std" w:cs="RotisSansSerifStd-Regular"/>
                <w:color w:val="FFFFFF"/>
                <w:lang w:eastAsia="es-ES_tradnl"/>
              </w:rPr>
            </w:pPr>
            <w:r w:rsidRPr="004905FD">
              <w:rPr>
                <w:rFonts w:ascii="Rotis Sans Serif Std" w:hAnsi="Rotis Sans Serif Std" w:cs="RotisSansSerifStd-Regular"/>
                <w:color w:val="FFFFFF"/>
                <w:lang w:eastAsia="es-ES_tradnl"/>
              </w:rPr>
              <w:t>TOTAL</w:t>
            </w:r>
          </w:p>
        </w:tc>
        <w:tc>
          <w:tcPr>
            <w:tcW w:w="794" w:type="pct"/>
            <w:tcBorders>
              <w:top w:val="single" w:sz="8" w:space="0" w:color="FFFFFF"/>
              <w:left w:val="single" w:sz="18" w:space="0" w:color="FFFFFF"/>
              <w:bottom w:val="single" w:sz="18" w:space="0" w:color="FFFFFF"/>
              <w:right w:val="single" w:sz="8" w:space="0" w:color="FFFFFF"/>
            </w:tcBorders>
            <w:shd w:val="clear" w:color="auto" w:fill="EFD3D2"/>
            <w:tcMar>
              <w:top w:w="0" w:type="dxa"/>
              <w:left w:w="108" w:type="dxa"/>
              <w:bottom w:w="0" w:type="dxa"/>
              <w:right w:w="108" w:type="dxa"/>
            </w:tcMar>
          </w:tcPr>
          <w:p w:rsidR="00767D0B" w:rsidRPr="00BC7ADA" w:rsidRDefault="00767D0B" w:rsidP="00767D0B">
            <w:pPr>
              <w:spacing w:after="200" w:line="276" w:lineRule="auto"/>
              <w:jc w:val="right"/>
              <w:rPr>
                <w:rFonts w:ascii="Rotis Sans Serif Std" w:hAnsi="Rotis Sans Serif Std" w:cs="RotisSansSerifStd-Regular"/>
                <w:b/>
                <w:color w:val="5E6061"/>
                <w:szCs w:val="22"/>
                <w:lang w:eastAsia="es-ES"/>
              </w:rPr>
            </w:pPr>
            <w:r w:rsidRPr="00BC7ADA">
              <w:rPr>
                <w:rFonts w:ascii="Rotis Sans Serif Std" w:hAnsi="Rotis Sans Serif Std" w:cs="RotisSansSerifStd-Regular"/>
                <w:b/>
                <w:color w:val="5E6061"/>
                <w:szCs w:val="22"/>
                <w:lang w:eastAsia="es-ES"/>
              </w:rPr>
              <w:t>432.000</w:t>
            </w:r>
          </w:p>
        </w:tc>
        <w:tc>
          <w:tcPr>
            <w:tcW w:w="672" w:type="pct"/>
            <w:tcBorders>
              <w:top w:val="single" w:sz="8" w:space="0" w:color="FFFFFF"/>
              <w:left w:val="single" w:sz="8" w:space="0" w:color="FFFFFF"/>
              <w:bottom w:val="single" w:sz="18" w:space="0" w:color="FFFFFF"/>
              <w:right w:val="single" w:sz="8" w:space="0" w:color="FFFFFF"/>
            </w:tcBorders>
            <w:shd w:val="clear" w:color="auto" w:fill="EFD3D2"/>
            <w:tcMar>
              <w:top w:w="0" w:type="dxa"/>
              <w:left w:w="108" w:type="dxa"/>
              <w:bottom w:w="0" w:type="dxa"/>
              <w:right w:w="108" w:type="dxa"/>
            </w:tcMar>
            <w:vAlign w:val="center"/>
          </w:tcPr>
          <w:p w:rsidR="00767D0B" w:rsidRPr="00BC7ADA" w:rsidRDefault="00767D0B" w:rsidP="00767D0B">
            <w:pPr>
              <w:spacing w:after="200" w:line="276" w:lineRule="auto"/>
              <w:jc w:val="right"/>
              <w:rPr>
                <w:rFonts w:ascii="Rotis Sans Serif Std" w:hAnsi="Rotis Sans Serif Std" w:cs="RotisSansSerifStd-Regular"/>
                <w:b/>
                <w:color w:val="5E6061"/>
                <w:lang w:eastAsia="es-ES"/>
              </w:rPr>
            </w:pPr>
            <w:r w:rsidRPr="00BC7ADA">
              <w:rPr>
                <w:rFonts w:ascii="Rotis Sans Serif Std" w:hAnsi="Rotis Sans Serif Std" w:cs="RotisSansSerifStd-Regular"/>
                <w:b/>
                <w:color w:val="5E6061"/>
                <w:lang w:eastAsia="es-ES"/>
              </w:rPr>
              <w:t>-26.700</w:t>
            </w:r>
          </w:p>
        </w:tc>
        <w:tc>
          <w:tcPr>
            <w:tcW w:w="728" w:type="pct"/>
            <w:tcBorders>
              <w:top w:val="single" w:sz="8" w:space="0" w:color="FFFFFF"/>
              <w:left w:val="single" w:sz="8" w:space="0" w:color="FFFFFF"/>
              <w:bottom w:val="single" w:sz="18" w:space="0" w:color="FFFFFF"/>
              <w:right w:val="single" w:sz="8" w:space="0" w:color="FFFFFF"/>
            </w:tcBorders>
            <w:shd w:val="clear" w:color="auto" w:fill="EFD3D2"/>
            <w:tcMar>
              <w:top w:w="0" w:type="dxa"/>
              <w:left w:w="108" w:type="dxa"/>
              <w:bottom w:w="0" w:type="dxa"/>
              <w:right w:w="108" w:type="dxa"/>
            </w:tcMar>
            <w:vAlign w:val="center"/>
          </w:tcPr>
          <w:p w:rsidR="00767D0B" w:rsidRPr="00BC7ADA" w:rsidRDefault="00767D0B" w:rsidP="00767D0B">
            <w:pPr>
              <w:spacing w:after="200" w:line="276" w:lineRule="auto"/>
              <w:jc w:val="right"/>
              <w:rPr>
                <w:rFonts w:ascii="Rotis Sans Serif Std" w:hAnsi="Rotis Sans Serif Std" w:cs="RotisSansSerifStd-Regular"/>
                <w:b/>
                <w:color w:val="5E6061"/>
                <w:lang w:eastAsia="es-ES"/>
              </w:rPr>
            </w:pPr>
            <w:r w:rsidRPr="00BC7ADA">
              <w:rPr>
                <w:rFonts w:ascii="Rotis Sans Serif Std" w:hAnsi="Rotis Sans Serif Std" w:cs="RotisSansSerifStd-Regular"/>
                <w:b/>
                <w:color w:val="5E6061"/>
                <w:lang w:eastAsia="es-ES"/>
              </w:rPr>
              <w:t>-5,8</w:t>
            </w:r>
          </w:p>
        </w:tc>
        <w:tc>
          <w:tcPr>
            <w:tcW w:w="678" w:type="pct"/>
            <w:tcBorders>
              <w:top w:val="single" w:sz="8" w:space="0" w:color="FFFFFF"/>
              <w:left w:val="single" w:sz="8" w:space="0" w:color="FFFFFF"/>
              <w:bottom w:val="single" w:sz="18" w:space="0" w:color="FFFFFF"/>
              <w:right w:val="single" w:sz="8" w:space="0" w:color="FFFFFF"/>
            </w:tcBorders>
            <w:shd w:val="clear" w:color="auto" w:fill="EFD3D2"/>
            <w:tcMar>
              <w:top w:w="0" w:type="dxa"/>
              <w:left w:w="108" w:type="dxa"/>
              <w:bottom w:w="0" w:type="dxa"/>
              <w:right w:w="108" w:type="dxa"/>
            </w:tcMar>
            <w:vAlign w:val="center"/>
          </w:tcPr>
          <w:p w:rsidR="00767D0B" w:rsidRPr="00BC7ADA" w:rsidRDefault="00767D0B" w:rsidP="00767D0B">
            <w:pPr>
              <w:spacing w:after="200" w:line="276" w:lineRule="auto"/>
              <w:jc w:val="right"/>
              <w:rPr>
                <w:rFonts w:ascii="Rotis Sans Serif Std" w:hAnsi="Rotis Sans Serif Std" w:cs="RotisSansSerifStd-Regular"/>
                <w:b/>
                <w:color w:val="5E6061"/>
                <w:lang w:eastAsia="es-ES"/>
              </w:rPr>
            </w:pPr>
            <w:r w:rsidRPr="00BC7ADA">
              <w:rPr>
                <w:rFonts w:ascii="Rotis Sans Serif Std" w:hAnsi="Rotis Sans Serif Std" w:cs="RotisSansSerifStd-Regular"/>
                <w:b/>
                <w:color w:val="5E6061"/>
                <w:lang w:eastAsia="es-ES"/>
              </w:rPr>
              <w:t>-65.500</w:t>
            </w:r>
          </w:p>
        </w:tc>
        <w:tc>
          <w:tcPr>
            <w:tcW w:w="727" w:type="pct"/>
            <w:tcBorders>
              <w:top w:val="single" w:sz="8" w:space="0" w:color="FFFFFF"/>
              <w:left w:val="single" w:sz="8" w:space="0" w:color="FFFFFF"/>
              <w:bottom w:val="single" w:sz="18" w:space="0" w:color="FFFFFF"/>
              <w:right w:val="single" w:sz="24" w:space="0" w:color="FFFFFF"/>
            </w:tcBorders>
            <w:shd w:val="clear" w:color="auto" w:fill="EFD3D2"/>
            <w:tcMar>
              <w:top w:w="0" w:type="dxa"/>
              <w:left w:w="108" w:type="dxa"/>
              <w:bottom w:w="0" w:type="dxa"/>
              <w:right w:w="108" w:type="dxa"/>
            </w:tcMar>
            <w:vAlign w:val="center"/>
          </w:tcPr>
          <w:p w:rsidR="00767D0B" w:rsidRPr="00BC7ADA" w:rsidRDefault="00767D0B" w:rsidP="00767D0B">
            <w:pPr>
              <w:spacing w:after="200" w:line="276" w:lineRule="auto"/>
              <w:jc w:val="right"/>
              <w:rPr>
                <w:rFonts w:ascii="Rotis Sans Serif Std" w:hAnsi="Rotis Sans Serif Std" w:cs="RotisSansSerifStd-Regular"/>
                <w:b/>
                <w:color w:val="5E6061"/>
                <w:lang w:eastAsia="es-ES"/>
              </w:rPr>
            </w:pPr>
            <w:r w:rsidRPr="00BC7ADA">
              <w:rPr>
                <w:rFonts w:ascii="Rotis Sans Serif Std" w:hAnsi="Rotis Sans Serif Std" w:cs="RotisSansSerifStd-Regular"/>
                <w:b/>
                <w:color w:val="5E6061"/>
                <w:lang w:eastAsia="es-ES"/>
              </w:rPr>
              <w:t>-13,1</w:t>
            </w:r>
          </w:p>
        </w:tc>
      </w:tr>
    </w:tbl>
    <w:p w:rsidR="00767D0B" w:rsidRPr="004905FD" w:rsidRDefault="00767D0B" w:rsidP="00767D0B">
      <w:pPr>
        <w:spacing w:line="276" w:lineRule="auto"/>
        <w:jc w:val="center"/>
        <w:rPr>
          <w:rFonts w:ascii="Rotis Sans Serif Std" w:hAnsi="Rotis Sans Serif Std" w:cs="RotisSansSerifStd-Regular"/>
          <w:color w:val="5E6061"/>
          <w:sz w:val="18"/>
          <w:szCs w:val="22"/>
          <w:lang w:eastAsia="es-ES"/>
        </w:rPr>
      </w:pPr>
      <w:r w:rsidRPr="004905FD">
        <w:rPr>
          <w:rFonts w:ascii="Rotis Sans Serif Std" w:hAnsi="Rotis Sans Serif Std" w:cs="RotisSansSerifStd-Regular"/>
          <w:color w:val="5E6061"/>
          <w:sz w:val="18"/>
          <w:szCs w:val="22"/>
          <w:lang w:eastAsia="es-ES"/>
        </w:rPr>
        <w:t>Font: Elaboració pròpia a partir de les dades de l’INE.</w:t>
      </w:r>
    </w:p>
    <w:p w:rsidR="00767D0B" w:rsidRDefault="00767D0B" w:rsidP="00767D0B">
      <w:pPr>
        <w:spacing w:line="276" w:lineRule="auto"/>
        <w:jc w:val="both"/>
      </w:pPr>
    </w:p>
    <w:p w:rsidR="00767D0B" w:rsidRPr="004905FD" w:rsidRDefault="00767D0B" w:rsidP="00767D0B">
      <w:pPr>
        <w:spacing w:line="276" w:lineRule="auto"/>
        <w:jc w:val="both"/>
        <w:rPr>
          <w:rFonts w:ascii="Rotis Sans Serif Std" w:hAnsi="Rotis Sans Serif Std" w:cs="RotisSansSerifStd-Regular"/>
          <w:color w:val="5E6061"/>
          <w:szCs w:val="22"/>
          <w:lang w:eastAsia="es-ES"/>
        </w:rPr>
      </w:pPr>
      <w:r w:rsidRPr="004905FD">
        <w:rPr>
          <w:rFonts w:ascii="Rotis Sans Serif Std" w:hAnsi="Rotis Sans Serif Std" w:cs="RotisSansSerifStd-Regular"/>
          <w:color w:val="5E6061"/>
          <w:szCs w:val="22"/>
          <w:u w:val="single"/>
          <w:lang w:eastAsia="es-ES"/>
        </w:rPr>
        <w:t>Segons l’àmbit territorial,</w:t>
      </w:r>
      <w:r w:rsidRPr="004905FD">
        <w:rPr>
          <w:rFonts w:ascii="Rotis Sans Serif Std" w:hAnsi="Rotis Sans Serif Std" w:cs="RotisSansSerifStd-Regular"/>
          <w:color w:val="5E6061"/>
          <w:szCs w:val="22"/>
          <w:lang w:eastAsia="es-ES"/>
        </w:rPr>
        <w:t xml:space="preserve"> a la província de Barcelona</w:t>
      </w:r>
      <w:r>
        <w:rPr>
          <w:rFonts w:ascii="Rotis Sans Serif Std" w:hAnsi="Rotis Sans Serif Std" w:cs="RotisSansSerifStd-Regular"/>
          <w:color w:val="5E6061"/>
          <w:szCs w:val="22"/>
          <w:lang w:eastAsia="es-ES"/>
        </w:rPr>
        <w:t>, els resultats de l’EPA del 2on</w:t>
      </w:r>
      <w:r w:rsidRPr="004905FD">
        <w:rPr>
          <w:rFonts w:ascii="Rotis Sans Serif Std" w:hAnsi="Rotis Sans Serif Std" w:cs="RotisSansSerifStd-Regular"/>
          <w:color w:val="5E6061"/>
          <w:szCs w:val="22"/>
          <w:lang w:eastAsia="es-ES"/>
        </w:rPr>
        <w:t xml:space="preserve"> trimestre de l’any 2018, situa</w:t>
      </w:r>
      <w:r>
        <w:rPr>
          <w:rFonts w:ascii="Rotis Sans Serif Std" w:hAnsi="Rotis Sans Serif Std" w:cs="RotisSansSerifStd-Regular"/>
          <w:color w:val="5E6061"/>
          <w:szCs w:val="22"/>
          <w:lang w:eastAsia="es-ES"/>
        </w:rPr>
        <w:t xml:space="preserve"> la població activa en 2.799.700 persones, del les quals 305.4</w:t>
      </w:r>
      <w:r w:rsidRPr="004905FD">
        <w:rPr>
          <w:rFonts w:ascii="Rotis Sans Serif Std" w:hAnsi="Rotis Sans Serif Std" w:cs="RotisSansSerifStd-Regular"/>
          <w:color w:val="5E6061"/>
          <w:szCs w:val="22"/>
          <w:lang w:eastAsia="es-ES"/>
        </w:rPr>
        <w:t xml:space="preserve">00 </w:t>
      </w:r>
      <w:r>
        <w:rPr>
          <w:rFonts w:ascii="Rotis Sans Serif Std" w:hAnsi="Rotis Sans Serif Std" w:cs="RotisSansSerifStd-Regular"/>
          <w:color w:val="5E6061"/>
          <w:szCs w:val="22"/>
          <w:lang w:eastAsia="es-ES"/>
        </w:rPr>
        <w:t>persones es troben a l’atur (-57.000 que l’any anterior) i 2.494.300 persones estan ocupades (74.9</w:t>
      </w:r>
      <w:r w:rsidRPr="004905FD">
        <w:rPr>
          <w:rFonts w:ascii="Rotis Sans Serif Std" w:hAnsi="Rotis Sans Serif Std" w:cs="RotisSansSerifStd-Regular"/>
          <w:color w:val="5E6061"/>
          <w:szCs w:val="22"/>
          <w:lang w:eastAsia="es-ES"/>
        </w:rPr>
        <w:t xml:space="preserve">00 més que l’any anterior). </w:t>
      </w:r>
    </w:p>
    <w:p w:rsidR="00767D0B" w:rsidRPr="004905FD" w:rsidRDefault="00767D0B" w:rsidP="00767D0B">
      <w:pPr>
        <w:spacing w:line="276" w:lineRule="auto"/>
        <w:jc w:val="both"/>
        <w:rPr>
          <w:rFonts w:ascii="Rotis Sans Serif Std" w:hAnsi="Rotis Sans Serif Std" w:cs="RotisSansSerifStd-Regular"/>
          <w:color w:val="5E6061"/>
          <w:sz w:val="18"/>
          <w:szCs w:val="22"/>
          <w:lang w:eastAsia="es-ES"/>
        </w:rPr>
      </w:pPr>
    </w:p>
    <w:p w:rsidR="00767D0B" w:rsidRPr="004905FD" w:rsidRDefault="00767D0B" w:rsidP="00767D0B">
      <w:pPr>
        <w:spacing w:after="240" w:line="276" w:lineRule="auto"/>
        <w:jc w:val="both"/>
        <w:rPr>
          <w:rFonts w:ascii="Rotis Sans Serif Std" w:hAnsi="Rotis Sans Serif Std" w:cs="RotisSansSerifStd-Regular"/>
          <w:color w:val="5E6061"/>
          <w:szCs w:val="22"/>
          <w:lang w:eastAsia="es-ES"/>
        </w:rPr>
      </w:pPr>
      <w:r w:rsidRPr="004905FD">
        <w:rPr>
          <w:rFonts w:ascii="Rotis Sans Serif Std" w:hAnsi="Rotis Sans Serif Std" w:cs="RotisSansSerifStd-Regular"/>
          <w:color w:val="5E6061"/>
          <w:szCs w:val="22"/>
          <w:lang w:eastAsia="es-ES"/>
        </w:rPr>
        <w:t>La taxa d’atur d</w:t>
      </w:r>
      <w:r>
        <w:rPr>
          <w:rFonts w:ascii="Rotis Sans Serif Std" w:hAnsi="Rotis Sans Serif Std" w:cs="RotisSansSerifStd-Regular"/>
          <w:color w:val="5E6061"/>
          <w:szCs w:val="22"/>
          <w:lang w:eastAsia="es-ES"/>
        </w:rPr>
        <w:t>e Barcelona se situa en el 10,91% al segon trimestre de l’any (2,1</w:t>
      </w:r>
      <w:r w:rsidRPr="004905FD">
        <w:rPr>
          <w:rFonts w:ascii="Rotis Sans Serif Std" w:hAnsi="Rotis Sans Serif Std" w:cs="RotisSansSerifStd-Regular"/>
          <w:color w:val="5E6061"/>
          <w:szCs w:val="22"/>
          <w:lang w:eastAsia="es-ES"/>
        </w:rPr>
        <w:t xml:space="preserve"> punts menys que l’any anterior).</w:t>
      </w:r>
    </w:p>
    <w:p w:rsidR="00767D0B" w:rsidRPr="004905FD" w:rsidRDefault="00767D0B" w:rsidP="00767D0B">
      <w:pPr>
        <w:spacing w:after="240" w:line="276" w:lineRule="auto"/>
        <w:jc w:val="both"/>
        <w:rPr>
          <w:rFonts w:ascii="Rotis Sans Serif Std" w:hAnsi="Rotis Sans Serif Std" w:cs="RotisSansSerifStd-Regular"/>
          <w:color w:val="5E6061"/>
          <w:szCs w:val="22"/>
          <w:lang w:eastAsia="es-ES"/>
        </w:rPr>
      </w:pPr>
      <w:r w:rsidRPr="004905FD">
        <w:rPr>
          <w:rFonts w:ascii="Rotis Sans Serif Std" w:hAnsi="Rotis Sans Serif Std" w:cs="RotisSansSerifStd-Regular"/>
          <w:color w:val="5E6061"/>
          <w:szCs w:val="22"/>
          <w:lang w:eastAsia="es-ES"/>
        </w:rPr>
        <w:t xml:space="preserve">A la província de Girona, la població activa total se situa en les </w:t>
      </w:r>
      <w:r>
        <w:rPr>
          <w:rFonts w:ascii="Rotis Sans Serif Std" w:hAnsi="Rotis Sans Serif Std" w:cs="RotisSansSerifStd-Regular"/>
          <w:color w:val="5E6061"/>
          <w:szCs w:val="22"/>
          <w:lang w:eastAsia="es-ES"/>
        </w:rPr>
        <w:t>388.300 persones, de les quals 342.5</w:t>
      </w:r>
      <w:r w:rsidRPr="004905FD">
        <w:rPr>
          <w:rFonts w:ascii="Rotis Sans Serif Std" w:hAnsi="Rotis Sans Serif Std" w:cs="RotisSansSerifStd-Regular"/>
          <w:color w:val="5E6061"/>
          <w:szCs w:val="22"/>
          <w:lang w:eastAsia="es-ES"/>
        </w:rPr>
        <w:t>00 estan ocupades (1</w:t>
      </w:r>
      <w:r>
        <w:rPr>
          <w:rFonts w:ascii="Rotis Sans Serif Std" w:hAnsi="Rotis Sans Serif Std" w:cs="RotisSansSerifStd-Regular"/>
          <w:color w:val="5E6061"/>
          <w:szCs w:val="22"/>
          <w:lang w:eastAsia="es-ES"/>
        </w:rPr>
        <w:t>1.3</w:t>
      </w:r>
      <w:r w:rsidRPr="004905FD">
        <w:rPr>
          <w:rFonts w:ascii="Rotis Sans Serif Std" w:hAnsi="Rotis Sans Serif Std" w:cs="RotisSansSerifStd-Regular"/>
          <w:color w:val="5E6061"/>
          <w:szCs w:val="22"/>
          <w:lang w:eastAsia="es-ES"/>
        </w:rPr>
        <w:t>00</w:t>
      </w:r>
      <w:r>
        <w:rPr>
          <w:rFonts w:ascii="Rotis Sans Serif Std" w:hAnsi="Rotis Sans Serif Std" w:cs="RotisSansSerifStd-Regular"/>
          <w:color w:val="5E6061"/>
          <w:szCs w:val="22"/>
          <w:lang w:eastAsia="es-ES"/>
        </w:rPr>
        <w:t xml:space="preserve"> més que l’any anterior) i 45.800 es troben a l’atur (4.3</w:t>
      </w:r>
      <w:r w:rsidRPr="004905FD">
        <w:rPr>
          <w:rFonts w:ascii="Rotis Sans Serif Std" w:hAnsi="Rotis Sans Serif Std" w:cs="RotisSansSerifStd-Regular"/>
          <w:color w:val="5E6061"/>
          <w:szCs w:val="22"/>
          <w:lang w:eastAsia="es-ES"/>
        </w:rPr>
        <w:t>00 menys que l’any</w:t>
      </w:r>
      <w:r w:rsidRPr="004905FD">
        <w:rPr>
          <w:rFonts w:ascii="Rotis Sans Serif Std" w:hAnsi="Rotis Sans Serif Std" w:cs="RotisSansSerifStd-Regular"/>
          <w:color w:val="5E6061"/>
          <w:sz w:val="28"/>
          <w:szCs w:val="22"/>
          <w:lang w:eastAsia="es-ES"/>
        </w:rPr>
        <w:t xml:space="preserve"> </w:t>
      </w:r>
      <w:r w:rsidRPr="004905FD">
        <w:rPr>
          <w:rFonts w:ascii="Rotis Sans Serif Std" w:hAnsi="Rotis Sans Serif Std" w:cs="RotisSansSerifStd-Regular"/>
          <w:color w:val="5E6061"/>
          <w:szCs w:val="22"/>
          <w:lang w:eastAsia="es-ES"/>
        </w:rPr>
        <w:t xml:space="preserve">anterior).  </w:t>
      </w:r>
    </w:p>
    <w:p w:rsidR="00767D0B" w:rsidRPr="004905FD" w:rsidRDefault="00767D0B" w:rsidP="00767D0B">
      <w:pPr>
        <w:spacing w:line="276" w:lineRule="auto"/>
        <w:jc w:val="both"/>
        <w:rPr>
          <w:rFonts w:ascii="Rotis Sans Serif Std" w:hAnsi="Rotis Sans Serif Std" w:cs="RotisSansSerifStd-Regular"/>
          <w:color w:val="5E6061"/>
          <w:szCs w:val="22"/>
          <w:lang w:eastAsia="es-ES"/>
        </w:rPr>
      </w:pPr>
      <w:r w:rsidRPr="004905FD">
        <w:rPr>
          <w:rFonts w:ascii="Rotis Sans Serif Std" w:hAnsi="Rotis Sans Serif Std" w:cs="RotisSansSerifStd-Regular"/>
          <w:color w:val="5E6061"/>
          <w:szCs w:val="22"/>
          <w:lang w:eastAsia="es-ES"/>
        </w:rPr>
        <w:t>La taxa d’atu</w:t>
      </w:r>
      <w:r>
        <w:rPr>
          <w:rFonts w:ascii="Rotis Sans Serif Std" w:hAnsi="Rotis Sans Serif Std" w:cs="RotisSansSerifStd-Regular"/>
          <w:color w:val="5E6061"/>
          <w:szCs w:val="22"/>
          <w:lang w:eastAsia="es-ES"/>
        </w:rPr>
        <w:t>r de Girona se situa en el 11,80% (1,3</w:t>
      </w:r>
      <w:r w:rsidRPr="004905FD">
        <w:rPr>
          <w:rFonts w:ascii="Rotis Sans Serif Std" w:hAnsi="Rotis Sans Serif Std" w:cs="RotisSansSerifStd-Regular"/>
          <w:color w:val="5E6061"/>
          <w:szCs w:val="22"/>
          <w:lang w:eastAsia="es-ES"/>
        </w:rPr>
        <w:t xml:space="preserve"> punts menys que l’any anterior). </w:t>
      </w:r>
    </w:p>
    <w:p w:rsidR="00767D0B" w:rsidRPr="004905FD" w:rsidRDefault="00767D0B" w:rsidP="00767D0B">
      <w:pPr>
        <w:spacing w:line="276" w:lineRule="auto"/>
        <w:jc w:val="both"/>
        <w:rPr>
          <w:rFonts w:ascii="Rotis Sans Serif Std" w:hAnsi="Rotis Sans Serif Std" w:cs="RotisSansSerifStd-Regular"/>
          <w:color w:val="5E6061"/>
          <w:sz w:val="18"/>
          <w:szCs w:val="22"/>
          <w:lang w:eastAsia="es-ES"/>
        </w:rPr>
      </w:pPr>
    </w:p>
    <w:p w:rsidR="00767D0B" w:rsidRPr="004905FD" w:rsidRDefault="00767D0B" w:rsidP="00767D0B">
      <w:pPr>
        <w:spacing w:line="276" w:lineRule="auto"/>
        <w:jc w:val="both"/>
        <w:rPr>
          <w:rFonts w:ascii="Rotis Sans Serif Std" w:hAnsi="Rotis Sans Serif Std" w:cs="RotisSansSerifStd-Regular"/>
          <w:color w:val="5E6061"/>
          <w:szCs w:val="22"/>
          <w:lang w:eastAsia="es-ES"/>
        </w:rPr>
      </w:pPr>
      <w:r w:rsidRPr="004905FD">
        <w:rPr>
          <w:rFonts w:ascii="Rotis Sans Serif Std" w:hAnsi="Rotis Sans Serif Std" w:cs="RotisSansSerifStd-Regular"/>
          <w:color w:val="5E6061"/>
          <w:szCs w:val="22"/>
          <w:lang w:eastAsia="es-ES"/>
        </w:rPr>
        <w:t xml:space="preserve">Per altra banda, a Lleida, hi ha </w:t>
      </w:r>
      <w:r>
        <w:rPr>
          <w:rFonts w:ascii="Rotis Sans Serif Std" w:hAnsi="Rotis Sans Serif Std" w:cs="RotisSansSerifStd-Regular"/>
          <w:color w:val="5E6061"/>
          <w:szCs w:val="22"/>
          <w:lang w:eastAsia="es-ES"/>
        </w:rPr>
        <w:t xml:space="preserve">22.600 aturats (-2.800 </w:t>
      </w:r>
      <w:r w:rsidRPr="004905FD">
        <w:rPr>
          <w:rFonts w:ascii="Rotis Sans Serif Std" w:hAnsi="Rotis Sans Serif Std" w:cs="RotisSansSerifStd-Regular"/>
          <w:color w:val="5E6061"/>
          <w:szCs w:val="22"/>
          <w:lang w:eastAsia="es-ES"/>
        </w:rPr>
        <w:t>respecte l’any anteri</w:t>
      </w:r>
      <w:r>
        <w:rPr>
          <w:rFonts w:ascii="Rotis Sans Serif Std" w:hAnsi="Rotis Sans Serif Std" w:cs="RotisSansSerifStd-Regular"/>
          <w:color w:val="5E6061"/>
          <w:szCs w:val="22"/>
          <w:lang w:eastAsia="es-ES"/>
        </w:rPr>
        <w:t>or) i 186.300 ocupats (5.300 més</w:t>
      </w:r>
      <w:r w:rsidRPr="004905FD">
        <w:rPr>
          <w:rFonts w:ascii="Rotis Sans Serif Std" w:hAnsi="Rotis Sans Serif Std" w:cs="RotisSansSerifStd-Regular"/>
          <w:color w:val="5E6061"/>
          <w:szCs w:val="22"/>
          <w:lang w:eastAsia="es-ES"/>
        </w:rPr>
        <w:t xml:space="preserve"> que l’any anterior), el que situa a la </w:t>
      </w:r>
      <w:r>
        <w:rPr>
          <w:rFonts w:ascii="Rotis Sans Serif Std" w:hAnsi="Rotis Sans Serif Std" w:cs="RotisSansSerifStd-Regular"/>
          <w:color w:val="5E6061"/>
          <w:szCs w:val="22"/>
          <w:lang w:eastAsia="es-ES"/>
        </w:rPr>
        <w:t>població activa total en 208.900</w:t>
      </w:r>
      <w:r w:rsidRPr="004905FD">
        <w:rPr>
          <w:rFonts w:ascii="Rotis Sans Serif Std" w:hAnsi="Rotis Sans Serif Std" w:cs="RotisSansSerifStd-Regular"/>
          <w:color w:val="5E6061"/>
          <w:szCs w:val="22"/>
          <w:lang w:eastAsia="es-ES"/>
        </w:rPr>
        <w:t xml:space="preserve"> persones. </w:t>
      </w:r>
    </w:p>
    <w:p w:rsidR="00767D0B" w:rsidRPr="004905FD" w:rsidRDefault="00767D0B" w:rsidP="00767D0B">
      <w:pPr>
        <w:spacing w:line="276" w:lineRule="auto"/>
        <w:jc w:val="both"/>
        <w:rPr>
          <w:rFonts w:ascii="Rotis Sans Serif Std" w:hAnsi="Rotis Sans Serif Std" w:cs="RotisSansSerifStd-Regular"/>
          <w:color w:val="5E6061"/>
          <w:sz w:val="18"/>
          <w:szCs w:val="22"/>
          <w:lang w:eastAsia="es-ES"/>
        </w:rPr>
      </w:pPr>
    </w:p>
    <w:p w:rsidR="00767D0B" w:rsidRPr="004905FD" w:rsidRDefault="00767D0B" w:rsidP="00767D0B">
      <w:pPr>
        <w:spacing w:line="276" w:lineRule="auto"/>
        <w:jc w:val="both"/>
        <w:rPr>
          <w:rFonts w:ascii="Rotis Sans Serif Std" w:hAnsi="Rotis Sans Serif Std" w:cs="RotisSansSerifStd-Regular"/>
          <w:color w:val="5E6061"/>
          <w:szCs w:val="22"/>
          <w:lang w:eastAsia="es-ES"/>
        </w:rPr>
      </w:pPr>
      <w:r w:rsidRPr="004905FD">
        <w:rPr>
          <w:rFonts w:ascii="Rotis Sans Serif Std" w:hAnsi="Rotis Sans Serif Std" w:cs="RotisSansSerifStd-Regular"/>
          <w:color w:val="5E6061"/>
          <w:szCs w:val="22"/>
          <w:lang w:eastAsia="es-ES"/>
        </w:rPr>
        <w:t>La tax</w:t>
      </w:r>
      <w:r>
        <w:rPr>
          <w:rFonts w:ascii="Rotis Sans Serif Std" w:hAnsi="Rotis Sans Serif Std" w:cs="RotisSansSerifStd-Regular"/>
          <w:color w:val="5E6061"/>
          <w:szCs w:val="22"/>
          <w:lang w:eastAsia="es-ES"/>
        </w:rPr>
        <w:t>a d’atur de Lleida és de l’10,82% en el segon</w:t>
      </w:r>
      <w:r w:rsidRPr="004905FD">
        <w:rPr>
          <w:rFonts w:ascii="Rotis Sans Serif Std" w:hAnsi="Rotis Sans Serif Std" w:cs="RotisSansSerifStd-Regular"/>
          <w:color w:val="5E6061"/>
          <w:szCs w:val="22"/>
          <w:lang w:eastAsia="es-ES"/>
        </w:rPr>
        <w:t xml:space="preserve"> trimestre de l’any (1</w:t>
      </w:r>
      <w:r>
        <w:rPr>
          <w:rFonts w:ascii="Rotis Sans Serif Std" w:hAnsi="Rotis Sans Serif Std" w:cs="RotisSansSerifStd-Regular"/>
          <w:color w:val="5E6061"/>
          <w:szCs w:val="22"/>
          <w:lang w:eastAsia="es-ES"/>
        </w:rPr>
        <w:t>,5</w:t>
      </w:r>
      <w:r w:rsidRPr="004905FD">
        <w:rPr>
          <w:rFonts w:ascii="Rotis Sans Serif Std" w:hAnsi="Rotis Sans Serif Std" w:cs="RotisSansSerifStd-Regular"/>
          <w:color w:val="5E6061"/>
          <w:szCs w:val="22"/>
          <w:lang w:eastAsia="es-ES"/>
        </w:rPr>
        <w:t xml:space="preserve"> punt</w:t>
      </w:r>
      <w:r>
        <w:rPr>
          <w:rFonts w:ascii="Rotis Sans Serif Std" w:hAnsi="Rotis Sans Serif Std" w:cs="RotisSansSerifStd-Regular"/>
          <w:color w:val="5E6061"/>
          <w:szCs w:val="22"/>
          <w:lang w:eastAsia="es-ES"/>
        </w:rPr>
        <w:t>s</w:t>
      </w:r>
      <w:r w:rsidRPr="004905FD">
        <w:rPr>
          <w:rFonts w:ascii="Rotis Sans Serif Std" w:hAnsi="Rotis Sans Serif Std" w:cs="RotisSansSerifStd-Regular"/>
          <w:color w:val="5E6061"/>
          <w:szCs w:val="22"/>
          <w:lang w:eastAsia="es-ES"/>
        </w:rPr>
        <w:t xml:space="preserve"> menys que fa un any). </w:t>
      </w:r>
    </w:p>
    <w:p w:rsidR="00767D0B" w:rsidRPr="004905FD" w:rsidRDefault="00767D0B" w:rsidP="00767D0B">
      <w:pPr>
        <w:spacing w:line="276" w:lineRule="auto"/>
        <w:jc w:val="both"/>
        <w:rPr>
          <w:rFonts w:ascii="Rotis Sans Serif Std" w:hAnsi="Rotis Sans Serif Std" w:cs="RotisSansSerifStd-Regular"/>
          <w:color w:val="5E6061"/>
          <w:sz w:val="18"/>
          <w:szCs w:val="22"/>
          <w:lang w:eastAsia="es-ES"/>
        </w:rPr>
      </w:pPr>
    </w:p>
    <w:p w:rsidR="00767D0B" w:rsidRPr="004905FD" w:rsidRDefault="00767D0B" w:rsidP="00767D0B">
      <w:pPr>
        <w:spacing w:line="276" w:lineRule="auto"/>
        <w:jc w:val="both"/>
        <w:rPr>
          <w:rFonts w:ascii="Rotis Sans Serif Std" w:hAnsi="Rotis Sans Serif Std" w:cs="RotisSansSerifStd-Regular"/>
          <w:color w:val="5E6061"/>
          <w:szCs w:val="22"/>
          <w:lang w:eastAsia="es-ES"/>
        </w:rPr>
      </w:pPr>
      <w:r w:rsidRPr="004905FD">
        <w:rPr>
          <w:rFonts w:ascii="Rotis Sans Serif Std" w:hAnsi="Rotis Sans Serif Std" w:cs="RotisSansSerifStd-Regular"/>
          <w:color w:val="5E6061"/>
          <w:szCs w:val="22"/>
          <w:lang w:eastAsia="es-ES"/>
        </w:rPr>
        <w:t>Per últim, a T</w:t>
      </w:r>
      <w:r>
        <w:rPr>
          <w:rFonts w:ascii="Rotis Sans Serif Std" w:hAnsi="Rotis Sans Serif Std" w:cs="RotisSansSerifStd-Regular"/>
          <w:color w:val="5E6061"/>
          <w:szCs w:val="22"/>
          <w:lang w:eastAsia="es-ES"/>
        </w:rPr>
        <w:t>arragona, hi ha un total de 58.1</w:t>
      </w:r>
      <w:r w:rsidRPr="004905FD">
        <w:rPr>
          <w:rFonts w:ascii="Rotis Sans Serif Std" w:hAnsi="Rotis Sans Serif Std" w:cs="RotisSansSerifStd-Regular"/>
          <w:color w:val="5E6061"/>
          <w:szCs w:val="22"/>
          <w:lang w:eastAsia="es-ES"/>
        </w:rPr>
        <w:t xml:space="preserve">00 </w:t>
      </w:r>
      <w:r>
        <w:rPr>
          <w:rFonts w:ascii="Rotis Sans Serif Std" w:hAnsi="Rotis Sans Serif Std" w:cs="RotisSansSerifStd-Regular"/>
          <w:color w:val="5E6061"/>
          <w:szCs w:val="22"/>
          <w:lang w:eastAsia="es-ES"/>
        </w:rPr>
        <w:t>aturats (-1.500 respecte el 2</w:t>
      </w:r>
      <w:r w:rsidRPr="004905FD">
        <w:rPr>
          <w:rFonts w:ascii="Rotis Sans Serif Std" w:hAnsi="Rotis Sans Serif Std" w:cs="RotisSansSerifStd-Regular"/>
          <w:color w:val="5E6061"/>
          <w:szCs w:val="22"/>
          <w:lang w:eastAsia="es-ES"/>
        </w:rPr>
        <w:t>T de 2017), la pobl</w:t>
      </w:r>
      <w:r>
        <w:rPr>
          <w:rFonts w:ascii="Rotis Sans Serif Std" w:hAnsi="Rotis Sans Serif Std" w:cs="RotisSansSerifStd-Regular"/>
          <w:color w:val="5E6061"/>
          <w:szCs w:val="22"/>
          <w:lang w:eastAsia="es-ES"/>
        </w:rPr>
        <w:t>ació ocupada se situa en les 337.400 persones (1.400 menys</w:t>
      </w:r>
      <w:r w:rsidRPr="004905FD">
        <w:rPr>
          <w:rFonts w:ascii="Rotis Sans Serif Std" w:hAnsi="Rotis Sans Serif Std" w:cs="RotisSansSerifStd-Regular"/>
          <w:color w:val="5E6061"/>
          <w:szCs w:val="22"/>
          <w:lang w:eastAsia="es-ES"/>
        </w:rPr>
        <w:t xml:space="preserve"> respecte l’any anterior), i per tant, en to</w:t>
      </w:r>
      <w:r>
        <w:rPr>
          <w:rFonts w:ascii="Rotis Sans Serif Std" w:hAnsi="Rotis Sans Serif Std" w:cs="RotisSansSerifStd-Regular"/>
          <w:color w:val="5E6061"/>
          <w:szCs w:val="22"/>
          <w:lang w:eastAsia="es-ES"/>
        </w:rPr>
        <w:t>tal la població activa és de 395.5</w:t>
      </w:r>
      <w:r w:rsidRPr="004905FD">
        <w:rPr>
          <w:rFonts w:ascii="Rotis Sans Serif Std" w:hAnsi="Rotis Sans Serif Std" w:cs="RotisSansSerifStd-Regular"/>
          <w:color w:val="5E6061"/>
          <w:szCs w:val="22"/>
          <w:lang w:eastAsia="es-ES"/>
        </w:rPr>
        <w:t xml:space="preserve">00 persones. </w:t>
      </w:r>
    </w:p>
    <w:p w:rsidR="00767D0B" w:rsidRPr="004905FD" w:rsidRDefault="00767D0B" w:rsidP="00767D0B">
      <w:pPr>
        <w:rPr>
          <w:rFonts w:ascii="Rotis Sans Serif Std" w:hAnsi="Rotis Sans Serif Std" w:cs="RotisSansSerifStd-Regular"/>
          <w:color w:val="5E6061"/>
          <w:sz w:val="18"/>
          <w:szCs w:val="22"/>
          <w:lang w:eastAsia="es-ES"/>
        </w:rPr>
      </w:pPr>
    </w:p>
    <w:p w:rsidR="00767D0B" w:rsidRDefault="00767D0B" w:rsidP="00767D0B">
      <w:pPr>
        <w:jc w:val="both"/>
        <w:rPr>
          <w:rFonts w:ascii="Rotis Sans Serif Std" w:hAnsi="Rotis Sans Serif Std" w:cs="RotisSansSerifStd-Regular"/>
          <w:color w:val="5E6061"/>
          <w:szCs w:val="22"/>
          <w:lang w:eastAsia="es-ES"/>
        </w:rPr>
      </w:pPr>
      <w:r w:rsidRPr="004905FD">
        <w:rPr>
          <w:rFonts w:ascii="Rotis Sans Serif Std" w:hAnsi="Rotis Sans Serif Std" w:cs="RotisSansSerifStd-Regular"/>
          <w:color w:val="5E6061"/>
          <w:szCs w:val="22"/>
          <w:lang w:eastAsia="es-ES"/>
        </w:rPr>
        <w:t xml:space="preserve">La taxa d’atur </w:t>
      </w:r>
      <w:r>
        <w:rPr>
          <w:rFonts w:ascii="Rotis Sans Serif Std" w:hAnsi="Rotis Sans Serif Std" w:cs="RotisSansSerifStd-Regular"/>
          <w:color w:val="5E6061"/>
          <w:szCs w:val="22"/>
          <w:lang w:eastAsia="es-ES"/>
        </w:rPr>
        <w:t>a Tarragona se situa en el 14,69% (0,3</w:t>
      </w:r>
      <w:r w:rsidRPr="004905FD">
        <w:rPr>
          <w:rFonts w:ascii="Rotis Sans Serif Std" w:hAnsi="Rotis Sans Serif Std" w:cs="RotisSansSerifStd-Regular"/>
          <w:color w:val="5E6061"/>
          <w:szCs w:val="22"/>
          <w:lang w:eastAsia="es-ES"/>
        </w:rPr>
        <w:t xml:space="preserve"> punts menys que l’any anterior).</w:t>
      </w:r>
    </w:p>
    <w:p w:rsidR="00BC7ADA" w:rsidRDefault="00BC7ADA" w:rsidP="00767D0B">
      <w:pPr>
        <w:jc w:val="both"/>
        <w:rPr>
          <w:rFonts w:ascii="Rotis Sans Serif Std" w:hAnsi="Rotis Sans Serif Std" w:cs="RotisSansSerifStd-Regular"/>
          <w:color w:val="5E6061"/>
          <w:szCs w:val="22"/>
          <w:lang w:eastAsia="es-ES"/>
        </w:rPr>
      </w:pPr>
    </w:p>
    <w:p w:rsidR="00767D0B" w:rsidRDefault="00B43746" w:rsidP="00767D0B">
      <w:pPr>
        <w:pStyle w:val="TEXTBOLD"/>
        <w:numPr>
          <w:ilvl w:val="2"/>
          <w:numId w:val="8"/>
        </w:numPr>
        <w:spacing w:before="240" w:after="240" w:line="276" w:lineRule="auto"/>
        <w:rPr>
          <w:rFonts w:cs="Times New Roman"/>
          <w:color w:val="C00000"/>
          <w:sz w:val="24"/>
          <w:szCs w:val="24"/>
          <w:lang w:val="ca-ES" w:eastAsia="en-US"/>
        </w:rPr>
      </w:pPr>
      <w:bookmarkStart w:id="5" w:name="Afiliacio"/>
      <w:r w:rsidRPr="003171F9">
        <w:rPr>
          <w:rFonts w:cs="Times New Roman"/>
          <w:color w:val="C00000"/>
          <w:sz w:val="24"/>
          <w:szCs w:val="24"/>
          <w:lang w:val="ca-ES" w:eastAsia="en-US"/>
        </w:rPr>
        <w:t>Afiliació.</w:t>
      </w:r>
    </w:p>
    <w:p w:rsidR="007C08D6" w:rsidRDefault="007C08D6" w:rsidP="007C08D6">
      <w:pPr>
        <w:spacing w:line="276" w:lineRule="auto"/>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 xml:space="preserve">A Catalunya, al mes de setembre de 2018 hi ha 3.385.164 afiliats a la Seguretat Social, 9.763 més que el mes anterior (0,29%) i 82.792 més que l’any anterior (2,51%). Al conjunt d’Espanya </w:t>
      </w:r>
      <w:proofErr w:type="spellStart"/>
      <w:r>
        <w:rPr>
          <w:rFonts w:ascii="Rotis Sans Serif Std" w:hAnsi="Rotis Sans Serif Std" w:cs="RotisSansSerifStd-Regular"/>
          <w:color w:val="5E6061"/>
          <w:lang w:eastAsia="es-ES_tradnl"/>
        </w:rPr>
        <w:t>l’afiliació</w:t>
      </w:r>
      <w:proofErr w:type="spellEnd"/>
      <w:r>
        <w:rPr>
          <w:rFonts w:ascii="Rotis Sans Serif Std" w:hAnsi="Rotis Sans Serif Std" w:cs="RotisSansSerifStd-Regular"/>
          <w:color w:val="5E6061"/>
          <w:lang w:eastAsia="es-ES_tradnl"/>
        </w:rPr>
        <w:t xml:space="preserve"> se situa en els 18.862.713 afiliats (526.551 més que l’any anterior). </w:t>
      </w:r>
    </w:p>
    <w:p w:rsidR="007C08D6" w:rsidRDefault="007C08D6" w:rsidP="007C08D6">
      <w:pPr>
        <w:spacing w:line="276" w:lineRule="auto"/>
        <w:jc w:val="both"/>
        <w:rPr>
          <w:rFonts w:ascii="Rotis Sans Serif Std" w:hAnsi="Rotis Sans Serif Std" w:cs="RotisSansSerifStd-Regular"/>
          <w:color w:val="5E6061"/>
          <w:lang w:eastAsia="es-ES_tradnl"/>
        </w:rPr>
      </w:pPr>
    </w:p>
    <w:p w:rsidR="007C08D6" w:rsidRDefault="007C08D6" w:rsidP="007C08D6">
      <w:pPr>
        <w:spacing w:line="276" w:lineRule="auto"/>
        <w:jc w:val="center"/>
        <w:rPr>
          <w:rFonts w:ascii="Rotis Sans Serif Std" w:hAnsi="Rotis Sans Serif Std" w:cs="RotisSansSerifStd-Regular"/>
          <w:color w:val="5E6061"/>
          <w:lang w:eastAsia="es-ES_tradnl"/>
        </w:rPr>
      </w:pPr>
      <w:r>
        <w:rPr>
          <w:noProof/>
          <w:lang w:val="es-ES" w:eastAsia="es-ES"/>
        </w:rPr>
        <w:drawing>
          <wp:inline distT="0" distB="0" distL="0" distR="0" wp14:anchorId="7286AAE7" wp14:editId="335749F1">
            <wp:extent cx="5615796" cy="2777706"/>
            <wp:effectExtent l="0" t="0" r="23495" b="2286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08D6" w:rsidRDefault="007C08D6" w:rsidP="007C08D6">
      <w:pPr>
        <w:spacing w:line="276" w:lineRule="auto"/>
        <w:ind w:firstLine="720"/>
        <w:jc w:val="center"/>
        <w:rPr>
          <w:rFonts w:ascii="Rotis Sans Serif Std" w:hAnsi="Rotis Sans Serif Std" w:cs="RotisSansSerifStd-Regular"/>
          <w:color w:val="5E6061"/>
          <w:sz w:val="20"/>
          <w:lang w:eastAsia="es-ES_tradnl"/>
        </w:rPr>
      </w:pPr>
      <w:r>
        <w:rPr>
          <w:rFonts w:ascii="Rotis Sans Serif Std" w:hAnsi="Rotis Sans Serif Std" w:cs="RotisSansSerifStd-Regular"/>
          <w:color w:val="5E6061"/>
          <w:sz w:val="20"/>
          <w:lang w:eastAsia="es-ES_tradnl"/>
        </w:rPr>
        <w:t xml:space="preserve">Font: Elaboració pròpia a partir de les dades del </w:t>
      </w:r>
      <w:proofErr w:type="spellStart"/>
      <w:r>
        <w:rPr>
          <w:rFonts w:ascii="Rotis Sans Serif Std" w:hAnsi="Rotis Sans Serif Std" w:cs="RotisSansSerifStd-Regular"/>
          <w:color w:val="5E6061"/>
          <w:sz w:val="20"/>
          <w:lang w:eastAsia="es-ES_tradnl"/>
        </w:rPr>
        <w:t>Ministerio</w:t>
      </w:r>
      <w:proofErr w:type="spellEnd"/>
      <w:r>
        <w:rPr>
          <w:rFonts w:ascii="Rotis Sans Serif Std" w:hAnsi="Rotis Sans Serif Std" w:cs="RotisSansSerifStd-Regular"/>
          <w:color w:val="5E6061"/>
          <w:sz w:val="20"/>
          <w:lang w:eastAsia="es-ES_tradnl"/>
        </w:rPr>
        <w:t xml:space="preserve"> de </w:t>
      </w:r>
      <w:proofErr w:type="spellStart"/>
      <w:r>
        <w:rPr>
          <w:rFonts w:ascii="Rotis Sans Serif Std" w:hAnsi="Rotis Sans Serif Std" w:cs="RotisSansSerifStd-Regular"/>
          <w:color w:val="5E6061"/>
          <w:sz w:val="20"/>
          <w:lang w:eastAsia="es-ES_tradnl"/>
        </w:rPr>
        <w:t>Empleo</w:t>
      </w:r>
      <w:proofErr w:type="spellEnd"/>
      <w:r>
        <w:rPr>
          <w:rFonts w:ascii="Rotis Sans Serif Std" w:hAnsi="Rotis Sans Serif Std" w:cs="RotisSansSerifStd-Regular"/>
          <w:color w:val="5E6061"/>
          <w:sz w:val="20"/>
          <w:lang w:eastAsia="es-ES_tradnl"/>
        </w:rPr>
        <w:t xml:space="preserve"> y Seguridad Social</w:t>
      </w:r>
    </w:p>
    <w:p w:rsidR="007C08D6" w:rsidRDefault="007C08D6" w:rsidP="007C08D6">
      <w:pPr>
        <w:spacing w:line="276" w:lineRule="auto"/>
        <w:jc w:val="both"/>
        <w:rPr>
          <w:rFonts w:ascii="Rotis Sans Serif Std" w:hAnsi="Rotis Sans Serif Std" w:cs="RotisSansSerifStd-Regular"/>
          <w:color w:val="5E6061"/>
          <w:lang w:eastAsia="es-ES_tradnl"/>
        </w:rPr>
      </w:pPr>
    </w:p>
    <w:p w:rsidR="007C08D6" w:rsidRDefault="007C08D6" w:rsidP="007C08D6">
      <w:pPr>
        <w:spacing w:line="276" w:lineRule="auto"/>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u w:val="single"/>
          <w:lang w:eastAsia="es-ES_tradnl"/>
        </w:rPr>
        <w:t>Per territoris</w:t>
      </w:r>
      <w:r>
        <w:rPr>
          <w:rFonts w:ascii="Rotis Sans Serif Std" w:hAnsi="Rotis Sans Serif Std" w:cs="RotisSansSerifStd-Regular"/>
          <w:color w:val="5E6061"/>
          <w:lang w:eastAsia="es-ES_tradnl"/>
        </w:rPr>
        <w:t xml:space="preserve">, l'augment </w:t>
      </w:r>
      <w:proofErr w:type="spellStart"/>
      <w:r>
        <w:rPr>
          <w:rFonts w:ascii="Rotis Sans Serif Std" w:hAnsi="Rotis Sans Serif Std" w:cs="RotisSansSerifStd-Regular"/>
          <w:color w:val="5E6061"/>
          <w:lang w:eastAsia="es-ES_tradnl"/>
        </w:rPr>
        <w:t>internaual</w:t>
      </w:r>
      <w:proofErr w:type="spellEnd"/>
      <w:r>
        <w:rPr>
          <w:rFonts w:ascii="Rotis Sans Serif Std" w:hAnsi="Rotis Sans Serif Std" w:cs="RotisSansSerifStd-Regular"/>
          <w:color w:val="5E6061"/>
          <w:lang w:eastAsia="es-ES_tradnl"/>
        </w:rPr>
        <w:t xml:space="preserve"> de </w:t>
      </w:r>
      <w:proofErr w:type="spellStart"/>
      <w:r>
        <w:rPr>
          <w:rFonts w:ascii="Rotis Sans Serif Std" w:hAnsi="Rotis Sans Serif Std" w:cs="RotisSansSerifStd-Regular"/>
          <w:color w:val="5E6061"/>
          <w:lang w:eastAsia="es-ES_tradnl"/>
        </w:rPr>
        <w:t>l'afiliació</w:t>
      </w:r>
      <w:proofErr w:type="spellEnd"/>
      <w:r>
        <w:rPr>
          <w:rFonts w:ascii="Rotis Sans Serif Std" w:hAnsi="Rotis Sans Serif Std" w:cs="RotisSansSerifStd-Regular"/>
          <w:color w:val="5E6061"/>
          <w:lang w:eastAsia="es-ES_tradnl"/>
        </w:rPr>
        <w:t xml:space="preserve"> ha estat generalitzat; a Barcelona del 2,70%, a Girona d’un 2,17%, a Tarragona del 2,05% i a Lleida un 1,34%.</w:t>
      </w:r>
    </w:p>
    <w:p w:rsidR="007C08D6" w:rsidRDefault="007C08D6" w:rsidP="007C08D6">
      <w:pPr>
        <w:spacing w:line="276" w:lineRule="auto"/>
        <w:jc w:val="both"/>
        <w:rPr>
          <w:rFonts w:ascii="Rotis Sans Serif Std" w:hAnsi="Rotis Sans Serif Std" w:cs="RotisSansSerifStd-Regular"/>
          <w:color w:val="5E6061"/>
          <w:lang w:eastAsia="es-ES_tradnl"/>
        </w:rPr>
      </w:pPr>
    </w:p>
    <w:p w:rsidR="007C08D6" w:rsidRDefault="007C08D6" w:rsidP="007C08D6">
      <w:pPr>
        <w:spacing w:line="276" w:lineRule="auto"/>
        <w:jc w:val="center"/>
        <w:rPr>
          <w:rFonts w:ascii="Rotis Sans Serif Std" w:hAnsi="Rotis Sans Serif Std" w:cs="RotisSansSerifStd-Regular"/>
          <w:color w:val="5E6061"/>
          <w:lang w:eastAsia="es-ES_tradnl"/>
        </w:rPr>
      </w:pPr>
      <w:r>
        <w:rPr>
          <w:noProof/>
          <w:lang w:val="es-ES" w:eastAsia="es-ES"/>
        </w:rPr>
        <w:drawing>
          <wp:inline distT="0" distB="0" distL="0" distR="0" wp14:anchorId="36BC7D4A" wp14:editId="781F5872">
            <wp:extent cx="4577728" cy="2743200"/>
            <wp:effectExtent l="0" t="0" r="13335" b="1905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C08D6" w:rsidRDefault="007C08D6" w:rsidP="007C08D6">
      <w:pPr>
        <w:spacing w:line="276" w:lineRule="auto"/>
        <w:jc w:val="center"/>
        <w:rPr>
          <w:rFonts w:ascii="Rotis Sans Serif Std" w:hAnsi="Rotis Sans Serif Std" w:cs="RotisSansSerifStd-Regular"/>
          <w:color w:val="5E6061"/>
          <w:sz w:val="20"/>
          <w:lang w:eastAsia="es-ES_tradnl"/>
        </w:rPr>
      </w:pPr>
      <w:r>
        <w:rPr>
          <w:rFonts w:ascii="Rotis Sans Serif Std" w:hAnsi="Rotis Sans Serif Std" w:cs="RotisSansSerifStd-Regular"/>
          <w:color w:val="5E6061"/>
          <w:sz w:val="20"/>
          <w:lang w:eastAsia="es-ES_tradnl"/>
        </w:rPr>
        <w:t xml:space="preserve">Font: Elaboració pròpia a partir de les dades del </w:t>
      </w:r>
      <w:proofErr w:type="spellStart"/>
      <w:r>
        <w:rPr>
          <w:rFonts w:ascii="Rotis Sans Serif Std" w:hAnsi="Rotis Sans Serif Std" w:cs="RotisSansSerifStd-Regular"/>
          <w:color w:val="5E6061"/>
          <w:sz w:val="20"/>
          <w:lang w:eastAsia="es-ES_tradnl"/>
        </w:rPr>
        <w:t>Ministerio</w:t>
      </w:r>
      <w:proofErr w:type="spellEnd"/>
      <w:r>
        <w:rPr>
          <w:rFonts w:ascii="Rotis Sans Serif Std" w:hAnsi="Rotis Sans Serif Std" w:cs="RotisSansSerifStd-Regular"/>
          <w:color w:val="5E6061"/>
          <w:sz w:val="20"/>
          <w:lang w:eastAsia="es-ES_tradnl"/>
        </w:rPr>
        <w:t xml:space="preserve"> de </w:t>
      </w:r>
      <w:proofErr w:type="spellStart"/>
      <w:r>
        <w:rPr>
          <w:rFonts w:ascii="Rotis Sans Serif Std" w:hAnsi="Rotis Sans Serif Std" w:cs="RotisSansSerifStd-Regular"/>
          <w:color w:val="5E6061"/>
          <w:sz w:val="20"/>
          <w:lang w:eastAsia="es-ES_tradnl"/>
        </w:rPr>
        <w:t>Empleo</w:t>
      </w:r>
      <w:proofErr w:type="spellEnd"/>
      <w:r>
        <w:rPr>
          <w:rFonts w:ascii="Rotis Sans Serif Std" w:hAnsi="Rotis Sans Serif Std" w:cs="RotisSansSerifStd-Regular"/>
          <w:color w:val="5E6061"/>
          <w:sz w:val="20"/>
          <w:lang w:eastAsia="es-ES_tradnl"/>
        </w:rPr>
        <w:t xml:space="preserve"> y Seguridad Social</w:t>
      </w:r>
    </w:p>
    <w:p w:rsidR="007C08D6" w:rsidRDefault="007C08D6" w:rsidP="007C08D6">
      <w:pPr>
        <w:pStyle w:val="TEXTBOLD"/>
        <w:spacing w:before="240" w:after="240" w:line="276" w:lineRule="auto"/>
        <w:rPr>
          <w:rFonts w:cs="Times New Roman"/>
          <w:color w:val="C00000"/>
          <w:sz w:val="24"/>
          <w:szCs w:val="24"/>
          <w:lang w:val="ca-ES" w:eastAsia="en-US"/>
        </w:rPr>
      </w:pPr>
    </w:p>
    <w:p w:rsidR="007C08D6" w:rsidRDefault="007C08D6" w:rsidP="007C08D6">
      <w:pPr>
        <w:pStyle w:val="TEXTBOLD"/>
        <w:spacing w:before="240" w:after="240" w:line="276" w:lineRule="auto"/>
        <w:rPr>
          <w:rFonts w:cs="Times New Roman"/>
          <w:color w:val="C00000"/>
          <w:sz w:val="24"/>
          <w:szCs w:val="24"/>
          <w:lang w:val="ca-ES" w:eastAsia="en-US"/>
        </w:rPr>
      </w:pPr>
    </w:p>
    <w:p w:rsidR="00350E6D" w:rsidRPr="003171F9" w:rsidRDefault="00350E6D" w:rsidP="00AB0BAA">
      <w:pPr>
        <w:pStyle w:val="Prrafodelista"/>
        <w:numPr>
          <w:ilvl w:val="1"/>
          <w:numId w:val="4"/>
        </w:numPr>
        <w:shd w:val="clear" w:color="auto" w:fill="F2F2F2"/>
        <w:spacing w:line="276" w:lineRule="auto"/>
        <w:ind w:left="284" w:hanging="284"/>
        <w:jc w:val="both"/>
        <w:rPr>
          <w:rFonts w:ascii="Rotis Sans Serif Std" w:hAnsi="Rotis Sans Serif Std"/>
          <w:b/>
          <w:color w:val="FF0000"/>
        </w:rPr>
      </w:pPr>
      <w:bookmarkStart w:id="6" w:name="Contractacio"/>
      <w:bookmarkEnd w:id="5"/>
      <w:r w:rsidRPr="003171F9">
        <w:rPr>
          <w:rFonts w:ascii="Rotis Sans Serif Std" w:hAnsi="Rotis Sans Serif Std"/>
          <w:b/>
          <w:color w:val="C00000"/>
        </w:rPr>
        <w:t>CONTRACTACIÓ</w:t>
      </w:r>
      <w:r w:rsidRPr="003171F9">
        <w:rPr>
          <w:rFonts w:ascii="Rotis Sans Serif Std" w:hAnsi="Rotis Sans Serif Std"/>
          <w:b/>
          <w:color w:val="FF0000"/>
        </w:rPr>
        <w:t xml:space="preserve"> </w:t>
      </w:r>
    </w:p>
    <w:bookmarkEnd w:id="6"/>
    <w:p w:rsidR="00350E6D" w:rsidRDefault="00350E6D" w:rsidP="00350E6D">
      <w:pPr>
        <w:autoSpaceDE w:val="0"/>
        <w:autoSpaceDN w:val="0"/>
        <w:adjustRightInd w:val="0"/>
        <w:spacing w:line="276" w:lineRule="auto"/>
        <w:jc w:val="both"/>
        <w:rPr>
          <w:rFonts w:ascii="Rotis Sans Serif Std" w:hAnsi="Rotis Sans Serif Std" w:cs="RotisSansSerifStd-Regular"/>
          <w:color w:val="5E6061"/>
          <w:lang w:eastAsia="es-ES"/>
        </w:rPr>
      </w:pPr>
    </w:p>
    <w:p w:rsidR="00312EC6" w:rsidRDefault="00312EC6" w:rsidP="00312EC6">
      <w:pPr>
        <w:pStyle w:val="TEXTBOLD"/>
        <w:spacing w:line="276" w:lineRule="auto"/>
        <w:rPr>
          <w:b w:val="0"/>
          <w:sz w:val="24"/>
          <w:szCs w:val="24"/>
          <w:lang w:val="ca-ES"/>
        </w:rPr>
      </w:pPr>
      <w:r>
        <w:rPr>
          <w:b w:val="0"/>
          <w:sz w:val="24"/>
          <w:szCs w:val="24"/>
          <w:lang w:val="ca-ES"/>
        </w:rPr>
        <w:t>Al setembre</w:t>
      </w:r>
      <w:r w:rsidRPr="00B53FF7">
        <w:rPr>
          <w:b w:val="0"/>
          <w:sz w:val="24"/>
          <w:szCs w:val="24"/>
          <w:lang w:val="ca-ES"/>
        </w:rPr>
        <w:t xml:space="preserve"> de 2018 s’han formalitzat a Catalunya </w:t>
      </w:r>
      <w:r>
        <w:rPr>
          <w:b w:val="0"/>
          <w:sz w:val="24"/>
          <w:szCs w:val="24"/>
          <w:lang w:val="ca-ES"/>
        </w:rPr>
        <w:t>279.205</w:t>
      </w:r>
      <w:r w:rsidRPr="00B53FF7">
        <w:rPr>
          <w:b w:val="0"/>
          <w:sz w:val="24"/>
          <w:szCs w:val="24"/>
          <w:lang w:val="ca-ES"/>
        </w:rPr>
        <w:t xml:space="preserve"> </w:t>
      </w:r>
      <w:r>
        <w:rPr>
          <w:b w:val="0"/>
          <w:sz w:val="24"/>
          <w:szCs w:val="24"/>
          <w:lang w:val="ca-ES"/>
        </w:rPr>
        <w:t>contractes laborals, dels quals el 16,24% han estat indefinits (45.340</w:t>
      </w:r>
      <w:r w:rsidRPr="00B53FF7">
        <w:rPr>
          <w:b w:val="0"/>
          <w:sz w:val="24"/>
          <w:szCs w:val="24"/>
          <w:lang w:val="ca-ES"/>
        </w:rPr>
        <w:t>) i</w:t>
      </w:r>
      <w:r>
        <w:rPr>
          <w:b w:val="0"/>
          <w:sz w:val="24"/>
          <w:szCs w:val="24"/>
          <w:lang w:val="ca-ES"/>
        </w:rPr>
        <w:t xml:space="preserve"> el 83,76%, temporals (233.865). </w:t>
      </w:r>
    </w:p>
    <w:p w:rsidR="00312EC6" w:rsidRDefault="00312EC6" w:rsidP="00312EC6">
      <w:pPr>
        <w:pStyle w:val="TEXTBOLD"/>
        <w:spacing w:line="276" w:lineRule="auto"/>
        <w:rPr>
          <w:b w:val="0"/>
          <w:sz w:val="24"/>
          <w:szCs w:val="24"/>
          <w:lang w:val="ca-ES"/>
        </w:rPr>
      </w:pPr>
    </w:p>
    <w:p w:rsidR="00312EC6" w:rsidRPr="00130AA8" w:rsidRDefault="00312EC6" w:rsidP="00312EC6">
      <w:pPr>
        <w:pStyle w:val="TEXTBOLD"/>
        <w:spacing w:line="276" w:lineRule="auto"/>
        <w:rPr>
          <w:b w:val="0"/>
          <w:sz w:val="24"/>
          <w:szCs w:val="24"/>
          <w:lang w:val="ca-ES"/>
        </w:rPr>
      </w:pPr>
      <w:r w:rsidRPr="00130AA8">
        <w:rPr>
          <w:b w:val="0"/>
          <w:sz w:val="24"/>
          <w:szCs w:val="24"/>
          <w:lang w:val="ca-ES"/>
        </w:rPr>
        <w:t>Respecte del mes d’agost, la contractació ha incrementat un 19,92% (46.378 contractes més), sent més intens l’augment de la indefinida (66,67%; 18.137 contractes més) que el de la temporal (13,73%; 28.241 més).</w:t>
      </w:r>
    </w:p>
    <w:p w:rsidR="00312EC6" w:rsidRPr="00130AA8" w:rsidRDefault="00312EC6" w:rsidP="00312EC6">
      <w:pPr>
        <w:pStyle w:val="TEXTBOLD"/>
        <w:spacing w:line="276" w:lineRule="auto"/>
        <w:rPr>
          <w:b w:val="0"/>
          <w:sz w:val="24"/>
          <w:szCs w:val="24"/>
          <w:lang w:val="ca-ES"/>
        </w:rPr>
      </w:pPr>
    </w:p>
    <w:p w:rsidR="00312EC6" w:rsidRPr="00130AA8" w:rsidRDefault="00312EC6" w:rsidP="00312EC6">
      <w:pPr>
        <w:pStyle w:val="TEXTBOLD"/>
        <w:spacing w:line="276" w:lineRule="auto"/>
        <w:rPr>
          <w:b w:val="0"/>
          <w:sz w:val="24"/>
          <w:szCs w:val="24"/>
          <w:lang w:val="ca-ES"/>
        </w:rPr>
      </w:pPr>
      <w:proofErr w:type="spellStart"/>
      <w:r w:rsidRPr="00130AA8">
        <w:rPr>
          <w:b w:val="0"/>
          <w:sz w:val="24"/>
          <w:szCs w:val="24"/>
          <w:lang w:val="ca-ES"/>
        </w:rPr>
        <w:t>Interanualment</w:t>
      </w:r>
      <w:proofErr w:type="spellEnd"/>
      <w:r w:rsidRPr="00130AA8">
        <w:rPr>
          <w:b w:val="0"/>
          <w:sz w:val="24"/>
          <w:szCs w:val="24"/>
          <w:lang w:val="ca-ES"/>
        </w:rPr>
        <w:t xml:space="preserve">, s’ha produït un descens del -4,53% (-13.256 contractes menys), tot i l’augment de la contractació indefinida (7,30%) per la reducció de la contractació temporal (-6,53%; 16.340 contractes menys). </w:t>
      </w:r>
    </w:p>
    <w:p w:rsidR="00312EC6" w:rsidRPr="00130AA8" w:rsidRDefault="00312EC6" w:rsidP="00312EC6">
      <w:pPr>
        <w:pStyle w:val="TEXTBOLD"/>
        <w:spacing w:line="276" w:lineRule="auto"/>
        <w:rPr>
          <w:b w:val="0"/>
          <w:sz w:val="24"/>
          <w:szCs w:val="24"/>
          <w:lang w:val="ca-ES"/>
        </w:rPr>
      </w:pPr>
    </w:p>
    <w:p w:rsidR="00312EC6" w:rsidRDefault="00312EC6" w:rsidP="00312EC6">
      <w:pPr>
        <w:pStyle w:val="TEXTBOLD"/>
        <w:spacing w:line="276" w:lineRule="auto"/>
        <w:rPr>
          <w:b w:val="0"/>
          <w:sz w:val="24"/>
          <w:szCs w:val="24"/>
          <w:lang w:val="ca-ES"/>
        </w:rPr>
      </w:pPr>
      <w:r w:rsidRPr="00C02C57">
        <w:rPr>
          <w:b w:val="0"/>
          <w:sz w:val="24"/>
          <w:szCs w:val="24"/>
          <w:lang w:val="ca-ES"/>
        </w:rPr>
        <w:t>La contractació acumulada de gener a setembre d</w:t>
      </w:r>
      <w:r>
        <w:rPr>
          <w:b w:val="0"/>
          <w:sz w:val="24"/>
          <w:szCs w:val="24"/>
          <w:lang w:val="ca-ES"/>
        </w:rPr>
        <w:t xml:space="preserve">e 2018 s’ha incrementat un 3,8% </w:t>
      </w:r>
      <w:r w:rsidRPr="00C02C57">
        <w:rPr>
          <w:b w:val="0"/>
          <w:sz w:val="24"/>
          <w:szCs w:val="24"/>
          <w:lang w:val="ca-ES"/>
        </w:rPr>
        <w:t>(90.127 contractes més), gràcies a l’augment de la co</w:t>
      </w:r>
      <w:r>
        <w:rPr>
          <w:b w:val="0"/>
          <w:sz w:val="24"/>
          <w:szCs w:val="24"/>
          <w:lang w:val="ca-ES"/>
        </w:rPr>
        <w:t xml:space="preserve">ntractació indefinida (11,6%), </w:t>
      </w:r>
      <w:r w:rsidRPr="00C02C57">
        <w:rPr>
          <w:b w:val="0"/>
          <w:sz w:val="24"/>
          <w:szCs w:val="24"/>
          <w:lang w:val="ca-ES"/>
        </w:rPr>
        <w:t>que manté el ritme, i un creix</w:t>
      </w:r>
      <w:r>
        <w:rPr>
          <w:b w:val="0"/>
          <w:sz w:val="24"/>
          <w:szCs w:val="24"/>
          <w:lang w:val="ca-ES"/>
        </w:rPr>
        <w:t>ement més suau de la temporal (</w:t>
      </w:r>
      <w:r w:rsidRPr="00C02C57">
        <w:rPr>
          <w:b w:val="0"/>
          <w:sz w:val="24"/>
          <w:szCs w:val="24"/>
          <w:lang w:val="ca-ES"/>
        </w:rPr>
        <w:t>2,6%).</w:t>
      </w:r>
    </w:p>
    <w:p w:rsidR="00312EC6" w:rsidRDefault="00312EC6" w:rsidP="00312EC6">
      <w:pPr>
        <w:pStyle w:val="TEXTBOLD"/>
        <w:spacing w:line="276" w:lineRule="auto"/>
        <w:rPr>
          <w:b w:val="0"/>
          <w:sz w:val="24"/>
          <w:szCs w:val="24"/>
          <w:lang w:val="ca-ES"/>
        </w:rPr>
      </w:pPr>
    </w:p>
    <w:p w:rsidR="00312EC6" w:rsidRDefault="00312EC6" w:rsidP="00312EC6">
      <w:pPr>
        <w:pStyle w:val="TEXTBOLD"/>
        <w:spacing w:line="276" w:lineRule="auto"/>
        <w:jc w:val="center"/>
        <w:rPr>
          <w:b w:val="0"/>
          <w:color w:val="FF0000"/>
          <w:sz w:val="24"/>
          <w:szCs w:val="24"/>
          <w:lang w:val="ca-ES"/>
        </w:rPr>
      </w:pPr>
      <w:r>
        <w:rPr>
          <w:noProof/>
          <w:lang w:val="es-ES" w:eastAsia="es-ES"/>
        </w:rPr>
        <w:drawing>
          <wp:inline distT="0" distB="0" distL="0" distR="0" wp14:anchorId="3160AD14" wp14:editId="64DC9D59">
            <wp:extent cx="5612130" cy="2969260"/>
            <wp:effectExtent l="0" t="0" r="26670" b="21590"/>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12EC6" w:rsidRDefault="00312EC6" w:rsidP="00312EC6">
      <w:pPr>
        <w:pStyle w:val="TEXTBOLD"/>
        <w:spacing w:line="276" w:lineRule="auto"/>
        <w:jc w:val="center"/>
        <w:rPr>
          <w:b w:val="0"/>
          <w:sz w:val="24"/>
          <w:szCs w:val="24"/>
          <w:lang w:val="ca-ES"/>
        </w:rPr>
      </w:pPr>
      <w:r>
        <w:rPr>
          <w:b w:val="0"/>
          <w:sz w:val="18"/>
          <w:szCs w:val="24"/>
          <w:lang w:val="ca-ES"/>
        </w:rPr>
        <w:t xml:space="preserve">Font: Elaboració pròpia a partir de les dades del </w:t>
      </w:r>
      <w:proofErr w:type="spellStart"/>
      <w:r>
        <w:rPr>
          <w:b w:val="0"/>
          <w:sz w:val="18"/>
          <w:szCs w:val="24"/>
          <w:lang w:val="ca-ES"/>
        </w:rPr>
        <w:t>Ministerio</w:t>
      </w:r>
      <w:proofErr w:type="spellEnd"/>
      <w:r>
        <w:rPr>
          <w:b w:val="0"/>
          <w:sz w:val="18"/>
          <w:szCs w:val="24"/>
          <w:lang w:val="ca-ES"/>
        </w:rPr>
        <w:t xml:space="preserve"> de </w:t>
      </w:r>
      <w:proofErr w:type="spellStart"/>
      <w:r>
        <w:rPr>
          <w:b w:val="0"/>
          <w:sz w:val="18"/>
          <w:szCs w:val="24"/>
          <w:lang w:val="ca-ES"/>
        </w:rPr>
        <w:t>Empleo</w:t>
      </w:r>
      <w:proofErr w:type="spellEnd"/>
      <w:r>
        <w:rPr>
          <w:b w:val="0"/>
          <w:sz w:val="18"/>
          <w:szCs w:val="24"/>
          <w:lang w:val="ca-ES"/>
        </w:rPr>
        <w:t xml:space="preserve"> y Seguridad Social </w:t>
      </w:r>
    </w:p>
    <w:p w:rsidR="00312EC6" w:rsidRDefault="00312EC6" w:rsidP="00312EC6">
      <w:pPr>
        <w:spacing w:line="360" w:lineRule="auto"/>
        <w:jc w:val="both"/>
        <w:rPr>
          <w:rFonts w:ascii="Rotis Sans Serif Std" w:hAnsi="Rotis Sans Serif Std" w:cs="RotisSansSerifStd-Regular"/>
          <w:color w:val="5E6061"/>
          <w:u w:val="single"/>
          <w:lang w:eastAsia="es-ES_tradnl"/>
        </w:rPr>
      </w:pPr>
    </w:p>
    <w:p w:rsidR="00312EC6" w:rsidRDefault="00312EC6" w:rsidP="00312EC6">
      <w:pPr>
        <w:spacing w:line="276" w:lineRule="auto"/>
        <w:jc w:val="both"/>
        <w:rPr>
          <w:rFonts w:ascii="Rotis Sans Serif Std" w:hAnsi="Rotis Sans Serif Std" w:cs="RotisSansSerifStd-Regular"/>
          <w:color w:val="5E6061"/>
          <w:u w:val="single"/>
          <w:lang w:eastAsia="es-ES_tradnl"/>
        </w:rPr>
      </w:pPr>
      <w:r>
        <w:rPr>
          <w:rFonts w:ascii="Rotis Sans Serif Std" w:hAnsi="Rotis Sans Serif Std" w:cs="RotisSansSerifStd-Regular"/>
          <w:color w:val="5E6061"/>
          <w:u w:val="single"/>
          <w:lang w:eastAsia="es-ES_tradnl"/>
        </w:rPr>
        <w:t>En el conjunt de l’Estat</w:t>
      </w:r>
      <w:r>
        <w:rPr>
          <w:rFonts w:ascii="Rotis Sans Serif Std" w:hAnsi="Rotis Sans Serif Std" w:cs="RotisSansSerifStd-Regular"/>
          <w:color w:val="5E6061"/>
          <w:lang w:eastAsia="es-ES_tradnl"/>
        </w:rPr>
        <w:t>, s’han formalitzat 1952.397 contractes en el mes de setembre, xifra que suposa un increment</w:t>
      </w:r>
      <w:r>
        <w:rPr>
          <w:rFonts w:ascii="Rotis Sans Serif Std" w:hAnsi="Rotis Sans Serif Std" w:cs="RotisSansSerifStd-Regular"/>
          <w:color w:val="FF0000"/>
          <w:lang w:eastAsia="es-ES_tradnl"/>
        </w:rPr>
        <w:t xml:space="preserve"> </w:t>
      </w:r>
      <w:r>
        <w:rPr>
          <w:rFonts w:ascii="Rotis Sans Serif Std" w:hAnsi="Rotis Sans Serif Std" w:cs="RotisSansSerifStd-Regular"/>
          <w:color w:val="5E6061"/>
          <w:lang w:eastAsia="es-ES_tradnl"/>
        </w:rPr>
        <w:t xml:space="preserve">mensual del 21,83% (349.902 més) i un descens interanual del -2,05% (40.870 contractes menys). Els contractes indefinits han crescut un 51,23% respecte el mes anterior i un 20,80% respecte l’any anterior i els temporals, han augmentat un 18,71% mensualment i s’han reduït un -4,50% </w:t>
      </w:r>
      <w:proofErr w:type="spellStart"/>
      <w:r>
        <w:rPr>
          <w:rFonts w:ascii="Rotis Sans Serif Std" w:hAnsi="Rotis Sans Serif Std" w:cs="RotisSansSerifStd-Regular"/>
          <w:color w:val="5E6061"/>
          <w:lang w:eastAsia="es-ES_tradnl"/>
        </w:rPr>
        <w:t>interanualment</w:t>
      </w:r>
      <w:proofErr w:type="spellEnd"/>
      <w:r>
        <w:rPr>
          <w:rFonts w:ascii="Rotis Sans Serif Std" w:hAnsi="Rotis Sans Serif Std" w:cs="RotisSansSerifStd-Regular"/>
          <w:color w:val="5E6061"/>
          <w:lang w:eastAsia="es-ES_tradnl"/>
        </w:rPr>
        <w:t>.</w:t>
      </w:r>
    </w:p>
    <w:p w:rsidR="00312EC6" w:rsidRDefault="00312EC6" w:rsidP="00312EC6">
      <w:pPr>
        <w:spacing w:line="276" w:lineRule="auto"/>
        <w:jc w:val="both"/>
        <w:rPr>
          <w:rFonts w:ascii="Rotis Sans Serif Std" w:hAnsi="Rotis Sans Serif Std" w:cs="RotisSansSerifStd-Regular"/>
          <w:color w:val="5E6061"/>
          <w:u w:val="single"/>
          <w:lang w:eastAsia="es-ES_tradnl"/>
        </w:rPr>
      </w:pPr>
    </w:p>
    <w:p w:rsidR="00312EC6" w:rsidRDefault="00312EC6" w:rsidP="00312EC6">
      <w:pPr>
        <w:spacing w:line="276" w:lineRule="auto"/>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 xml:space="preserve">Fins al mes de setembre, s’ha acumulat un total de 16.471.425 contractes, </w:t>
      </w:r>
      <w:r w:rsidRPr="00851C13">
        <w:rPr>
          <w:rFonts w:ascii="Rotis Sans Serif Std" w:hAnsi="Rotis Sans Serif Std" w:cs="RotisSansSerifStd-Regular"/>
          <w:color w:val="5E6061"/>
          <w:lang w:eastAsia="es-ES_tradnl"/>
        </w:rPr>
        <w:t>1.700.249</w:t>
      </w:r>
      <w:r>
        <w:rPr>
          <w:rFonts w:ascii="Rotis Sans Serif Std" w:hAnsi="Rotis Sans Serif Std" w:cs="RotisSansSerifStd-Regular"/>
          <w:color w:val="5E6061"/>
          <w:lang w:eastAsia="es-ES_tradnl"/>
        </w:rPr>
        <w:t xml:space="preserve"> de caràcter indefinit (</w:t>
      </w:r>
      <w:r w:rsidRPr="00851C13">
        <w:rPr>
          <w:rFonts w:ascii="Rotis Sans Serif Std" w:hAnsi="Rotis Sans Serif Std" w:cs="RotisSansSerifStd-Regular"/>
          <w:color w:val="5E6061"/>
          <w:lang w:eastAsia="es-ES_tradnl"/>
        </w:rPr>
        <w:t>10,32</w:t>
      </w:r>
      <w:r>
        <w:rPr>
          <w:rFonts w:ascii="Rotis Sans Serif Std" w:hAnsi="Rotis Sans Serif Std" w:cs="RotisSansSerifStd-Regular"/>
          <w:color w:val="5E6061"/>
          <w:lang w:eastAsia="es-ES_tradnl"/>
        </w:rPr>
        <w:t xml:space="preserve">%) i </w:t>
      </w:r>
      <w:r w:rsidRPr="00851C13">
        <w:rPr>
          <w:rFonts w:ascii="Rotis Sans Serif Std" w:hAnsi="Rotis Sans Serif Std" w:cs="RotisSansSerifStd-Regular"/>
          <w:color w:val="5E6061"/>
          <w:lang w:eastAsia="es-ES_tradnl"/>
        </w:rPr>
        <w:t>14.771.176</w:t>
      </w:r>
      <w:r>
        <w:rPr>
          <w:rFonts w:ascii="Rotis Sans Serif Std" w:hAnsi="Rotis Sans Serif Std" w:cs="RotisSansSerifStd-Regular"/>
          <w:color w:val="5E6061"/>
          <w:lang w:eastAsia="es-ES_tradnl"/>
        </w:rPr>
        <w:t xml:space="preserve"> temporals (</w:t>
      </w:r>
      <w:r w:rsidRPr="00851C13">
        <w:rPr>
          <w:rFonts w:ascii="Rotis Sans Serif Std" w:hAnsi="Rotis Sans Serif Std" w:cs="RotisSansSerifStd-Regular"/>
          <w:color w:val="5E6061"/>
          <w:lang w:eastAsia="es-ES_tradnl"/>
        </w:rPr>
        <w:t>89,68</w:t>
      </w:r>
      <w:r>
        <w:rPr>
          <w:rFonts w:ascii="Rotis Sans Serif Std" w:hAnsi="Rotis Sans Serif Std" w:cs="RotisSansSerifStd-Regular"/>
          <w:color w:val="5E6061"/>
          <w:lang w:eastAsia="es-ES_tradnl"/>
        </w:rPr>
        <w:t xml:space="preserve">%). </w:t>
      </w:r>
    </w:p>
    <w:p w:rsidR="00312EC6" w:rsidRPr="00CD3492" w:rsidRDefault="00312EC6" w:rsidP="00312EC6">
      <w:pPr>
        <w:spacing w:line="276" w:lineRule="auto"/>
        <w:jc w:val="both"/>
        <w:rPr>
          <w:rFonts w:ascii="Rotis Sans Serif Std" w:hAnsi="Rotis Sans Serif Std" w:cs="RotisSansSerifStd-Regular"/>
          <w:color w:val="5E6061"/>
          <w:lang w:eastAsia="es-ES_tradnl"/>
        </w:rPr>
      </w:pPr>
    </w:p>
    <w:p w:rsidR="00312EC6" w:rsidRPr="00851C13" w:rsidRDefault="00312EC6" w:rsidP="00312EC6">
      <w:pPr>
        <w:spacing w:line="276" w:lineRule="auto"/>
        <w:jc w:val="both"/>
        <w:rPr>
          <w:rFonts w:ascii="Rotis Sans Serif Std" w:hAnsi="Rotis Sans Serif Std" w:cs="RotisSansSerifStd-Regular"/>
          <w:color w:val="5E6061"/>
          <w:lang w:eastAsia="es-ES_tradnl"/>
        </w:rPr>
      </w:pPr>
      <w:r w:rsidRPr="00851C13">
        <w:rPr>
          <w:rFonts w:ascii="Rotis Sans Serif Std" w:hAnsi="Rotis Sans Serif Std" w:cs="RotisSansSerifStd-Regular"/>
          <w:color w:val="5E6061"/>
          <w:lang w:eastAsia="es-ES_tradnl"/>
        </w:rPr>
        <w:t>Per altra banda, si analitzem les dades de l’EPA del segon trimestre de l’any, del total d’ocupats a Catalunya el 78,4% d’ocupats té contracte de durada indefinida i el 21,6% de caràcter temporal. A Espanya, la taxa de temporalitat és superior amb el 26,8%.</w:t>
      </w:r>
    </w:p>
    <w:p w:rsidR="00312EC6" w:rsidRPr="00851C13" w:rsidRDefault="00312EC6" w:rsidP="00312EC6">
      <w:pPr>
        <w:spacing w:line="276" w:lineRule="auto"/>
        <w:jc w:val="both"/>
        <w:rPr>
          <w:rFonts w:ascii="Rotis Sans Serif Std" w:hAnsi="Rotis Sans Serif Std" w:cs="RotisSansSerifStd-Regular"/>
          <w:color w:val="5E6061"/>
          <w:lang w:eastAsia="es-ES_tradnl"/>
        </w:rPr>
      </w:pPr>
    </w:p>
    <w:p w:rsidR="00312EC6" w:rsidRDefault="00312EC6" w:rsidP="00312EC6">
      <w:pPr>
        <w:spacing w:line="276" w:lineRule="auto"/>
        <w:jc w:val="both"/>
        <w:rPr>
          <w:rFonts w:ascii="Rotis Sans Serif Std" w:hAnsi="Rotis Sans Serif Std" w:cs="RotisSansSerifStd-Regular"/>
          <w:color w:val="5E6061"/>
          <w:lang w:eastAsia="es-ES_tradnl"/>
        </w:rPr>
      </w:pPr>
      <w:r w:rsidRPr="00851C13">
        <w:rPr>
          <w:rFonts w:ascii="Rotis Sans Serif Std" w:hAnsi="Rotis Sans Serif Std" w:cs="RotisSansSerifStd-Regular"/>
          <w:color w:val="5E6061"/>
          <w:lang w:eastAsia="es-ES_tradnl"/>
        </w:rPr>
        <w:t>Entre el període 2007-2018 la taxa de temporalitat ha passat del 23,50% al 21,6% a Catalunya i al conjunt d’Espanya se situava en el 31,80% en el primer trimestre de 2007 i en aquest trimestre s’ha situat en el 26,8%.</w:t>
      </w:r>
    </w:p>
    <w:p w:rsidR="00312EC6" w:rsidRDefault="00312EC6" w:rsidP="00312EC6">
      <w:pPr>
        <w:spacing w:line="276" w:lineRule="auto"/>
        <w:jc w:val="both"/>
        <w:rPr>
          <w:rFonts w:ascii="Rotis Sans Serif Std" w:hAnsi="Rotis Sans Serif Std" w:cs="RotisSansSerifStd-Regular"/>
          <w:color w:val="5E6061"/>
          <w:lang w:eastAsia="es-ES_tradnl"/>
        </w:rPr>
      </w:pPr>
    </w:p>
    <w:p w:rsidR="00312EC6" w:rsidRDefault="00312EC6" w:rsidP="00312EC6">
      <w:pPr>
        <w:spacing w:line="276" w:lineRule="auto"/>
        <w:rPr>
          <w:rFonts w:ascii="Rotis Sans Serif Std" w:hAnsi="Rotis Sans Serif Std" w:cs="RotisSansSerifStd-Regular"/>
          <w:color w:val="5E6061"/>
          <w:lang w:eastAsia="es-ES_tradnl"/>
        </w:rPr>
      </w:pPr>
      <w:r>
        <w:rPr>
          <w:noProof/>
          <w:lang w:val="es-ES" w:eastAsia="es-ES"/>
        </w:rPr>
        <w:drawing>
          <wp:inline distT="0" distB="0" distL="0" distR="0" wp14:anchorId="7E8D4B4D" wp14:editId="0D8EBF5D">
            <wp:extent cx="3024000" cy="2592000"/>
            <wp:effectExtent l="0" t="0" r="24130" b="18415"/>
            <wp:docPr id="54"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lang w:val="es-ES" w:eastAsia="es-ES"/>
        </w:rPr>
        <w:drawing>
          <wp:inline distT="0" distB="0" distL="0" distR="0" wp14:anchorId="385005F6" wp14:editId="71018A87">
            <wp:extent cx="3024000" cy="2592000"/>
            <wp:effectExtent l="0" t="0" r="24130" b="18415"/>
            <wp:docPr id="56"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12EC6" w:rsidRDefault="00312EC6" w:rsidP="00312EC6">
      <w:pPr>
        <w:pStyle w:val="TEXTBOLD"/>
        <w:spacing w:line="276" w:lineRule="auto"/>
        <w:jc w:val="center"/>
        <w:rPr>
          <w:b w:val="0"/>
          <w:sz w:val="18"/>
          <w:szCs w:val="24"/>
          <w:lang w:val="ca-ES"/>
        </w:rPr>
      </w:pPr>
      <w:r>
        <w:rPr>
          <w:b w:val="0"/>
          <w:sz w:val="18"/>
          <w:szCs w:val="24"/>
          <w:lang w:val="ca-ES"/>
        </w:rPr>
        <w:t>Font: Elaboració pròpia a partir de les dades de l’INE.</w:t>
      </w:r>
    </w:p>
    <w:p w:rsidR="00312EC6" w:rsidRDefault="00312EC6" w:rsidP="00312EC6">
      <w:pPr>
        <w:pStyle w:val="TEXTBOLD"/>
        <w:spacing w:line="276" w:lineRule="auto"/>
        <w:rPr>
          <w:b w:val="0"/>
          <w:sz w:val="24"/>
          <w:szCs w:val="24"/>
          <w:u w:val="single"/>
          <w:lang w:val="ca-ES"/>
        </w:rPr>
      </w:pPr>
    </w:p>
    <w:p w:rsidR="00312EC6" w:rsidRPr="00C02C57" w:rsidRDefault="00312EC6" w:rsidP="00312EC6">
      <w:pPr>
        <w:pStyle w:val="TEXTBOLD"/>
        <w:spacing w:line="276" w:lineRule="auto"/>
        <w:rPr>
          <w:b w:val="0"/>
          <w:sz w:val="24"/>
          <w:szCs w:val="24"/>
          <w:lang w:val="ca-ES"/>
        </w:rPr>
      </w:pPr>
      <w:r w:rsidRPr="00F763D3">
        <w:rPr>
          <w:b w:val="0"/>
          <w:sz w:val="24"/>
          <w:szCs w:val="24"/>
          <w:u w:val="single"/>
          <w:lang w:val="ca-ES"/>
        </w:rPr>
        <w:t>Per modalitats contractuals,</w:t>
      </w:r>
      <w:r w:rsidRPr="00F763D3">
        <w:rPr>
          <w:b w:val="0"/>
          <w:sz w:val="24"/>
          <w:szCs w:val="24"/>
          <w:lang w:val="ca-ES"/>
        </w:rPr>
        <w:t xml:space="preserve"> </w:t>
      </w:r>
      <w:r w:rsidRPr="00C02C57">
        <w:rPr>
          <w:b w:val="0"/>
          <w:sz w:val="24"/>
          <w:szCs w:val="24"/>
          <w:lang w:val="ca-ES"/>
        </w:rPr>
        <w:t>entre les indefinides, han augmenta</w:t>
      </w:r>
      <w:r>
        <w:rPr>
          <w:b w:val="0"/>
          <w:sz w:val="24"/>
          <w:szCs w:val="24"/>
          <w:lang w:val="ca-ES"/>
        </w:rPr>
        <w:t xml:space="preserve">t els contractes </w:t>
      </w:r>
      <w:r w:rsidRPr="00C02C57">
        <w:rPr>
          <w:b w:val="0"/>
          <w:sz w:val="24"/>
          <w:szCs w:val="24"/>
          <w:lang w:val="ca-ES"/>
        </w:rPr>
        <w:t>ordinaris a temps indefinit (25.766 més) i els convert</w:t>
      </w:r>
      <w:r>
        <w:rPr>
          <w:b w:val="0"/>
          <w:sz w:val="24"/>
          <w:szCs w:val="24"/>
          <w:lang w:val="ca-ES"/>
        </w:rPr>
        <w:t xml:space="preserve">its en indefinits (10.664 més). </w:t>
      </w:r>
      <w:r w:rsidRPr="00C02C57">
        <w:rPr>
          <w:b w:val="0"/>
          <w:sz w:val="24"/>
          <w:szCs w:val="24"/>
          <w:lang w:val="ca-ES"/>
        </w:rPr>
        <w:t xml:space="preserve">Per contra, es redueixen els contractes de foment de </w:t>
      </w:r>
      <w:r>
        <w:rPr>
          <w:b w:val="0"/>
          <w:sz w:val="24"/>
          <w:szCs w:val="24"/>
          <w:lang w:val="ca-ES"/>
        </w:rPr>
        <w:t xml:space="preserve">la contractació indefinida (623 </w:t>
      </w:r>
      <w:r w:rsidRPr="00C02C57">
        <w:rPr>
          <w:b w:val="0"/>
          <w:sz w:val="24"/>
          <w:szCs w:val="24"/>
          <w:lang w:val="ca-ES"/>
        </w:rPr>
        <w:t>menys) i els indefinits a persones amb discapacitat (52 menys).</w:t>
      </w:r>
    </w:p>
    <w:p w:rsidR="00312EC6" w:rsidRDefault="00312EC6" w:rsidP="00312EC6">
      <w:pPr>
        <w:pStyle w:val="TEXTBOLD"/>
        <w:spacing w:line="276" w:lineRule="auto"/>
        <w:rPr>
          <w:b w:val="0"/>
          <w:sz w:val="24"/>
          <w:szCs w:val="24"/>
          <w:lang w:val="ca-ES"/>
        </w:rPr>
      </w:pPr>
    </w:p>
    <w:p w:rsidR="00312EC6" w:rsidRPr="00C02C57" w:rsidRDefault="00312EC6" w:rsidP="00312EC6">
      <w:pPr>
        <w:pStyle w:val="TEXTBOLD"/>
        <w:spacing w:line="276" w:lineRule="auto"/>
        <w:rPr>
          <w:b w:val="0"/>
          <w:sz w:val="24"/>
          <w:szCs w:val="24"/>
          <w:lang w:val="ca-ES"/>
        </w:rPr>
      </w:pPr>
      <w:r w:rsidRPr="00C02C57">
        <w:rPr>
          <w:b w:val="0"/>
          <w:sz w:val="24"/>
          <w:szCs w:val="24"/>
          <w:lang w:val="ca-ES"/>
        </w:rPr>
        <w:t>Pel que fa als contractes temporals, sobresu</w:t>
      </w:r>
      <w:r>
        <w:rPr>
          <w:b w:val="0"/>
          <w:sz w:val="24"/>
          <w:szCs w:val="24"/>
          <w:lang w:val="ca-ES"/>
        </w:rPr>
        <w:t xml:space="preserve">rt l’augment dels eventuals per </w:t>
      </w:r>
      <w:r w:rsidRPr="00C02C57">
        <w:rPr>
          <w:b w:val="0"/>
          <w:sz w:val="24"/>
          <w:szCs w:val="24"/>
          <w:lang w:val="ca-ES"/>
        </w:rPr>
        <w:t>circumstàncies de la producció (31.825 més), mentre que</w:t>
      </w:r>
      <w:r>
        <w:rPr>
          <w:b w:val="0"/>
          <w:sz w:val="24"/>
          <w:szCs w:val="24"/>
          <w:lang w:val="ca-ES"/>
        </w:rPr>
        <w:t xml:space="preserve"> en l’altre extrem, ressalta el </w:t>
      </w:r>
      <w:r w:rsidRPr="00C02C57">
        <w:rPr>
          <w:b w:val="0"/>
          <w:sz w:val="24"/>
          <w:szCs w:val="24"/>
          <w:lang w:val="ca-ES"/>
        </w:rPr>
        <w:t>descens dels contractes de formació (729 menys) i de pràctiques (626 menys).</w:t>
      </w:r>
    </w:p>
    <w:p w:rsidR="00312EC6" w:rsidRDefault="00312EC6" w:rsidP="00312EC6">
      <w:pPr>
        <w:pStyle w:val="TEXTBOLD"/>
        <w:spacing w:line="276" w:lineRule="auto"/>
        <w:rPr>
          <w:b w:val="0"/>
          <w:sz w:val="24"/>
          <w:szCs w:val="24"/>
          <w:u w:val="single"/>
          <w:lang w:val="ca-ES"/>
        </w:rPr>
      </w:pPr>
    </w:p>
    <w:p w:rsidR="00312EC6" w:rsidRPr="00C02C57" w:rsidRDefault="00312EC6" w:rsidP="00312EC6">
      <w:pPr>
        <w:pStyle w:val="TEXTBOLD"/>
        <w:spacing w:line="276" w:lineRule="auto"/>
        <w:rPr>
          <w:b w:val="0"/>
          <w:sz w:val="24"/>
          <w:szCs w:val="24"/>
          <w:lang w:val="ca-ES"/>
        </w:rPr>
      </w:pPr>
      <w:r w:rsidRPr="00C02C57">
        <w:rPr>
          <w:b w:val="0"/>
          <w:sz w:val="24"/>
          <w:szCs w:val="24"/>
          <w:u w:val="single"/>
          <w:lang w:val="ca-ES"/>
        </w:rPr>
        <w:t>Per sexes</w:t>
      </w:r>
      <w:r w:rsidRPr="00C02C57">
        <w:rPr>
          <w:b w:val="0"/>
          <w:sz w:val="24"/>
          <w:szCs w:val="24"/>
          <w:lang w:val="ca-ES"/>
        </w:rPr>
        <w:t>, els homes han signat el 52,8% dels contrac</w:t>
      </w:r>
      <w:r>
        <w:rPr>
          <w:b w:val="0"/>
          <w:sz w:val="24"/>
          <w:szCs w:val="24"/>
          <w:lang w:val="ca-ES"/>
        </w:rPr>
        <w:t xml:space="preserve">tes (1.314.613) i les dones, el </w:t>
      </w:r>
      <w:r w:rsidRPr="00C02C57">
        <w:rPr>
          <w:b w:val="0"/>
          <w:sz w:val="24"/>
          <w:szCs w:val="24"/>
          <w:lang w:val="ca-ES"/>
        </w:rPr>
        <w:t xml:space="preserve">47,2% (1.176.760). </w:t>
      </w:r>
      <w:proofErr w:type="spellStart"/>
      <w:r w:rsidRPr="00C02C57">
        <w:rPr>
          <w:b w:val="0"/>
          <w:sz w:val="24"/>
          <w:szCs w:val="24"/>
          <w:lang w:val="ca-ES"/>
        </w:rPr>
        <w:t>Interanualment</w:t>
      </w:r>
      <w:proofErr w:type="spellEnd"/>
      <w:r w:rsidRPr="00C02C57">
        <w:rPr>
          <w:b w:val="0"/>
          <w:sz w:val="24"/>
          <w:szCs w:val="24"/>
          <w:lang w:val="ca-ES"/>
        </w:rPr>
        <w:t>, creix amb</w:t>
      </w:r>
      <w:r>
        <w:rPr>
          <w:b w:val="0"/>
          <w:sz w:val="24"/>
          <w:szCs w:val="24"/>
          <w:lang w:val="ca-ES"/>
        </w:rPr>
        <w:t xml:space="preserve"> més intensitat la contractació </w:t>
      </w:r>
      <w:r w:rsidRPr="00C02C57">
        <w:rPr>
          <w:b w:val="0"/>
          <w:sz w:val="24"/>
          <w:szCs w:val="24"/>
          <w:lang w:val="ca-ES"/>
        </w:rPr>
        <w:t>indefinida mascu</w:t>
      </w:r>
      <w:r>
        <w:rPr>
          <w:b w:val="0"/>
          <w:sz w:val="24"/>
          <w:szCs w:val="24"/>
          <w:lang w:val="ca-ES"/>
        </w:rPr>
        <w:t>lina (12,7%) que la femenina (</w:t>
      </w:r>
      <w:r w:rsidRPr="00C02C57">
        <w:rPr>
          <w:b w:val="0"/>
          <w:sz w:val="24"/>
          <w:szCs w:val="24"/>
          <w:lang w:val="ca-ES"/>
        </w:rPr>
        <w:t>10</w:t>
      </w:r>
      <w:r>
        <w:rPr>
          <w:b w:val="0"/>
          <w:sz w:val="24"/>
          <w:szCs w:val="24"/>
          <w:lang w:val="ca-ES"/>
        </w:rPr>
        <w:t xml:space="preserve">,2%) i, per contra, la temporal </w:t>
      </w:r>
      <w:r w:rsidRPr="00C02C57">
        <w:rPr>
          <w:b w:val="0"/>
          <w:sz w:val="24"/>
          <w:szCs w:val="24"/>
          <w:lang w:val="ca-ES"/>
        </w:rPr>
        <w:t>augmenta amb més força en les don</w:t>
      </w:r>
      <w:r>
        <w:rPr>
          <w:b w:val="0"/>
          <w:sz w:val="24"/>
          <w:szCs w:val="24"/>
          <w:lang w:val="ca-ES"/>
        </w:rPr>
        <w:t xml:space="preserve">es (3,7% davant del </w:t>
      </w:r>
      <w:r w:rsidRPr="00C02C57">
        <w:rPr>
          <w:b w:val="0"/>
          <w:sz w:val="24"/>
          <w:szCs w:val="24"/>
          <w:lang w:val="ca-ES"/>
        </w:rPr>
        <w:t>1,6%).</w:t>
      </w:r>
    </w:p>
    <w:p w:rsidR="00312EC6" w:rsidRDefault="00312EC6" w:rsidP="00312EC6">
      <w:pPr>
        <w:pStyle w:val="TEXTBOLD"/>
        <w:spacing w:line="276" w:lineRule="auto"/>
        <w:rPr>
          <w:b w:val="0"/>
          <w:sz w:val="24"/>
          <w:szCs w:val="24"/>
          <w:u w:val="single"/>
          <w:lang w:val="ca-ES"/>
        </w:rPr>
      </w:pPr>
    </w:p>
    <w:p w:rsidR="00312EC6" w:rsidRDefault="00312EC6" w:rsidP="00312EC6">
      <w:pPr>
        <w:pStyle w:val="TEXTBOLD"/>
        <w:spacing w:line="276" w:lineRule="auto"/>
        <w:rPr>
          <w:b w:val="0"/>
          <w:sz w:val="24"/>
          <w:szCs w:val="24"/>
          <w:lang w:val="ca-ES"/>
        </w:rPr>
      </w:pPr>
      <w:r>
        <w:rPr>
          <w:b w:val="0"/>
          <w:sz w:val="24"/>
          <w:szCs w:val="24"/>
          <w:u w:val="single"/>
          <w:lang w:val="ca-ES"/>
        </w:rPr>
        <w:t>Segons l’àmbit territorial</w:t>
      </w:r>
      <w:r>
        <w:rPr>
          <w:b w:val="0"/>
          <w:sz w:val="24"/>
          <w:szCs w:val="24"/>
          <w:lang w:val="ca-ES"/>
        </w:rPr>
        <w:t xml:space="preserve">, a la província de </w:t>
      </w:r>
      <w:r>
        <w:rPr>
          <w:sz w:val="24"/>
          <w:szCs w:val="24"/>
          <w:lang w:val="ca-ES"/>
        </w:rPr>
        <w:t>Barcelona</w:t>
      </w:r>
      <w:r>
        <w:rPr>
          <w:b w:val="0"/>
          <w:sz w:val="24"/>
          <w:szCs w:val="24"/>
          <w:lang w:val="ca-ES"/>
        </w:rPr>
        <w:t xml:space="preserve"> al mes de setembre s’han signat un total de 210.829 contractes, el que suposa un increment del 26,71% respecte el mes d’agost i un descens del -4,75% l’any anterior. La contractació indefinida augmenta un 6,25% i la temporal disminueix  un -6,73%. Les dades acumulades de contractació suposen un total de 1.868.798 contractes. </w:t>
      </w:r>
    </w:p>
    <w:p w:rsidR="00312EC6" w:rsidRDefault="00312EC6" w:rsidP="00312EC6">
      <w:pPr>
        <w:pStyle w:val="TEXTBOLD"/>
        <w:spacing w:line="276" w:lineRule="auto"/>
        <w:rPr>
          <w:b w:val="0"/>
          <w:sz w:val="24"/>
          <w:szCs w:val="24"/>
          <w:lang w:val="ca-ES"/>
        </w:rPr>
      </w:pPr>
    </w:p>
    <w:p w:rsidR="00312EC6" w:rsidRDefault="00312EC6" w:rsidP="00312EC6">
      <w:pPr>
        <w:pStyle w:val="TEXTBOLD"/>
        <w:spacing w:line="276" w:lineRule="auto"/>
        <w:rPr>
          <w:b w:val="0"/>
          <w:sz w:val="24"/>
          <w:szCs w:val="24"/>
          <w:lang w:val="ca-ES"/>
        </w:rPr>
      </w:pPr>
    </w:p>
    <w:p w:rsidR="00312EC6" w:rsidRDefault="00312EC6" w:rsidP="00312EC6">
      <w:pPr>
        <w:pStyle w:val="TEXTBOLD"/>
        <w:spacing w:line="276" w:lineRule="auto"/>
        <w:rPr>
          <w:b w:val="0"/>
          <w:sz w:val="24"/>
          <w:szCs w:val="24"/>
          <w:lang w:val="ca-ES"/>
        </w:rPr>
      </w:pPr>
      <w:r>
        <w:rPr>
          <w:b w:val="0"/>
          <w:sz w:val="24"/>
          <w:szCs w:val="24"/>
          <w:lang w:val="ca-ES"/>
        </w:rPr>
        <w:t xml:space="preserve">A la província de </w:t>
      </w:r>
      <w:r>
        <w:rPr>
          <w:sz w:val="24"/>
          <w:szCs w:val="24"/>
          <w:lang w:val="ca-ES"/>
        </w:rPr>
        <w:t>Girona</w:t>
      </w:r>
      <w:r>
        <w:rPr>
          <w:b w:val="0"/>
          <w:sz w:val="24"/>
          <w:szCs w:val="24"/>
          <w:lang w:val="ca-ES"/>
        </w:rPr>
        <w:t xml:space="preserve">, s’han formalitzat 23.588 contractes, amb una disminució anual del -6,22%. Els contractes indefinits augmenten un 13,68% i els temporals disminueixen un -9,58% respecte l’any anterior. </w:t>
      </w:r>
    </w:p>
    <w:p w:rsidR="00312EC6" w:rsidRDefault="00312EC6" w:rsidP="00312EC6">
      <w:pPr>
        <w:pStyle w:val="TEXTBOLD"/>
        <w:spacing w:line="276" w:lineRule="auto"/>
        <w:rPr>
          <w:b w:val="0"/>
          <w:sz w:val="24"/>
          <w:szCs w:val="24"/>
          <w:lang w:val="ca-ES"/>
        </w:rPr>
      </w:pPr>
    </w:p>
    <w:p w:rsidR="00312EC6" w:rsidRDefault="00312EC6" w:rsidP="00312EC6">
      <w:pPr>
        <w:pStyle w:val="TEXTBOLD"/>
        <w:spacing w:line="276" w:lineRule="auto"/>
        <w:rPr>
          <w:b w:val="0"/>
          <w:sz w:val="24"/>
          <w:szCs w:val="24"/>
          <w:lang w:val="ca-ES"/>
        </w:rPr>
      </w:pPr>
      <w:r>
        <w:rPr>
          <w:b w:val="0"/>
          <w:sz w:val="24"/>
          <w:szCs w:val="24"/>
          <w:lang w:val="ca-ES"/>
        </w:rPr>
        <w:t xml:space="preserve">A </w:t>
      </w:r>
      <w:r>
        <w:rPr>
          <w:sz w:val="24"/>
          <w:szCs w:val="24"/>
          <w:lang w:val="ca-ES"/>
        </w:rPr>
        <w:t>Lleida</w:t>
      </w:r>
      <w:r>
        <w:rPr>
          <w:b w:val="0"/>
          <w:sz w:val="24"/>
          <w:szCs w:val="24"/>
          <w:lang w:val="ca-ES"/>
        </w:rPr>
        <w:t xml:space="preserve">, s’han formalitzat 17.691 contractes en total, per tant, la contractació laboral s’ha reduït un -0,42% respecte l’any anterior (75 contractes menys). La contractació indefinida ha augmentat un 9,10% i la temporal disminueix un -1,58%. </w:t>
      </w:r>
    </w:p>
    <w:p w:rsidR="00312EC6" w:rsidRDefault="00312EC6" w:rsidP="00312EC6">
      <w:pPr>
        <w:pStyle w:val="TEXTBOLD"/>
        <w:spacing w:line="276" w:lineRule="auto"/>
        <w:rPr>
          <w:b w:val="0"/>
          <w:sz w:val="24"/>
          <w:szCs w:val="24"/>
          <w:lang w:val="ca-ES"/>
        </w:rPr>
      </w:pPr>
    </w:p>
    <w:p w:rsidR="00312EC6" w:rsidRDefault="00312EC6" w:rsidP="00312EC6">
      <w:pPr>
        <w:pStyle w:val="TEXTBOLD"/>
        <w:spacing w:line="276" w:lineRule="auto"/>
        <w:rPr>
          <w:b w:val="0"/>
          <w:sz w:val="24"/>
          <w:szCs w:val="24"/>
          <w:lang w:val="ca-ES"/>
        </w:rPr>
      </w:pPr>
      <w:r>
        <w:rPr>
          <w:b w:val="0"/>
          <w:sz w:val="24"/>
          <w:szCs w:val="24"/>
          <w:lang w:val="ca-ES"/>
        </w:rPr>
        <w:t xml:space="preserve">Per últim, a la província de </w:t>
      </w:r>
      <w:r>
        <w:rPr>
          <w:sz w:val="24"/>
          <w:szCs w:val="24"/>
          <w:lang w:val="ca-ES"/>
        </w:rPr>
        <w:t>Tarragona</w:t>
      </w:r>
      <w:r>
        <w:rPr>
          <w:b w:val="0"/>
          <w:sz w:val="24"/>
          <w:szCs w:val="24"/>
          <w:lang w:val="ca-ES"/>
        </w:rPr>
        <w:t xml:space="preserve">, s’han signat 27.097 contractes, el que suposa una variació  anual del -3,89%. Els contractes indefinits han incrementat en un 10,20% i els temporals s’han reduït un -3,89%. </w:t>
      </w:r>
    </w:p>
    <w:p w:rsidR="00312EC6" w:rsidRDefault="00312EC6" w:rsidP="00312EC6">
      <w:pPr>
        <w:pStyle w:val="TEXTBOLD"/>
        <w:spacing w:line="360" w:lineRule="auto"/>
        <w:rPr>
          <w:b w:val="0"/>
          <w:sz w:val="24"/>
          <w:szCs w:val="24"/>
          <w:lang w:val="ca-ES"/>
        </w:rPr>
      </w:pPr>
    </w:p>
    <w:p w:rsidR="00312EC6" w:rsidRDefault="00312EC6" w:rsidP="00312EC6">
      <w:pPr>
        <w:pStyle w:val="TEXTBOLD"/>
        <w:spacing w:line="276" w:lineRule="auto"/>
        <w:jc w:val="center"/>
        <w:rPr>
          <w:b w:val="0"/>
          <w:sz w:val="24"/>
          <w:szCs w:val="24"/>
          <w:lang w:val="ca-ES"/>
        </w:rPr>
      </w:pPr>
      <w:r>
        <w:rPr>
          <w:noProof/>
          <w:lang w:val="es-ES" w:eastAsia="es-ES"/>
        </w:rPr>
        <w:drawing>
          <wp:inline distT="0" distB="0" distL="0" distR="0" wp14:anchorId="632C46EA" wp14:editId="34A9722C">
            <wp:extent cx="4752975" cy="2743200"/>
            <wp:effectExtent l="0" t="0" r="9525" b="1905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12EC6" w:rsidRPr="00E21909" w:rsidRDefault="00312EC6" w:rsidP="00312EC6">
      <w:pPr>
        <w:autoSpaceDE w:val="0"/>
        <w:autoSpaceDN w:val="0"/>
        <w:adjustRightInd w:val="0"/>
        <w:spacing w:line="276" w:lineRule="auto"/>
        <w:jc w:val="center"/>
        <w:rPr>
          <w:rFonts w:ascii="Rotis Sans Serif Std" w:hAnsi="Rotis Sans Serif Std" w:cs="RotisSansSerifStd-Regular"/>
          <w:color w:val="5E6061"/>
          <w:sz w:val="18"/>
          <w:lang w:eastAsia="es-ES_tradnl"/>
        </w:rPr>
      </w:pPr>
      <w:r>
        <w:rPr>
          <w:rFonts w:ascii="Rotis Sans Serif Std" w:hAnsi="Rotis Sans Serif Std" w:cs="RotisSansSerifStd-Regular"/>
          <w:color w:val="5E6061"/>
          <w:sz w:val="18"/>
          <w:lang w:eastAsia="es-ES_tradnl"/>
        </w:rPr>
        <w:t xml:space="preserve">Font: Elaboració pròpia a partir de les dades del </w:t>
      </w:r>
      <w:proofErr w:type="spellStart"/>
      <w:r>
        <w:rPr>
          <w:rFonts w:ascii="Rotis Sans Serif Std" w:hAnsi="Rotis Sans Serif Std" w:cs="RotisSansSerifStd-Regular"/>
          <w:color w:val="5E6061"/>
          <w:sz w:val="18"/>
          <w:lang w:eastAsia="es-ES_tradnl"/>
        </w:rPr>
        <w:t>Ministerio</w:t>
      </w:r>
      <w:proofErr w:type="spellEnd"/>
      <w:r>
        <w:rPr>
          <w:rFonts w:ascii="Rotis Sans Serif Std" w:hAnsi="Rotis Sans Serif Std" w:cs="RotisSansSerifStd-Regular"/>
          <w:color w:val="5E6061"/>
          <w:sz w:val="18"/>
          <w:lang w:eastAsia="es-ES_tradnl"/>
        </w:rPr>
        <w:t xml:space="preserve"> de </w:t>
      </w:r>
      <w:proofErr w:type="spellStart"/>
      <w:r>
        <w:rPr>
          <w:rFonts w:ascii="Rotis Sans Serif Std" w:hAnsi="Rotis Sans Serif Std" w:cs="RotisSansSerifStd-Regular"/>
          <w:color w:val="5E6061"/>
          <w:sz w:val="18"/>
          <w:lang w:eastAsia="es-ES_tradnl"/>
        </w:rPr>
        <w:t>Empleo</w:t>
      </w:r>
      <w:proofErr w:type="spellEnd"/>
      <w:r>
        <w:rPr>
          <w:rFonts w:ascii="Rotis Sans Serif Std" w:hAnsi="Rotis Sans Serif Std" w:cs="RotisSansSerifStd-Regular"/>
          <w:color w:val="5E6061"/>
          <w:sz w:val="18"/>
          <w:lang w:eastAsia="es-ES_tradnl"/>
        </w:rPr>
        <w:t xml:space="preserve"> y Seguridad Social</w:t>
      </w:r>
    </w:p>
    <w:p w:rsidR="006046F1" w:rsidRDefault="006046F1">
      <w:pPr>
        <w:rPr>
          <w:rFonts w:ascii="Rotis Sans Serif Std" w:hAnsi="Rotis Sans Serif Std"/>
          <w:b/>
          <w:color w:val="C00000"/>
        </w:rPr>
      </w:pPr>
    </w:p>
    <w:p w:rsidR="00B43746" w:rsidRPr="003171F9" w:rsidRDefault="00B43746" w:rsidP="00AB0BAA">
      <w:pPr>
        <w:pStyle w:val="Prrafodelista"/>
        <w:numPr>
          <w:ilvl w:val="1"/>
          <w:numId w:val="4"/>
        </w:numPr>
        <w:shd w:val="clear" w:color="auto" w:fill="F2F2F2"/>
        <w:spacing w:line="276" w:lineRule="auto"/>
        <w:ind w:left="284" w:hanging="284"/>
        <w:jc w:val="both"/>
        <w:rPr>
          <w:rFonts w:ascii="Rotis Sans Serif Std" w:hAnsi="Rotis Sans Serif Std"/>
          <w:b/>
          <w:color w:val="C00000"/>
        </w:rPr>
      </w:pPr>
      <w:bookmarkStart w:id="7" w:name="Negocicio"/>
      <w:r w:rsidRPr="003171F9">
        <w:rPr>
          <w:rFonts w:ascii="Rotis Sans Serif Std" w:hAnsi="Rotis Sans Serif Std"/>
          <w:b/>
          <w:color w:val="C00000"/>
        </w:rPr>
        <w:t>NEGOCIACIÓ COL·LECTIVA</w:t>
      </w:r>
    </w:p>
    <w:bookmarkEnd w:id="7"/>
    <w:p w:rsidR="00B43746" w:rsidRPr="003171F9" w:rsidRDefault="00B43746" w:rsidP="008D74D7">
      <w:pPr>
        <w:pStyle w:val="TEXTBOLD"/>
        <w:spacing w:line="276" w:lineRule="auto"/>
        <w:rPr>
          <w:lang w:val="ca-ES"/>
        </w:rPr>
      </w:pPr>
    </w:p>
    <w:p w:rsidR="00B43746" w:rsidRPr="003171F9" w:rsidRDefault="00B43746" w:rsidP="00AB0BAA">
      <w:pPr>
        <w:pStyle w:val="TEXTBOLD"/>
        <w:numPr>
          <w:ilvl w:val="2"/>
          <w:numId w:val="16"/>
        </w:numPr>
        <w:spacing w:line="276" w:lineRule="auto"/>
        <w:rPr>
          <w:color w:val="C00000"/>
          <w:sz w:val="24"/>
          <w:szCs w:val="24"/>
          <w:lang w:val="ca-ES"/>
        </w:rPr>
      </w:pPr>
      <w:bookmarkStart w:id="8" w:name="Convenis"/>
      <w:r w:rsidRPr="003171F9">
        <w:rPr>
          <w:color w:val="C00000"/>
          <w:sz w:val="24"/>
          <w:szCs w:val="24"/>
          <w:lang w:val="ca-ES"/>
        </w:rPr>
        <w:t>Convenis Col·lectius</w:t>
      </w:r>
    </w:p>
    <w:bookmarkEnd w:id="8"/>
    <w:p w:rsidR="005F359A" w:rsidRDefault="005F359A" w:rsidP="005F359A">
      <w:pPr>
        <w:pStyle w:val="TEXTBOLD"/>
        <w:spacing w:line="276" w:lineRule="auto"/>
        <w:rPr>
          <w:b w:val="0"/>
          <w:sz w:val="24"/>
          <w:szCs w:val="24"/>
          <w:lang w:val="ca-ES"/>
        </w:rPr>
      </w:pPr>
    </w:p>
    <w:p w:rsidR="00767611" w:rsidRPr="00EA5418" w:rsidRDefault="00BE6A38" w:rsidP="003637D6">
      <w:pPr>
        <w:pStyle w:val="TEXTBOLD"/>
        <w:spacing w:line="276" w:lineRule="auto"/>
        <w:rPr>
          <w:b w:val="0"/>
          <w:sz w:val="24"/>
          <w:szCs w:val="24"/>
          <w:lang w:val="ca-ES"/>
        </w:rPr>
      </w:pPr>
      <w:r>
        <w:rPr>
          <w:b w:val="0"/>
          <w:sz w:val="24"/>
          <w:szCs w:val="24"/>
          <w:lang w:val="ca-ES"/>
        </w:rPr>
        <w:t xml:space="preserve">A 31 d’agost </w:t>
      </w:r>
      <w:r w:rsidR="00080790">
        <w:rPr>
          <w:b w:val="0"/>
          <w:sz w:val="24"/>
          <w:szCs w:val="24"/>
          <w:lang w:val="ca-ES"/>
        </w:rPr>
        <w:t>de 201</w:t>
      </w:r>
      <w:r w:rsidR="00B6528C">
        <w:rPr>
          <w:b w:val="0"/>
          <w:sz w:val="24"/>
          <w:szCs w:val="24"/>
          <w:lang w:val="ca-ES"/>
        </w:rPr>
        <w:t>8</w:t>
      </w:r>
      <w:r w:rsidR="00767611" w:rsidRPr="00EA5418">
        <w:rPr>
          <w:b w:val="0"/>
          <w:sz w:val="24"/>
          <w:szCs w:val="24"/>
          <w:lang w:val="ca-ES"/>
        </w:rPr>
        <w:t xml:space="preserve"> a Catalunya s’han registrat un total de </w:t>
      </w:r>
      <w:r w:rsidR="00B6528C">
        <w:rPr>
          <w:b w:val="0"/>
          <w:sz w:val="24"/>
          <w:szCs w:val="24"/>
          <w:lang w:val="ca-ES"/>
        </w:rPr>
        <w:t>2</w:t>
      </w:r>
      <w:r>
        <w:rPr>
          <w:b w:val="0"/>
          <w:sz w:val="24"/>
          <w:szCs w:val="24"/>
          <w:lang w:val="ca-ES"/>
        </w:rPr>
        <w:t>97</w:t>
      </w:r>
      <w:r w:rsidR="00767611" w:rsidRPr="00EA5418">
        <w:rPr>
          <w:b w:val="0"/>
          <w:sz w:val="24"/>
          <w:szCs w:val="24"/>
          <w:lang w:val="ca-ES"/>
        </w:rPr>
        <w:t xml:space="preserve"> Convenis, afectant a</w:t>
      </w:r>
      <w:r w:rsidR="00767611">
        <w:rPr>
          <w:b w:val="0"/>
          <w:sz w:val="24"/>
          <w:szCs w:val="24"/>
          <w:lang w:val="ca-ES"/>
        </w:rPr>
        <w:t xml:space="preserve"> </w:t>
      </w:r>
      <w:r>
        <w:rPr>
          <w:b w:val="0"/>
          <w:sz w:val="24"/>
          <w:szCs w:val="24"/>
          <w:lang w:val="ca-ES"/>
        </w:rPr>
        <w:t>683.056</w:t>
      </w:r>
      <w:r w:rsidR="00767611" w:rsidRPr="00EA5418">
        <w:rPr>
          <w:b w:val="0"/>
          <w:sz w:val="24"/>
          <w:szCs w:val="24"/>
          <w:lang w:val="ca-ES"/>
        </w:rPr>
        <w:t xml:space="preserve"> treballadors i </w:t>
      </w:r>
      <w:r>
        <w:rPr>
          <w:b w:val="0"/>
          <w:sz w:val="24"/>
          <w:szCs w:val="24"/>
          <w:lang w:val="ca-ES"/>
        </w:rPr>
        <w:t>132.355</w:t>
      </w:r>
      <w:r w:rsidR="00AF6815">
        <w:rPr>
          <w:b w:val="0"/>
          <w:sz w:val="24"/>
          <w:szCs w:val="24"/>
          <w:lang w:val="ca-ES"/>
        </w:rPr>
        <w:t xml:space="preserve"> </w:t>
      </w:r>
      <w:r w:rsidR="00767611" w:rsidRPr="00EA5418">
        <w:rPr>
          <w:b w:val="0"/>
          <w:sz w:val="24"/>
          <w:szCs w:val="24"/>
          <w:lang w:val="ca-ES"/>
        </w:rPr>
        <w:t xml:space="preserve">empreses. </w:t>
      </w:r>
    </w:p>
    <w:p w:rsidR="00767611" w:rsidRPr="00EA5418" w:rsidRDefault="00767611" w:rsidP="003637D6">
      <w:pPr>
        <w:pStyle w:val="TEXTBOLD"/>
        <w:spacing w:line="276" w:lineRule="auto"/>
        <w:rPr>
          <w:b w:val="0"/>
          <w:sz w:val="24"/>
          <w:szCs w:val="24"/>
          <w:lang w:val="ca-ES"/>
        </w:rPr>
      </w:pPr>
    </w:p>
    <w:p w:rsidR="00767611" w:rsidRDefault="00767611" w:rsidP="003637D6">
      <w:pPr>
        <w:pStyle w:val="TEXTBOLD"/>
        <w:spacing w:line="276" w:lineRule="auto"/>
        <w:rPr>
          <w:b w:val="0"/>
          <w:sz w:val="24"/>
          <w:szCs w:val="24"/>
          <w:lang w:val="ca-ES"/>
        </w:rPr>
      </w:pPr>
      <w:r w:rsidRPr="00EA5418">
        <w:rPr>
          <w:b w:val="0"/>
          <w:sz w:val="24"/>
          <w:szCs w:val="24"/>
          <w:lang w:val="ca-ES"/>
        </w:rPr>
        <w:t xml:space="preserve">D’aquests </w:t>
      </w:r>
      <w:r w:rsidR="00B6528C">
        <w:rPr>
          <w:b w:val="0"/>
          <w:sz w:val="24"/>
          <w:szCs w:val="24"/>
          <w:lang w:val="ca-ES"/>
        </w:rPr>
        <w:t>2</w:t>
      </w:r>
      <w:r w:rsidR="00BE6A38">
        <w:rPr>
          <w:b w:val="0"/>
          <w:sz w:val="24"/>
          <w:szCs w:val="24"/>
          <w:lang w:val="ca-ES"/>
        </w:rPr>
        <w:t>97</w:t>
      </w:r>
      <w:r>
        <w:rPr>
          <w:b w:val="0"/>
          <w:sz w:val="24"/>
          <w:szCs w:val="24"/>
          <w:lang w:val="ca-ES"/>
        </w:rPr>
        <w:t xml:space="preserve"> </w:t>
      </w:r>
      <w:r w:rsidRPr="00EA5418">
        <w:rPr>
          <w:b w:val="0"/>
          <w:sz w:val="24"/>
          <w:szCs w:val="24"/>
          <w:lang w:val="ca-ES"/>
        </w:rPr>
        <w:t>Convenis,</w:t>
      </w:r>
      <w:r>
        <w:rPr>
          <w:b w:val="0"/>
          <w:sz w:val="24"/>
          <w:szCs w:val="24"/>
          <w:lang w:val="ca-ES"/>
        </w:rPr>
        <w:t xml:space="preserve"> </w:t>
      </w:r>
      <w:r w:rsidR="00BE6A38">
        <w:rPr>
          <w:b w:val="0"/>
          <w:sz w:val="24"/>
          <w:szCs w:val="24"/>
          <w:lang w:val="ca-ES"/>
        </w:rPr>
        <w:t>234</w:t>
      </w:r>
      <w:r w:rsidRPr="00EA5418">
        <w:rPr>
          <w:b w:val="0"/>
          <w:sz w:val="24"/>
          <w:szCs w:val="24"/>
          <w:lang w:val="ca-ES"/>
        </w:rPr>
        <w:t xml:space="preserve"> són Convenis d’empresa (</w:t>
      </w:r>
      <w:r w:rsidR="00BE6A38">
        <w:rPr>
          <w:b w:val="0"/>
          <w:sz w:val="24"/>
          <w:szCs w:val="24"/>
          <w:lang w:val="ca-ES"/>
        </w:rPr>
        <w:t>78,79</w:t>
      </w:r>
      <w:r w:rsidRPr="00EA5418">
        <w:rPr>
          <w:b w:val="0"/>
          <w:sz w:val="24"/>
          <w:szCs w:val="24"/>
          <w:lang w:val="ca-ES"/>
        </w:rPr>
        <w:t>%) i afecten a</w:t>
      </w:r>
      <w:r>
        <w:rPr>
          <w:b w:val="0"/>
          <w:sz w:val="24"/>
          <w:szCs w:val="24"/>
          <w:lang w:val="ca-ES"/>
        </w:rPr>
        <w:t xml:space="preserve"> </w:t>
      </w:r>
      <w:r w:rsidR="00BE6A38">
        <w:rPr>
          <w:b w:val="0"/>
          <w:sz w:val="24"/>
          <w:szCs w:val="24"/>
          <w:lang w:val="ca-ES"/>
        </w:rPr>
        <w:t>39.712</w:t>
      </w:r>
      <w:r w:rsidRPr="00EA5418">
        <w:rPr>
          <w:b w:val="0"/>
          <w:sz w:val="24"/>
          <w:szCs w:val="24"/>
          <w:lang w:val="ca-ES"/>
        </w:rPr>
        <w:t xml:space="preserve"> treballadors, i </w:t>
      </w:r>
      <w:r w:rsidR="00BE6A38">
        <w:rPr>
          <w:b w:val="0"/>
          <w:sz w:val="24"/>
          <w:szCs w:val="24"/>
          <w:lang w:val="ca-ES"/>
        </w:rPr>
        <w:t>63</w:t>
      </w:r>
      <w:r>
        <w:rPr>
          <w:b w:val="0"/>
          <w:sz w:val="24"/>
          <w:szCs w:val="24"/>
          <w:lang w:val="ca-ES"/>
        </w:rPr>
        <w:t xml:space="preserve"> </w:t>
      </w:r>
      <w:r w:rsidRPr="00EA5418">
        <w:rPr>
          <w:b w:val="0"/>
          <w:sz w:val="24"/>
          <w:szCs w:val="24"/>
          <w:lang w:val="ca-ES"/>
        </w:rPr>
        <w:t>són Convenis d’àmbit superior a l’empresa (</w:t>
      </w:r>
      <w:r w:rsidR="00BE6A38">
        <w:rPr>
          <w:b w:val="0"/>
          <w:sz w:val="24"/>
          <w:szCs w:val="24"/>
          <w:lang w:val="ca-ES"/>
        </w:rPr>
        <w:t>21,21</w:t>
      </w:r>
      <w:r w:rsidRPr="00EA5418">
        <w:rPr>
          <w:b w:val="0"/>
          <w:sz w:val="24"/>
          <w:szCs w:val="24"/>
          <w:lang w:val="ca-ES"/>
        </w:rPr>
        <w:t xml:space="preserve">%), afectant a </w:t>
      </w:r>
      <w:r w:rsidR="00BE6A38">
        <w:rPr>
          <w:b w:val="0"/>
          <w:sz w:val="24"/>
          <w:szCs w:val="24"/>
          <w:lang w:val="ca-ES"/>
        </w:rPr>
        <w:t>643.344</w:t>
      </w:r>
      <w:r>
        <w:rPr>
          <w:b w:val="0"/>
          <w:sz w:val="24"/>
          <w:szCs w:val="24"/>
          <w:lang w:val="ca-ES"/>
        </w:rPr>
        <w:t xml:space="preserve"> </w:t>
      </w:r>
      <w:r w:rsidRPr="00EA5418">
        <w:rPr>
          <w:b w:val="0"/>
          <w:sz w:val="24"/>
          <w:szCs w:val="24"/>
          <w:lang w:val="ca-ES"/>
        </w:rPr>
        <w:t>treballadors.</w:t>
      </w:r>
    </w:p>
    <w:p w:rsidR="002F47AF" w:rsidRPr="00EA5418" w:rsidRDefault="002F47AF" w:rsidP="003637D6">
      <w:pPr>
        <w:pStyle w:val="TEXTBOLD"/>
        <w:spacing w:line="276" w:lineRule="auto"/>
        <w:rPr>
          <w:b w:val="0"/>
          <w:sz w:val="24"/>
          <w:szCs w:val="24"/>
          <w:lang w:val="ca-ES"/>
        </w:rPr>
      </w:pPr>
    </w:p>
    <w:p w:rsidR="00767611" w:rsidRDefault="00767611" w:rsidP="00767611">
      <w:pPr>
        <w:pStyle w:val="TEXTBOLD"/>
        <w:spacing w:line="276" w:lineRule="auto"/>
        <w:rPr>
          <w:b w:val="0"/>
          <w:lang w:val="ca-ES"/>
        </w:rPr>
      </w:pPr>
    </w:p>
    <w:p w:rsidR="00767611" w:rsidRDefault="00BE6A38" w:rsidP="00767611">
      <w:pPr>
        <w:pStyle w:val="TEXTBOLD"/>
        <w:spacing w:line="276" w:lineRule="auto"/>
        <w:jc w:val="center"/>
        <w:rPr>
          <w:b w:val="0"/>
          <w:lang w:val="ca-ES"/>
        </w:rPr>
      </w:pPr>
      <w:r>
        <w:rPr>
          <w:noProof/>
          <w:lang w:val="es-ES" w:eastAsia="es-ES"/>
        </w:rPr>
        <w:drawing>
          <wp:inline distT="0" distB="0" distL="0" distR="0" wp14:anchorId="603E564E" wp14:editId="5281D835">
            <wp:extent cx="5612130" cy="2449195"/>
            <wp:effectExtent l="0" t="0" r="26670" b="27305"/>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F7BDA" w:rsidRPr="00EA5418" w:rsidRDefault="00BF7BDA" w:rsidP="00BF7BDA">
      <w:pPr>
        <w:pStyle w:val="TEXTBOLD"/>
        <w:spacing w:line="276" w:lineRule="auto"/>
        <w:ind w:left="1440"/>
        <w:rPr>
          <w:b w:val="0"/>
          <w:color w:val="FF0000"/>
          <w:sz w:val="18"/>
          <w:lang w:val="ca-ES"/>
        </w:rPr>
      </w:pPr>
      <w:r>
        <w:rPr>
          <w:b w:val="0"/>
          <w:color w:val="404040"/>
          <w:sz w:val="18"/>
          <w:lang w:val="ca-ES"/>
        </w:rPr>
        <w:t xml:space="preserve">     </w:t>
      </w:r>
      <w:r w:rsidRPr="00EA5418">
        <w:rPr>
          <w:b w:val="0"/>
          <w:color w:val="404040"/>
          <w:sz w:val="18"/>
          <w:lang w:val="ca-ES"/>
        </w:rPr>
        <w:t xml:space="preserve">Font: Elaboració pròpia a partir de les dades del </w:t>
      </w:r>
      <w:proofErr w:type="spellStart"/>
      <w:r w:rsidRPr="00EA5418">
        <w:rPr>
          <w:b w:val="0"/>
          <w:color w:val="404040"/>
          <w:sz w:val="18"/>
          <w:lang w:val="ca-ES"/>
        </w:rPr>
        <w:t>Ministerio</w:t>
      </w:r>
      <w:proofErr w:type="spellEnd"/>
      <w:r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Pr="00EA5418">
        <w:rPr>
          <w:b w:val="0"/>
          <w:color w:val="404040"/>
          <w:sz w:val="18"/>
          <w:lang w:val="ca-ES"/>
        </w:rPr>
        <w:t xml:space="preserve"> y Seguridad Social</w:t>
      </w:r>
    </w:p>
    <w:p w:rsidR="00767611" w:rsidRDefault="00767611" w:rsidP="00767611">
      <w:pPr>
        <w:pStyle w:val="TEXTBOLD"/>
        <w:spacing w:line="276" w:lineRule="auto"/>
        <w:rPr>
          <w:b w:val="0"/>
          <w:sz w:val="24"/>
          <w:szCs w:val="24"/>
          <w:lang w:val="ca-ES"/>
        </w:rPr>
      </w:pPr>
    </w:p>
    <w:p w:rsidR="00767611" w:rsidRPr="00EA5418" w:rsidRDefault="00767611" w:rsidP="003637D6">
      <w:pPr>
        <w:pStyle w:val="TEXTBOLD"/>
        <w:rPr>
          <w:b w:val="0"/>
          <w:sz w:val="24"/>
          <w:szCs w:val="24"/>
          <w:lang w:val="ca-ES"/>
        </w:rPr>
      </w:pPr>
      <w:r w:rsidRPr="00EA5418">
        <w:rPr>
          <w:b w:val="0"/>
          <w:sz w:val="24"/>
          <w:szCs w:val="24"/>
          <w:lang w:val="ca-ES"/>
        </w:rPr>
        <w:t>La mitjana de la variació salarial pactada en el</w:t>
      </w:r>
      <w:r>
        <w:rPr>
          <w:b w:val="0"/>
          <w:sz w:val="24"/>
          <w:szCs w:val="24"/>
          <w:lang w:val="ca-ES"/>
        </w:rPr>
        <w:t xml:space="preserve"> global de Convenis ha sigut de 1,</w:t>
      </w:r>
      <w:r w:rsidR="00BE6A38">
        <w:rPr>
          <w:b w:val="0"/>
          <w:sz w:val="24"/>
          <w:szCs w:val="24"/>
          <w:lang w:val="ca-ES"/>
        </w:rPr>
        <w:t>64</w:t>
      </w:r>
      <w:r w:rsidRPr="00EA5418">
        <w:rPr>
          <w:b w:val="0"/>
          <w:sz w:val="24"/>
          <w:szCs w:val="24"/>
          <w:lang w:val="ca-ES"/>
        </w:rPr>
        <w:t xml:space="preserve">%, sent del </w:t>
      </w:r>
      <w:r w:rsidR="00B6528C">
        <w:rPr>
          <w:b w:val="0"/>
          <w:sz w:val="24"/>
          <w:szCs w:val="24"/>
          <w:lang w:val="ca-ES"/>
        </w:rPr>
        <w:t>1,0</w:t>
      </w:r>
      <w:r w:rsidR="00BE6A38">
        <w:rPr>
          <w:b w:val="0"/>
          <w:sz w:val="24"/>
          <w:szCs w:val="24"/>
          <w:lang w:val="ca-ES"/>
        </w:rPr>
        <w:t>5</w:t>
      </w:r>
      <w:r w:rsidRPr="00EA5418">
        <w:rPr>
          <w:b w:val="0"/>
          <w:sz w:val="24"/>
          <w:szCs w:val="24"/>
          <w:lang w:val="ca-ES"/>
        </w:rPr>
        <w:t xml:space="preserve">%  en els Convenis d’empresa i el </w:t>
      </w:r>
      <w:r>
        <w:rPr>
          <w:b w:val="0"/>
          <w:sz w:val="24"/>
          <w:szCs w:val="24"/>
          <w:lang w:val="ca-ES"/>
        </w:rPr>
        <w:t>1,</w:t>
      </w:r>
      <w:r w:rsidR="00B6528C">
        <w:rPr>
          <w:b w:val="0"/>
          <w:sz w:val="24"/>
          <w:szCs w:val="24"/>
          <w:lang w:val="ca-ES"/>
        </w:rPr>
        <w:t>6</w:t>
      </w:r>
      <w:r w:rsidR="00BE6A38">
        <w:rPr>
          <w:b w:val="0"/>
          <w:sz w:val="24"/>
          <w:szCs w:val="24"/>
          <w:lang w:val="ca-ES"/>
        </w:rPr>
        <w:t>7</w:t>
      </w:r>
      <w:r w:rsidRPr="00EA5418">
        <w:rPr>
          <w:b w:val="0"/>
          <w:sz w:val="24"/>
          <w:szCs w:val="24"/>
          <w:lang w:val="ca-ES"/>
        </w:rPr>
        <w:t xml:space="preserve">% en els Convenis d’àmbit superior a l’empresa. </w:t>
      </w:r>
    </w:p>
    <w:p w:rsidR="00767611" w:rsidRPr="00EA5418" w:rsidRDefault="00767611" w:rsidP="003637D6">
      <w:pPr>
        <w:pStyle w:val="TEXTBOLD"/>
        <w:rPr>
          <w:b w:val="0"/>
          <w:sz w:val="24"/>
          <w:szCs w:val="24"/>
          <w:lang w:val="ca-ES"/>
        </w:rPr>
      </w:pPr>
    </w:p>
    <w:p w:rsidR="00767611" w:rsidRPr="00EA5418" w:rsidRDefault="00767611" w:rsidP="003637D6">
      <w:pPr>
        <w:pStyle w:val="TEXTBOLD"/>
        <w:rPr>
          <w:b w:val="0"/>
          <w:sz w:val="24"/>
          <w:szCs w:val="24"/>
          <w:lang w:val="ca-ES"/>
        </w:rPr>
      </w:pPr>
      <w:r w:rsidRPr="00EA5418">
        <w:rPr>
          <w:b w:val="0"/>
          <w:sz w:val="24"/>
          <w:szCs w:val="24"/>
          <w:lang w:val="ca-ES"/>
        </w:rPr>
        <w:t>En relació a la jornada anual mitjana pactada ha sigut de</w:t>
      </w:r>
      <w:r>
        <w:rPr>
          <w:b w:val="0"/>
          <w:sz w:val="24"/>
          <w:szCs w:val="24"/>
          <w:lang w:val="ca-ES"/>
        </w:rPr>
        <w:t xml:space="preserve"> </w:t>
      </w:r>
      <w:r w:rsidR="00B6528C">
        <w:rPr>
          <w:b w:val="0"/>
          <w:sz w:val="24"/>
          <w:szCs w:val="24"/>
          <w:lang w:val="ca-ES"/>
        </w:rPr>
        <w:t>1.77</w:t>
      </w:r>
      <w:r w:rsidR="00BE6A38">
        <w:rPr>
          <w:b w:val="0"/>
          <w:sz w:val="24"/>
          <w:szCs w:val="24"/>
          <w:lang w:val="ca-ES"/>
        </w:rPr>
        <w:t>4</w:t>
      </w:r>
      <w:r w:rsidR="00B6528C">
        <w:rPr>
          <w:b w:val="0"/>
          <w:sz w:val="24"/>
          <w:szCs w:val="24"/>
          <w:lang w:val="ca-ES"/>
        </w:rPr>
        <w:t>,</w:t>
      </w:r>
      <w:r w:rsidR="00BE6A38">
        <w:rPr>
          <w:b w:val="0"/>
          <w:sz w:val="24"/>
          <w:szCs w:val="24"/>
          <w:lang w:val="ca-ES"/>
        </w:rPr>
        <w:t>46</w:t>
      </w:r>
      <w:r w:rsidRPr="00EA5418">
        <w:rPr>
          <w:b w:val="0"/>
          <w:sz w:val="24"/>
          <w:szCs w:val="24"/>
          <w:lang w:val="ca-ES"/>
        </w:rPr>
        <w:t xml:space="preserve"> hores,</w:t>
      </w:r>
      <w:r>
        <w:rPr>
          <w:b w:val="0"/>
          <w:sz w:val="24"/>
          <w:szCs w:val="24"/>
          <w:lang w:val="ca-ES"/>
        </w:rPr>
        <w:t xml:space="preserve"> </w:t>
      </w:r>
      <w:r w:rsidRPr="00EA5418">
        <w:rPr>
          <w:b w:val="0"/>
          <w:sz w:val="24"/>
          <w:szCs w:val="24"/>
          <w:lang w:val="ca-ES"/>
        </w:rPr>
        <w:t xml:space="preserve">sent en els Convenis d’empresa de </w:t>
      </w:r>
      <w:r w:rsidR="00B6528C">
        <w:rPr>
          <w:b w:val="0"/>
          <w:sz w:val="24"/>
          <w:szCs w:val="24"/>
          <w:lang w:val="ca-ES"/>
        </w:rPr>
        <w:t>1.</w:t>
      </w:r>
      <w:r w:rsidR="00BE6A38">
        <w:rPr>
          <w:b w:val="0"/>
          <w:sz w:val="24"/>
          <w:szCs w:val="24"/>
          <w:lang w:val="ca-ES"/>
        </w:rPr>
        <w:t>732,61</w:t>
      </w:r>
      <w:r w:rsidR="00B6528C">
        <w:rPr>
          <w:b w:val="0"/>
          <w:sz w:val="24"/>
          <w:szCs w:val="24"/>
          <w:lang w:val="ca-ES"/>
        </w:rPr>
        <w:t xml:space="preserve"> </w:t>
      </w:r>
      <w:r w:rsidRPr="00EA5418">
        <w:rPr>
          <w:b w:val="0"/>
          <w:sz w:val="24"/>
          <w:szCs w:val="24"/>
          <w:lang w:val="ca-ES"/>
        </w:rPr>
        <w:t xml:space="preserve">hores i de </w:t>
      </w:r>
      <w:r w:rsidR="00B6528C">
        <w:rPr>
          <w:b w:val="0"/>
          <w:sz w:val="24"/>
          <w:szCs w:val="24"/>
          <w:lang w:val="ca-ES"/>
        </w:rPr>
        <w:t>1.77</w:t>
      </w:r>
      <w:r w:rsidR="00BE6A38">
        <w:rPr>
          <w:b w:val="0"/>
          <w:sz w:val="24"/>
          <w:szCs w:val="24"/>
          <w:lang w:val="ca-ES"/>
        </w:rPr>
        <w:t>7</w:t>
      </w:r>
      <w:r w:rsidR="00B6528C">
        <w:rPr>
          <w:b w:val="0"/>
          <w:sz w:val="24"/>
          <w:szCs w:val="24"/>
          <w:lang w:val="ca-ES"/>
        </w:rPr>
        <w:t>,</w:t>
      </w:r>
      <w:r w:rsidR="00BE6A38">
        <w:rPr>
          <w:b w:val="0"/>
          <w:sz w:val="24"/>
          <w:szCs w:val="24"/>
          <w:lang w:val="ca-ES"/>
        </w:rPr>
        <w:t>04</w:t>
      </w:r>
      <w:r>
        <w:rPr>
          <w:b w:val="0"/>
          <w:sz w:val="24"/>
          <w:szCs w:val="24"/>
          <w:lang w:val="ca-ES"/>
        </w:rPr>
        <w:t xml:space="preserve"> </w:t>
      </w:r>
      <w:r w:rsidRPr="00EA5418">
        <w:rPr>
          <w:b w:val="0"/>
          <w:sz w:val="24"/>
          <w:szCs w:val="24"/>
          <w:lang w:val="ca-ES"/>
        </w:rPr>
        <w:t>hores en els Convenis d’àmbit superior a l’empresa.</w:t>
      </w:r>
    </w:p>
    <w:p w:rsidR="00767611" w:rsidRPr="00EA5418" w:rsidRDefault="00767611" w:rsidP="00767611">
      <w:pPr>
        <w:pStyle w:val="TEXTBOLD"/>
        <w:spacing w:line="276" w:lineRule="auto"/>
        <w:rPr>
          <w:b w:val="0"/>
          <w:lang w:val="ca-ES"/>
        </w:rPr>
      </w:pPr>
    </w:p>
    <w:p w:rsidR="00767611" w:rsidRPr="00FE0761" w:rsidRDefault="00BE6A38" w:rsidP="00767611">
      <w:pPr>
        <w:pStyle w:val="TEXTBOLD"/>
        <w:spacing w:line="276" w:lineRule="auto"/>
        <w:jc w:val="center"/>
        <w:rPr>
          <w:b w:val="0"/>
          <w:lang w:val="ca-ES"/>
        </w:rPr>
      </w:pPr>
      <w:r>
        <w:rPr>
          <w:noProof/>
          <w:lang w:val="es-ES" w:eastAsia="es-ES"/>
        </w:rPr>
        <w:drawing>
          <wp:inline distT="0" distB="0" distL="0" distR="0" wp14:anchorId="5E30549C" wp14:editId="28F7B571">
            <wp:extent cx="5443268" cy="3027872"/>
            <wp:effectExtent l="0" t="0" r="24130" b="20320"/>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F7BDA" w:rsidRPr="00EA5418" w:rsidRDefault="00BF7BDA" w:rsidP="00BE6A38">
      <w:pPr>
        <w:pStyle w:val="TEXTBOLD"/>
        <w:spacing w:line="276" w:lineRule="auto"/>
        <w:ind w:left="1440"/>
        <w:jc w:val="center"/>
        <w:rPr>
          <w:b w:val="0"/>
          <w:color w:val="FF0000"/>
          <w:sz w:val="18"/>
          <w:lang w:val="ca-ES"/>
        </w:rPr>
      </w:pPr>
      <w:r w:rsidRPr="00EA5418">
        <w:rPr>
          <w:b w:val="0"/>
          <w:color w:val="404040"/>
          <w:sz w:val="18"/>
          <w:lang w:val="ca-ES"/>
        </w:rPr>
        <w:t xml:space="preserve">Font: Elaboració pròpia a partir de les dades del </w:t>
      </w:r>
      <w:proofErr w:type="spellStart"/>
      <w:r w:rsidRPr="00EA5418">
        <w:rPr>
          <w:b w:val="0"/>
          <w:color w:val="404040"/>
          <w:sz w:val="18"/>
          <w:lang w:val="ca-ES"/>
        </w:rPr>
        <w:t>Ministerio</w:t>
      </w:r>
      <w:proofErr w:type="spellEnd"/>
      <w:r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Pr="00EA5418">
        <w:rPr>
          <w:b w:val="0"/>
          <w:color w:val="404040"/>
          <w:sz w:val="18"/>
          <w:lang w:val="ca-ES"/>
        </w:rPr>
        <w:t xml:space="preserve"> y Seguridad Social</w:t>
      </w:r>
    </w:p>
    <w:p w:rsidR="00BF7BDA" w:rsidRDefault="00BF7BDA" w:rsidP="003637D6">
      <w:pPr>
        <w:pStyle w:val="TEXTBOLD"/>
        <w:rPr>
          <w:b w:val="0"/>
          <w:sz w:val="24"/>
          <w:szCs w:val="24"/>
          <w:u w:val="single"/>
          <w:lang w:val="ca-ES"/>
        </w:rPr>
      </w:pPr>
    </w:p>
    <w:p w:rsidR="00767611" w:rsidRDefault="00767611" w:rsidP="003637D6">
      <w:pPr>
        <w:pStyle w:val="TEXTBOLD"/>
        <w:rPr>
          <w:b w:val="0"/>
          <w:sz w:val="24"/>
          <w:szCs w:val="24"/>
          <w:lang w:val="ca-ES"/>
        </w:rPr>
      </w:pPr>
      <w:proofErr w:type="spellStart"/>
      <w:r w:rsidRPr="00EA5418">
        <w:rPr>
          <w:b w:val="0"/>
          <w:sz w:val="24"/>
          <w:szCs w:val="24"/>
          <w:u w:val="single"/>
          <w:lang w:val="ca-ES"/>
        </w:rPr>
        <w:t>Interanualment</w:t>
      </w:r>
      <w:proofErr w:type="spellEnd"/>
      <w:r w:rsidRPr="00EA5418">
        <w:rPr>
          <w:b w:val="0"/>
          <w:sz w:val="24"/>
          <w:szCs w:val="24"/>
          <w:lang w:val="ca-ES"/>
        </w:rPr>
        <w:t xml:space="preserve">, si comparem </w:t>
      </w:r>
      <w:r>
        <w:rPr>
          <w:b w:val="0"/>
          <w:sz w:val="24"/>
          <w:szCs w:val="24"/>
          <w:lang w:val="ca-ES"/>
        </w:rPr>
        <w:t>els Convenis registrats fins a</w:t>
      </w:r>
      <w:r w:rsidR="00BE6A38">
        <w:rPr>
          <w:b w:val="0"/>
          <w:sz w:val="24"/>
          <w:szCs w:val="24"/>
          <w:lang w:val="ca-ES"/>
        </w:rPr>
        <w:t xml:space="preserve"> </w:t>
      </w:r>
      <w:r>
        <w:rPr>
          <w:b w:val="0"/>
          <w:sz w:val="24"/>
          <w:szCs w:val="24"/>
          <w:lang w:val="ca-ES"/>
        </w:rPr>
        <w:t>l</w:t>
      </w:r>
      <w:r w:rsidR="00BE6A38">
        <w:rPr>
          <w:b w:val="0"/>
          <w:sz w:val="24"/>
          <w:szCs w:val="24"/>
          <w:lang w:val="ca-ES"/>
        </w:rPr>
        <w:t>’agost</w:t>
      </w:r>
      <w:r w:rsidR="002E3B52">
        <w:rPr>
          <w:b w:val="0"/>
          <w:sz w:val="24"/>
          <w:szCs w:val="24"/>
          <w:lang w:val="ca-ES"/>
        </w:rPr>
        <w:t xml:space="preserve"> de 201</w:t>
      </w:r>
      <w:r w:rsidR="00B6528C">
        <w:rPr>
          <w:b w:val="0"/>
          <w:sz w:val="24"/>
          <w:szCs w:val="24"/>
          <w:lang w:val="ca-ES"/>
        </w:rPr>
        <w:t>7</w:t>
      </w:r>
      <w:r>
        <w:rPr>
          <w:b w:val="0"/>
          <w:sz w:val="24"/>
          <w:szCs w:val="24"/>
          <w:lang w:val="ca-ES"/>
        </w:rPr>
        <w:t xml:space="preserve"> amb el 201</w:t>
      </w:r>
      <w:r w:rsidR="00B6528C">
        <w:rPr>
          <w:b w:val="0"/>
          <w:sz w:val="24"/>
          <w:szCs w:val="24"/>
          <w:lang w:val="ca-ES"/>
        </w:rPr>
        <w:t>8</w:t>
      </w:r>
      <w:r w:rsidRPr="00EA5418">
        <w:rPr>
          <w:b w:val="0"/>
          <w:sz w:val="24"/>
          <w:szCs w:val="24"/>
          <w:lang w:val="ca-ES"/>
        </w:rPr>
        <w:t>, observem que fins al mes d</w:t>
      </w:r>
      <w:r w:rsidR="00BE6A38">
        <w:rPr>
          <w:b w:val="0"/>
          <w:sz w:val="24"/>
          <w:szCs w:val="24"/>
          <w:lang w:val="ca-ES"/>
        </w:rPr>
        <w:t>’agost</w:t>
      </w:r>
      <w:r>
        <w:rPr>
          <w:b w:val="0"/>
          <w:sz w:val="24"/>
          <w:szCs w:val="24"/>
          <w:lang w:val="ca-ES"/>
        </w:rPr>
        <w:t xml:space="preserve"> </w:t>
      </w:r>
      <w:r w:rsidRPr="00EA5418">
        <w:rPr>
          <w:b w:val="0"/>
          <w:sz w:val="24"/>
          <w:szCs w:val="24"/>
          <w:lang w:val="ca-ES"/>
        </w:rPr>
        <w:t>de 201</w:t>
      </w:r>
      <w:r w:rsidR="00B6528C">
        <w:rPr>
          <w:b w:val="0"/>
          <w:sz w:val="24"/>
          <w:szCs w:val="24"/>
          <w:lang w:val="ca-ES"/>
        </w:rPr>
        <w:t>8</w:t>
      </w:r>
      <w:r w:rsidRPr="00EA5418">
        <w:rPr>
          <w:b w:val="0"/>
          <w:sz w:val="24"/>
          <w:szCs w:val="24"/>
          <w:lang w:val="ca-ES"/>
        </w:rPr>
        <w:t xml:space="preserve"> s’han registrat </w:t>
      </w:r>
      <w:r w:rsidR="00BE6A38">
        <w:rPr>
          <w:b w:val="0"/>
          <w:sz w:val="24"/>
          <w:szCs w:val="24"/>
          <w:lang w:val="ca-ES"/>
        </w:rPr>
        <w:t>13 Convenis menys</w:t>
      </w:r>
      <w:r w:rsidRPr="00EA5418">
        <w:rPr>
          <w:b w:val="0"/>
          <w:sz w:val="24"/>
          <w:szCs w:val="24"/>
          <w:lang w:val="ca-ES"/>
        </w:rPr>
        <w:t xml:space="preserve"> (</w:t>
      </w:r>
      <w:r w:rsidR="00BE6A38">
        <w:rPr>
          <w:b w:val="0"/>
          <w:sz w:val="24"/>
          <w:szCs w:val="24"/>
          <w:lang w:val="ca-ES"/>
        </w:rPr>
        <w:t>-4,19</w:t>
      </w:r>
      <w:r w:rsidRPr="00EA5418">
        <w:rPr>
          <w:b w:val="0"/>
          <w:sz w:val="24"/>
          <w:szCs w:val="24"/>
          <w:lang w:val="ca-ES"/>
        </w:rPr>
        <w:t xml:space="preserve">%), </w:t>
      </w:r>
      <w:r w:rsidR="005C3F62">
        <w:rPr>
          <w:b w:val="0"/>
          <w:sz w:val="24"/>
          <w:szCs w:val="24"/>
          <w:lang w:val="ca-ES"/>
        </w:rPr>
        <w:t xml:space="preserve">a nivell salarial s’ha </w:t>
      </w:r>
      <w:r w:rsidRPr="00EA5418">
        <w:rPr>
          <w:b w:val="0"/>
          <w:sz w:val="24"/>
          <w:szCs w:val="24"/>
          <w:lang w:val="ca-ES"/>
        </w:rPr>
        <w:t xml:space="preserve">passat del </w:t>
      </w:r>
      <w:r w:rsidR="00B6528C">
        <w:rPr>
          <w:b w:val="0"/>
          <w:sz w:val="24"/>
          <w:szCs w:val="24"/>
          <w:lang w:val="ca-ES"/>
        </w:rPr>
        <w:t>1,3</w:t>
      </w:r>
      <w:r w:rsidR="0011303F">
        <w:rPr>
          <w:b w:val="0"/>
          <w:sz w:val="24"/>
          <w:szCs w:val="24"/>
          <w:lang w:val="ca-ES"/>
        </w:rPr>
        <w:t>8</w:t>
      </w:r>
      <w:r w:rsidRPr="00EA5418">
        <w:rPr>
          <w:b w:val="0"/>
          <w:sz w:val="24"/>
          <w:szCs w:val="24"/>
          <w:lang w:val="ca-ES"/>
        </w:rPr>
        <w:t>% pact</w:t>
      </w:r>
      <w:r>
        <w:rPr>
          <w:b w:val="0"/>
          <w:sz w:val="24"/>
          <w:szCs w:val="24"/>
          <w:lang w:val="ca-ES"/>
        </w:rPr>
        <w:t>at en 201</w:t>
      </w:r>
      <w:r w:rsidR="00B6528C">
        <w:rPr>
          <w:b w:val="0"/>
          <w:sz w:val="24"/>
          <w:szCs w:val="24"/>
          <w:lang w:val="ca-ES"/>
        </w:rPr>
        <w:t>7</w:t>
      </w:r>
      <w:r w:rsidRPr="00EA5418">
        <w:rPr>
          <w:b w:val="0"/>
          <w:sz w:val="24"/>
          <w:szCs w:val="24"/>
          <w:lang w:val="ca-ES"/>
        </w:rPr>
        <w:t xml:space="preserve"> al </w:t>
      </w:r>
      <w:r>
        <w:rPr>
          <w:b w:val="0"/>
          <w:sz w:val="24"/>
          <w:szCs w:val="24"/>
          <w:lang w:val="ca-ES"/>
        </w:rPr>
        <w:t>1,</w:t>
      </w:r>
      <w:r w:rsidR="0011303F">
        <w:rPr>
          <w:b w:val="0"/>
          <w:sz w:val="24"/>
          <w:szCs w:val="24"/>
          <w:lang w:val="ca-ES"/>
        </w:rPr>
        <w:t>64</w:t>
      </w:r>
      <w:r>
        <w:rPr>
          <w:b w:val="0"/>
          <w:sz w:val="24"/>
          <w:szCs w:val="24"/>
          <w:lang w:val="ca-ES"/>
        </w:rPr>
        <w:t>% pactat en 201</w:t>
      </w:r>
      <w:r w:rsidR="00B6528C">
        <w:rPr>
          <w:b w:val="0"/>
          <w:sz w:val="24"/>
          <w:szCs w:val="24"/>
          <w:lang w:val="ca-ES"/>
        </w:rPr>
        <w:t>8</w:t>
      </w:r>
      <w:r>
        <w:rPr>
          <w:b w:val="0"/>
          <w:sz w:val="24"/>
          <w:szCs w:val="24"/>
          <w:lang w:val="ca-ES"/>
        </w:rPr>
        <w:t xml:space="preserve">, que suposa una variació d’un </w:t>
      </w:r>
      <w:r w:rsidR="0011303F">
        <w:rPr>
          <w:b w:val="0"/>
          <w:sz w:val="24"/>
          <w:szCs w:val="24"/>
          <w:lang w:val="ca-ES"/>
        </w:rPr>
        <w:t>18,84</w:t>
      </w:r>
      <w:r>
        <w:rPr>
          <w:b w:val="0"/>
          <w:sz w:val="24"/>
          <w:szCs w:val="24"/>
          <w:lang w:val="ca-ES"/>
        </w:rPr>
        <w:t>%</w:t>
      </w:r>
      <w:r w:rsidRPr="00EA5418">
        <w:rPr>
          <w:b w:val="0"/>
          <w:sz w:val="24"/>
          <w:szCs w:val="24"/>
          <w:lang w:val="ca-ES"/>
        </w:rPr>
        <w:t xml:space="preserve">, i en relació a la jornada </w:t>
      </w:r>
      <w:r w:rsidR="00005ABE">
        <w:rPr>
          <w:b w:val="0"/>
          <w:sz w:val="24"/>
          <w:szCs w:val="24"/>
          <w:lang w:val="ca-ES"/>
        </w:rPr>
        <w:t xml:space="preserve">fins a </w:t>
      </w:r>
      <w:r w:rsidR="0011303F">
        <w:rPr>
          <w:b w:val="0"/>
          <w:sz w:val="24"/>
          <w:szCs w:val="24"/>
          <w:lang w:val="ca-ES"/>
        </w:rPr>
        <w:t xml:space="preserve">l’agost </w:t>
      </w:r>
      <w:r w:rsidR="00005ABE">
        <w:rPr>
          <w:b w:val="0"/>
          <w:sz w:val="24"/>
          <w:szCs w:val="24"/>
          <w:lang w:val="ca-ES"/>
        </w:rPr>
        <w:t>de 201</w:t>
      </w:r>
      <w:r w:rsidR="00B6528C">
        <w:rPr>
          <w:b w:val="0"/>
          <w:sz w:val="24"/>
          <w:szCs w:val="24"/>
          <w:lang w:val="ca-ES"/>
        </w:rPr>
        <w:t>7</w:t>
      </w:r>
      <w:r w:rsidR="00005ABE">
        <w:rPr>
          <w:b w:val="0"/>
          <w:sz w:val="24"/>
          <w:szCs w:val="24"/>
          <w:lang w:val="ca-ES"/>
        </w:rPr>
        <w:t xml:space="preserve"> va ser de 1.</w:t>
      </w:r>
      <w:r w:rsidR="0011303F">
        <w:rPr>
          <w:b w:val="0"/>
          <w:sz w:val="24"/>
          <w:szCs w:val="24"/>
          <w:lang w:val="ca-ES"/>
        </w:rPr>
        <w:t>718,89</w:t>
      </w:r>
      <w:r w:rsidR="00005ABE">
        <w:rPr>
          <w:b w:val="0"/>
          <w:sz w:val="24"/>
          <w:szCs w:val="24"/>
          <w:lang w:val="ca-ES"/>
        </w:rPr>
        <w:t xml:space="preserve"> i en 201</w:t>
      </w:r>
      <w:r w:rsidR="00B6528C">
        <w:rPr>
          <w:b w:val="0"/>
          <w:sz w:val="24"/>
          <w:szCs w:val="24"/>
          <w:lang w:val="ca-ES"/>
        </w:rPr>
        <w:t>8</w:t>
      </w:r>
      <w:r w:rsidR="00005ABE">
        <w:rPr>
          <w:b w:val="0"/>
          <w:sz w:val="24"/>
          <w:szCs w:val="24"/>
          <w:lang w:val="ca-ES"/>
        </w:rPr>
        <w:t xml:space="preserve"> es situa en </w:t>
      </w:r>
      <w:r w:rsidR="00B6528C">
        <w:rPr>
          <w:b w:val="0"/>
          <w:sz w:val="24"/>
          <w:szCs w:val="24"/>
          <w:lang w:val="ca-ES"/>
        </w:rPr>
        <w:t>1.</w:t>
      </w:r>
      <w:r w:rsidR="0011303F">
        <w:rPr>
          <w:b w:val="0"/>
          <w:sz w:val="24"/>
          <w:szCs w:val="24"/>
          <w:lang w:val="ca-ES"/>
        </w:rPr>
        <w:t>774,46</w:t>
      </w:r>
      <w:r w:rsidR="00005ABE">
        <w:rPr>
          <w:b w:val="0"/>
          <w:sz w:val="24"/>
          <w:szCs w:val="24"/>
          <w:lang w:val="ca-ES"/>
        </w:rPr>
        <w:t xml:space="preserve">, el que suposa una variació del </w:t>
      </w:r>
      <w:r w:rsidR="0011303F">
        <w:rPr>
          <w:b w:val="0"/>
          <w:sz w:val="24"/>
          <w:szCs w:val="24"/>
          <w:lang w:val="ca-ES"/>
        </w:rPr>
        <w:t>3,23</w:t>
      </w:r>
      <w:r w:rsidR="00005ABE">
        <w:rPr>
          <w:b w:val="0"/>
          <w:sz w:val="24"/>
          <w:szCs w:val="24"/>
          <w:lang w:val="ca-ES"/>
        </w:rPr>
        <w:t>%.</w:t>
      </w:r>
    </w:p>
    <w:p w:rsidR="00767611" w:rsidRPr="00EA5418" w:rsidRDefault="00767611" w:rsidP="00767611">
      <w:pPr>
        <w:pStyle w:val="TEXTBOLD"/>
        <w:spacing w:line="276" w:lineRule="auto"/>
        <w:rPr>
          <w:b w:val="0"/>
          <w:lang w:val="ca-ES"/>
        </w:rPr>
      </w:pPr>
    </w:p>
    <w:p w:rsidR="00767611" w:rsidRPr="00EA5418" w:rsidRDefault="0011303F" w:rsidP="00767611">
      <w:pPr>
        <w:pStyle w:val="TEXTBOLD"/>
        <w:spacing w:line="276" w:lineRule="auto"/>
        <w:jc w:val="center"/>
        <w:rPr>
          <w:b w:val="0"/>
          <w:lang w:val="ca-ES"/>
        </w:rPr>
      </w:pPr>
      <w:r>
        <w:rPr>
          <w:noProof/>
          <w:lang w:val="es-ES" w:eastAsia="es-ES"/>
        </w:rPr>
        <w:drawing>
          <wp:inline distT="0" distB="0" distL="0" distR="0" wp14:anchorId="031D5AE4" wp14:editId="34A69649">
            <wp:extent cx="5612130" cy="2232660"/>
            <wp:effectExtent l="0" t="0" r="26670" b="15240"/>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67611" w:rsidRPr="00EA5418" w:rsidRDefault="00767611" w:rsidP="00767611">
      <w:pPr>
        <w:pStyle w:val="TEXTBOLD"/>
        <w:spacing w:line="276" w:lineRule="auto"/>
        <w:jc w:val="center"/>
        <w:rPr>
          <w:b w:val="0"/>
          <w:lang w:val="ca-ES"/>
        </w:rPr>
      </w:pPr>
      <w:r w:rsidRPr="00EA5418">
        <w:rPr>
          <w:b w:val="0"/>
          <w:color w:val="404040"/>
          <w:sz w:val="18"/>
          <w:lang w:val="ca-ES"/>
        </w:rPr>
        <w:t xml:space="preserve">     Font: Elaboració pròpia a partir de les dades del </w:t>
      </w:r>
      <w:proofErr w:type="spellStart"/>
      <w:r w:rsidRPr="00EA5418">
        <w:rPr>
          <w:b w:val="0"/>
          <w:color w:val="404040"/>
          <w:sz w:val="18"/>
          <w:lang w:val="ca-ES"/>
        </w:rPr>
        <w:t>Ministerio</w:t>
      </w:r>
      <w:proofErr w:type="spellEnd"/>
      <w:r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Pr="00EA5418">
        <w:rPr>
          <w:b w:val="0"/>
          <w:color w:val="404040"/>
          <w:sz w:val="18"/>
          <w:lang w:val="ca-ES"/>
        </w:rPr>
        <w:t xml:space="preserve"> y Seguridad Social</w:t>
      </w:r>
    </w:p>
    <w:p w:rsidR="00767611" w:rsidRPr="00EA5418" w:rsidRDefault="00767611" w:rsidP="00767611">
      <w:pPr>
        <w:pStyle w:val="TEXTBOLD"/>
        <w:spacing w:line="276" w:lineRule="auto"/>
        <w:rPr>
          <w:b w:val="0"/>
          <w:lang w:val="ca-ES"/>
        </w:rPr>
      </w:pPr>
    </w:p>
    <w:p w:rsidR="00767611" w:rsidRPr="00EA5418" w:rsidRDefault="00767611" w:rsidP="00767611">
      <w:pPr>
        <w:pStyle w:val="TEXTBOLD"/>
        <w:spacing w:line="276" w:lineRule="auto"/>
        <w:rPr>
          <w:b w:val="0"/>
          <w:lang w:val="ca-ES"/>
        </w:rPr>
      </w:pPr>
    </w:p>
    <w:p w:rsidR="00767611" w:rsidRPr="00EA5418" w:rsidRDefault="0011303F" w:rsidP="00767611">
      <w:pPr>
        <w:pStyle w:val="TEXTBOLD"/>
        <w:spacing w:line="276" w:lineRule="auto"/>
        <w:jc w:val="center"/>
        <w:rPr>
          <w:b w:val="0"/>
          <w:lang w:val="ca-ES"/>
        </w:rPr>
      </w:pPr>
      <w:r>
        <w:rPr>
          <w:noProof/>
          <w:lang w:val="es-ES" w:eastAsia="es-ES"/>
        </w:rPr>
        <w:drawing>
          <wp:inline distT="0" distB="0" distL="0" distR="0" wp14:anchorId="70F61D6D" wp14:editId="5639DA1A">
            <wp:extent cx="4686299" cy="2985751"/>
            <wp:effectExtent l="0" t="0" r="19685" b="24765"/>
            <wp:docPr id="58" name="Gráfico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67611" w:rsidRPr="00EA5418" w:rsidRDefault="00767611" w:rsidP="00767611">
      <w:pPr>
        <w:pStyle w:val="TEXTBOLD"/>
        <w:spacing w:line="276" w:lineRule="auto"/>
        <w:jc w:val="center"/>
        <w:rPr>
          <w:b w:val="0"/>
          <w:lang w:val="ca-ES"/>
        </w:rPr>
      </w:pPr>
      <w:r w:rsidRPr="00EA5418">
        <w:rPr>
          <w:b w:val="0"/>
          <w:color w:val="404040"/>
          <w:sz w:val="18"/>
          <w:lang w:val="ca-ES"/>
        </w:rPr>
        <w:t xml:space="preserve">     Font: Elaboració pròpia a partir de les dades del </w:t>
      </w:r>
      <w:proofErr w:type="spellStart"/>
      <w:r w:rsidRPr="00EA5418">
        <w:rPr>
          <w:b w:val="0"/>
          <w:color w:val="404040"/>
          <w:sz w:val="18"/>
          <w:lang w:val="ca-ES"/>
        </w:rPr>
        <w:t>Ministerio</w:t>
      </w:r>
      <w:proofErr w:type="spellEnd"/>
      <w:r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Pr="00EA5418">
        <w:rPr>
          <w:b w:val="0"/>
          <w:color w:val="404040"/>
          <w:sz w:val="18"/>
          <w:lang w:val="ca-ES"/>
        </w:rPr>
        <w:t xml:space="preserve"> y Seguridad Social</w:t>
      </w:r>
    </w:p>
    <w:p w:rsidR="00767611" w:rsidRDefault="00767611" w:rsidP="00767611">
      <w:pPr>
        <w:rPr>
          <w:rFonts w:ascii="Rotis Sans Serif Std" w:hAnsi="Rotis Sans Serif Std" w:cs="RotisSansSerifStd-Regular"/>
          <w:color w:val="5E6061"/>
          <w:lang w:eastAsia="es-ES_tradnl"/>
        </w:rPr>
      </w:pPr>
    </w:p>
    <w:p w:rsidR="00767611" w:rsidRPr="00EA5418" w:rsidRDefault="00767611" w:rsidP="003637D6">
      <w:pPr>
        <w:pStyle w:val="TEXTBOLD"/>
        <w:rPr>
          <w:b w:val="0"/>
          <w:sz w:val="24"/>
          <w:szCs w:val="24"/>
          <w:lang w:val="ca-ES"/>
        </w:rPr>
      </w:pPr>
      <w:r w:rsidRPr="00EA5418">
        <w:rPr>
          <w:b w:val="0"/>
          <w:sz w:val="24"/>
          <w:szCs w:val="24"/>
          <w:lang w:val="ca-ES"/>
        </w:rPr>
        <w:t xml:space="preserve">Dels </w:t>
      </w:r>
      <w:r w:rsidR="00DC010B">
        <w:rPr>
          <w:b w:val="0"/>
          <w:sz w:val="24"/>
          <w:szCs w:val="24"/>
          <w:lang w:val="ca-ES"/>
        </w:rPr>
        <w:t>2</w:t>
      </w:r>
      <w:r w:rsidR="0011303F">
        <w:rPr>
          <w:b w:val="0"/>
          <w:sz w:val="24"/>
          <w:szCs w:val="24"/>
          <w:lang w:val="ca-ES"/>
        </w:rPr>
        <w:t>97</w:t>
      </w:r>
      <w:r>
        <w:rPr>
          <w:b w:val="0"/>
          <w:sz w:val="24"/>
          <w:szCs w:val="24"/>
          <w:lang w:val="ca-ES"/>
        </w:rPr>
        <w:t xml:space="preserve"> </w:t>
      </w:r>
      <w:r w:rsidRPr="00EA5418">
        <w:rPr>
          <w:b w:val="0"/>
          <w:sz w:val="24"/>
          <w:szCs w:val="24"/>
          <w:lang w:val="ca-ES"/>
        </w:rPr>
        <w:t>Convenis registrats,</w:t>
      </w:r>
      <w:r>
        <w:rPr>
          <w:b w:val="0"/>
          <w:sz w:val="24"/>
          <w:szCs w:val="24"/>
          <w:lang w:val="ca-ES"/>
        </w:rPr>
        <w:t xml:space="preserve"> </w:t>
      </w:r>
      <w:r w:rsidR="0011303F">
        <w:rPr>
          <w:b w:val="0"/>
          <w:sz w:val="24"/>
          <w:szCs w:val="24"/>
          <w:lang w:val="ca-ES"/>
        </w:rPr>
        <w:t>23</w:t>
      </w:r>
      <w:r>
        <w:rPr>
          <w:b w:val="0"/>
          <w:sz w:val="24"/>
          <w:szCs w:val="24"/>
          <w:lang w:val="ca-ES"/>
        </w:rPr>
        <w:t xml:space="preserve"> són autonòmics (</w:t>
      </w:r>
      <w:r w:rsidR="0011303F">
        <w:rPr>
          <w:b w:val="0"/>
          <w:sz w:val="24"/>
          <w:szCs w:val="24"/>
          <w:lang w:val="ca-ES"/>
        </w:rPr>
        <w:t>109.251</w:t>
      </w:r>
      <w:r>
        <w:rPr>
          <w:b w:val="0"/>
          <w:sz w:val="24"/>
          <w:szCs w:val="24"/>
          <w:lang w:val="ca-ES"/>
        </w:rPr>
        <w:t xml:space="preserve"> </w:t>
      </w:r>
      <w:r w:rsidRPr="00EA5418">
        <w:rPr>
          <w:b w:val="0"/>
          <w:sz w:val="24"/>
          <w:szCs w:val="24"/>
          <w:lang w:val="ca-ES"/>
        </w:rPr>
        <w:t>empreses afectades i</w:t>
      </w:r>
      <w:r>
        <w:rPr>
          <w:b w:val="0"/>
          <w:sz w:val="24"/>
          <w:szCs w:val="24"/>
          <w:lang w:val="ca-ES"/>
        </w:rPr>
        <w:t xml:space="preserve"> </w:t>
      </w:r>
      <w:r w:rsidR="0011303F">
        <w:rPr>
          <w:b w:val="0"/>
          <w:sz w:val="24"/>
          <w:szCs w:val="24"/>
          <w:lang w:val="ca-ES"/>
        </w:rPr>
        <w:t>443.726</w:t>
      </w:r>
      <w:r>
        <w:rPr>
          <w:b w:val="0"/>
          <w:sz w:val="24"/>
          <w:szCs w:val="24"/>
          <w:lang w:val="ca-ES"/>
        </w:rPr>
        <w:t xml:space="preserve"> </w:t>
      </w:r>
      <w:r w:rsidRPr="00EA5418">
        <w:rPr>
          <w:b w:val="0"/>
          <w:sz w:val="24"/>
          <w:szCs w:val="24"/>
          <w:lang w:val="ca-ES"/>
        </w:rPr>
        <w:t xml:space="preserve">treballadors), </w:t>
      </w:r>
      <w:r w:rsidR="0011303F">
        <w:rPr>
          <w:b w:val="0"/>
          <w:sz w:val="24"/>
          <w:szCs w:val="24"/>
          <w:lang w:val="ca-ES"/>
        </w:rPr>
        <w:t>188</w:t>
      </w:r>
      <w:r>
        <w:rPr>
          <w:b w:val="0"/>
          <w:sz w:val="24"/>
          <w:szCs w:val="24"/>
          <w:lang w:val="ca-ES"/>
        </w:rPr>
        <w:t xml:space="preserve"> </w:t>
      </w:r>
      <w:r w:rsidRPr="00EA5418">
        <w:rPr>
          <w:b w:val="0"/>
          <w:sz w:val="24"/>
          <w:szCs w:val="24"/>
          <w:lang w:val="ca-ES"/>
        </w:rPr>
        <w:t>són de la província de Barcelona (</w:t>
      </w:r>
      <w:r w:rsidR="0011303F">
        <w:rPr>
          <w:b w:val="0"/>
          <w:sz w:val="24"/>
          <w:szCs w:val="24"/>
          <w:lang w:val="ca-ES"/>
        </w:rPr>
        <w:t>7.337</w:t>
      </w:r>
      <w:r>
        <w:rPr>
          <w:b w:val="0"/>
          <w:sz w:val="24"/>
          <w:szCs w:val="24"/>
          <w:lang w:val="ca-ES"/>
        </w:rPr>
        <w:t xml:space="preserve"> </w:t>
      </w:r>
      <w:r w:rsidRPr="00EA5418">
        <w:rPr>
          <w:b w:val="0"/>
          <w:sz w:val="24"/>
          <w:szCs w:val="24"/>
          <w:lang w:val="ca-ES"/>
        </w:rPr>
        <w:t xml:space="preserve">empreses i </w:t>
      </w:r>
      <w:r w:rsidR="0011303F">
        <w:rPr>
          <w:b w:val="0"/>
          <w:sz w:val="24"/>
          <w:szCs w:val="24"/>
          <w:lang w:val="ca-ES"/>
        </w:rPr>
        <w:t>76.694</w:t>
      </w:r>
      <w:r>
        <w:rPr>
          <w:b w:val="0"/>
          <w:sz w:val="24"/>
          <w:szCs w:val="24"/>
          <w:lang w:val="ca-ES"/>
        </w:rPr>
        <w:t xml:space="preserve"> treballadors), </w:t>
      </w:r>
      <w:r w:rsidR="0011303F">
        <w:rPr>
          <w:b w:val="0"/>
          <w:sz w:val="24"/>
          <w:szCs w:val="24"/>
          <w:lang w:val="ca-ES"/>
        </w:rPr>
        <w:t>31</w:t>
      </w:r>
      <w:r>
        <w:rPr>
          <w:b w:val="0"/>
          <w:sz w:val="24"/>
          <w:szCs w:val="24"/>
          <w:lang w:val="ca-ES"/>
        </w:rPr>
        <w:t xml:space="preserve"> de la província de Girona (</w:t>
      </w:r>
      <w:r w:rsidR="0011303F">
        <w:rPr>
          <w:b w:val="0"/>
          <w:sz w:val="24"/>
          <w:szCs w:val="24"/>
          <w:lang w:val="ca-ES"/>
        </w:rPr>
        <w:t>6.614</w:t>
      </w:r>
      <w:r>
        <w:rPr>
          <w:b w:val="0"/>
          <w:sz w:val="24"/>
          <w:szCs w:val="24"/>
          <w:lang w:val="ca-ES"/>
        </w:rPr>
        <w:t xml:space="preserve"> </w:t>
      </w:r>
      <w:r w:rsidRPr="00EA5418">
        <w:rPr>
          <w:b w:val="0"/>
          <w:sz w:val="24"/>
          <w:szCs w:val="24"/>
          <w:lang w:val="ca-ES"/>
        </w:rPr>
        <w:t xml:space="preserve">empreses i </w:t>
      </w:r>
      <w:r w:rsidR="0011303F">
        <w:rPr>
          <w:b w:val="0"/>
          <w:sz w:val="24"/>
          <w:szCs w:val="24"/>
          <w:lang w:val="ca-ES"/>
        </w:rPr>
        <w:t>95.893</w:t>
      </w:r>
      <w:r>
        <w:rPr>
          <w:b w:val="0"/>
          <w:sz w:val="24"/>
          <w:szCs w:val="24"/>
          <w:lang w:val="ca-ES"/>
        </w:rPr>
        <w:t xml:space="preserve"> treballadors), </w:t>
      </w:r>
      <w:r w:rsidR="0011303F">
        <w:rPr>
          <w:b w:val="0"/>
          <w:sz w:val="24"/>
          <w:szCs w:val="24"/>
          <w:lang w:val="ca-ES"/>
        </w:rPr>
        <w:t>12</w:t>
      </w:r>
      <w:r>
        <w:rPr>
          <w:b w:val="0"/>
          <w:sz w:val="24"/>
          <w:szCs w:val="24"/>
          <w:lang w:val="ca-ES"/>
        </w:rPr>
        <w:t xml:space="preserve"> </w:t>
      </w:r>
      <w:r w:rsidRPr="00EA5418">
        <w:rPr>
          <w:b w:val="0"/>
          <w:sz w:val="24"/>
          <w:szCs w:val="24"/>
          <w:lang w:val="ca-ES"/>
        </w:rPr>
        <w:t>de Lleida (</w:t>
      </w:r>
      <w:r w:rsidR="0011303F">
        <w:rPr>
          <w:b w:val="0"/>
          <w:sz w:val="24"/>
          <w:szCs w:val="24"/>
          <w:lang w:val="ca-ES"/>
        </w:rPr>
        <w:t>7.286</w:t>
      </w:r>
      <w:r>
        <w:rPr>
          <w:b w:val="0"/>
          <w:sz w:val="24"/>
          <w:szCs w:val="24"/>
          <w:lang w:val="ca-ES"/>
        </w:rPr>
        <w:t xml:space="preserve"> </w:t>
      </w:r>
      <w:r w:rsidRPr="00EA5418">
        <w:rPr>
          <w:b w:val="0"/>
          <w:sz w:val="24"/>
          <w:szCs w:val="24"/>
          <w:lang w:val="ca-ES"/>
        </w:rPr>
        <w:t xml:space="preserve">empreses i </w:t>
      </w:r>
      <w:r w:rsidR="00DC010B">
        <w:rPr>
          <w:b w:val="0"/>
          <w:sz w:val="24"/>
          <w:szCs w:val="24"/>
          <w:lang w:val="ca-ES"/>
        </w:rPr>
        <w:t>4</w:t>
      </w:r>
      <w:r w:rsidR="0011303F">
        <w:rPr>
          <w:b w:val="0"/>
          <w:sz w:val="24"/>
          <w:szCs w:val="24"/>
          <w:lang w:val="ca-ES"/>
        </w:rPr>
        <w:t>4.823</w:t>
      </w:r>
      <w:r>
        <w:rPr>
          <w:b w:val="0"/>
          <w:sz w:val="24"/>
          <w:szCs w:val="24"/>
          <w:lang w:val="ca-ES"/>
        </w:rPr>
        <w:t xml:space="preserve"> t</w:t>
      </w:r>
      <w:r w:rsidRPr="00EA5418">
        <w:rPr>
          <w:b w:val="0"/>
          <w:sz w:val="24"/>
          <w:szCs w:val="24"/>
          <w:lang w:val="ca-ES"/>
        </w:rPr>
        <w:t xml:space="preserve">reballadors) i </w:t>
      </w:r>
      <w:r w:rsidR="0011303F">
        <w:rPr>
          <w:b w:val="0"/>
          <w:sz w:val="24"/>
          <w:szCs w:val="24"/>
          <w:lang w:val="ca-ES"/>
        </w:rPr>
        <w:t>43</w:t>
      </w:r>
      <w:r>
        <w:rPr>
          <w:b w:val="0"/>
          <w:sz w:val="24"/>
          <w:szCs w:val="24"/>
          <w:lang w:val="ca-ES"/>
        </w:rPr>
        <w:t xml:space="preserve"> de la província de Tarragona (</w:t>
      </w:r>
      <w:r w:rsidR="00DC010B">
        <w:rPr>
          <w:b w:val="0"/>
          <w:sz w:val="24"/>
          <w:szCs w:val="24"/>
          <w:lang w:val="ca-ES"/>
        </w:rPr>
        <w:t>1.8</w:t>
      </w:r>
      <w:r w:rsidR="0011303F">
        <w:rPr>
          <w:b w:val="0"/>
          <w:sz w:val="24"/>
          <w:szCs w:val="24"/>
          <w:lang w:val="ca-ES"/>
        </w:rPr>
        <w:t>67</w:t>
      </w:r>
      <w:r>
        <w:rPr>
          <w:b w:val="0"/>
          <w:sz w:val="24"/>
          <w:szCs w:val="24"/>
          <w:lang w:val="ca-ES"/>
        </w:rPr>
        <w:t xml:space="preserve"> </w:t>
      </w:r>
      <w:r w:rsidRPr="00EA5418">
        <w:rPr>
          <w:b w:val="0"/>
          <w:sz w:val="24"/>
          <w:szCs w:val="24"/>
          <w:lang w:val="ca-ES"/>
        </w:rPr>
        <w:t xml:space="preserve">empreses i </w:t>
      </w:r>
      <w:r w:rsidR="0011303F">
        <w:rPr>
          <w:b w:val="0"/>
          <w:sz w:val="24"/>
          <w:szCs w:val="24"/>
          <w:lang w:val="ca-ES"/>
        </w:rPr>
        <w:t>21.920</w:t>
      </w:r>
      <w:r>
        <w:rPr>
          <w:b w:val="0"/>
          <w:sz w:val="24"/>
          <w:szCs w:val="24"/>
          <w:lang w:val="ca-ES"/>
        </w:rPr>
        <w:t xml:space="preserve"> </w:t>
      </w:r>
      <w:r w:rsidRPr="00EA5418">
        <w:rPr>
          <w:b w:val="0"/>
          <w:sz w:val="24"/>
          <w:szCs w:val="24"/>
          <w:lang w:val="ca-ES"/>
        </w:rPr>
        <w:t>treballadors).</w:t>
      </w:r>
    </w:p>
    <w:p w:rsidR="00767611" w:rsidRPr="00EA5418" w:rsidRDefault="00767611" w:rsidP="00767611">
      <w:pPr>
        <w:pStyle w:val="TEXTBOLD"/>
        <w:spacing w:line="276" w:lineRule="auto"/>
        <w:rPr>
          <w:b w:val="0"/>
          <w:sz w:val="24"/>
          <w:szCs w:val="24"/>
          <w:lang w:val="ca-ES"/>
        </w:rPr>
      </w:pPr>
    </w:p>
    <w:p w:rsidR="00767611" w:rsidRPr="000A4929" w:rsidRDefault="00DB0C51" w:rsidP="00767611">
      <w:pPr>
        <w:pStyle w:val="TEXTBOLD"/>
        <w:spacing w:line="276" w:lineRule="auto"/>
        <w:jc w:val="center"/>
        <w:rPr>
          <w:b w:val="0"/>
          <w:sz w:val="24"/>
          <w:szCs w:val="24"/>
          <w:lang w:val="ca-ES"/>
        </w:rPr>
      </w:pPr>
      <w:r>
        <w:rPr>
          <w:noProof/>
          <w:lang w:val="es-ES" w:eastAsia="es-ES"/>
        </w:rPr>
        <w:drawing>
          <wp:inline distT="0" distB="0" distL="0" distR="0" wp14:anchorId="0B7E3047" wp14:editId="6C0790D1">
            <wp:extent cx="4133850" cy="2743200"/>
            <wp:effectExtent l="0" t="0" r="19050" b="19050"/>
            <wp:docPr id="60" name="Gráfico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67611" w:rsidRPr="00EA5418" w:rsidRDefault="00767611" w:rsidP="00767611">
      <w:pPr>
        <w:pStyle w:val="TEXTBOLD"/>
        <w:spacing w:line="276" w:lineRule="auto"/>
        <w:jc w:val="center"/>
        <w:rPr>
          <w:b w:val="0"/>
          <w:color w:val="404040"/>
          <w:sz w:val="18"/>
          <w:lang w:val="ca-ES"/>
        </w:rPr>
      </w:pPr>
      <w:r w:rsidRPr="00EA5418">
        <w:rPr>
          <w:b w:val="0"/>
          <w:color w:val="404040"/>
          <w:sz w:val="18"/>
          <w:lang w:val="ca-ES"/>
        </w:rPr>
        <w:t xml:space="preserve">Font: Elaboració pròpia a partir de les dades del </w:t>
      </w:r>
      <w:proofErr w:type="spellStart"/>
      <w:r w:rsidRPr="00EA5418">
        <w:rPr>
          <w:b w:val="0"/>
          <w:color w:val="404040"/>
          <w:sz w:val="18"/>
          <w:lang w:val="ca-ES"/>
        </w:rPr>
        <w:t>Ministerio</w:t>
      </w:r>
      <w:proofErr w:type="spellEnd"/>
      <w:r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Pr="00EA5418">
        <w:rPr>
          <w:b w:val="0"/>
          <w:color w:val="404040"/>
          <w:sz w:val="18"/>
          <w:lang w:val="ca-ES"/>
        </w:rPr>
        <w:t xml:space="preserve"> y Seguridad Social</w:t>
      </w:r>
    </w:p>
    <w:p w:rsidR="00617A8C" w:rsidRDefault="00617A8C" w:rsidP="00767611">
      <w:pPr>
        <w:jc w:val="center"/>
        <w:rPr>
          <w:rFonts w:ascii="Rotis Sans Serif Std" w:hAnsi="Rotis Sans Serif Std" w:cs="RotisSansSerifStd-Regular"/>
          <w:b/>
          <w:color w:val="C00000"/>
          <w:lang w:eastAsia="es-ES_tradnl"/>
        </w:rPr>
      </w:pPr>
    </w:p>
    <w:p w:rsidR="00767611" w:rsidRDefault="00767611" w:rsidP="00767611">
      <w:pPr>
        <w:jc w:val="center"/>
        <w:rPr>
          <w:rFonts w:ascii="Rotis Sans Serif Std" w:hAnsi="Rotis Sans Serif Std" w:cs="RotisSansSerifStd-Regular"/>
          <w:b/>
          <w:color w:val="C00000"/>
          <w:lang w:eastAsia="es-ES_tradnl"/>
        </w:rPr>
      </w:pPr>
      <w:r w:rsidRPr="00837C46">
        <w:rPr>
          <w:rFonts w:ascii="Rotis Sans Serif Std" w:hAnsi="Rotis Sans Serif Std" w:cs="RotisSansSerifStd-Regular"/>
          <w:b/>
          <w:color w:val="C00000"/>
          <w:lang w:eastAsia="es-ES_tradnl"/>
        </w:rPr>
        <w:t>TOTAL CONVENIS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166"/>
        <w:gridCol w:w="1403"/>
        <w:gridCol w:w="1541"/>
        <w:gridCol w:w="1418"/>
        <w:gridCol w:w="1417"/>
      </w:tblGrid>
      <w:tr w:rsidR="00767611" w:rsidRPr="00EA5418" w:rsidTr="00767611">
        <w:trPr>
          <w:trHeight w:val="628"/>
          <w:jc w:val="center"/>
        </w:trPr>
        <w:tc>
          <w:tcPr>
            <w:tcW w:w="1668" w:type="dxa"/>
            <w:tcBorders>
              <w:top w:val="single" w:sz="4" w:space="0" w:color="FFFFFF"/>
              <w:left w:val="single" w:sz="4" w:space="0" w:color="FFFFFF"/>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Distribució Territorial Convenis</w:t>
            </w:r>
          </w:p>
        </w:tc>
        <w:tc>
          <w:tcPr>
            <w:tcW w:w="1166"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b w:val="0"/>
                <w:color w:val="FFFFFF"/>
                <w:lang w:val="ca-ES"/>
              </w:rPr>
            </w:pPr>
            <w:r w:rsidRPr="003E2B63">
              <w:rPr>
                <w:b w:val="0"/>
                <w:color w:val="FFFFFF"/>
                <w:lang w:val="ca-ES"/>
              </w:rPr>
              <w:t>Convenis</w:t>
            </w:r>
          </w:p>
        </w:tc>
        <w:tc>
          <w:tcPr>
            <w:tcW w:w="1403"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b w:val="0"/>
                <w:color w:val="FFFFFF"/>
                <w:lang w:val="ca-ES"/>
              </w:rPr>
            </w:pPr>
            <w:r w:rsidRPr="003E2B63">
              <w:rPr>
                <w:b w:val="0"/>
                <w:color w:val="FFFFFF"/>
                <w:lang w:val="ca-ES"/>
              </w:rPr>
              <w:t>Empreses</w:t>
            </w:r>
          </w:p>
        </w:tc>
        <w:tc>
          <w:tcPr>
            <w:tcW w:w="1541"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b w:val="0"/>
                <w:color w:val="FFFFFF"/>
                <w:lang w:val="ca-ES"/>
              </w:rPr>
            </w:pPr>
            <w:r w:rsidRPr="003E2B63">
              <w:rPr>
                <w:b w:val="0"/>
                <w:color w:val="FFFFFF"/>
                <w:lang w:val="ca-ES"/>
              </w:rPr>
              <w:t>Treballadors</w:t>
            </w:r>
          </w:p>
        </w:tc>
        <w:tc>
          <w:tcPr>
            <w:tcW w:w="1418"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b w:val="0"/>
                <w:color w:val="FFFFFF"/>
                <w:lang w:val="ca-ES"/>
              </w:rPr>
            </w:pPr>
            <w:r w:rsidRPr="003E2B63">
              <w:rPr>
                <w:b w:val="0"/>
                <w:color w:val="FFFFFF"/>
                <w:lang w:val="ca-ES"/>
              </w:rPr>
              <w:t>Variació Salarial (%)</w:t>
            </w:r>
          </w:p>
        </w:tc>
        <w:tc>
          <w:tcPr>
            <w:tcW w:w="1417"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b w:val="0"/>
                <w:color w:val="FFFFFF"/>
                <w:lang w:val="ca-ES"/>
              </w:rPr>
            </w:pPr>
            <w:r w:rsidRPr="003E2B63">
              <w:rPr>
                <w:b w:val="0"/>
                <w:color w:val="FFFFFF"/>
                <w:lang w:val="ca-ES"/>
              </w:rPr>
              <w:t>Jornada mitjana (h/any)</w:t>
            </w:r>
          </w:p>
        </w:tc>
      </w:tr>
      <w:tr w:rsidR="00DB0C51" w:rsidRPr="00EA5418" w:rsidTr="00DB0C51">
        <w:trPr>
          <w:jc w:val="center"/>
        </w:trPr>
        <w:tc>
          <w:tcPr>
            <w:tcW w:w="1668"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Autonòmics</w:t>
            </w:r>
          </w:p>
        </w:tc>
        <w:tc>
          <w:tcPr>
            <w:tcW w:w="116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23</w:t>
            </w:r>
          </w:p>
        </w:tc>
        <w:tc>
          <w:tcPr>
            <w:tcW w:w="1403"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109.251</w:t>
            </w:r>
          </w:p>
        </w:tc>
        <w:tc>
          <w:tcPr>
            <w:tcW w:w="154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443.726</w:t>
            </w:r>
          </w:p>
        </w:tc>
        <w:tc>
          <w:tcPr>
            <w:tcW w:w="1418"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1,64</w:t>
            </w:r>
          </w:p>
        </w:tc>
        <w:tc>
          <w:tcPr>
            <w:tcW w:w="1417" w:type="dxa"/>
            <w:tcBorders>
              <w:top w:val="single" w:sz="24" w:space="0" w:color="FFFFFF"/>
              <w:left w:val="single" w:sz="24" w:space="0" w:color="FFFFFF"/>
              <w:right w:val="single" w:sz="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1.772,85</w:t>
            </w:r>
          </w:p>
        </w:tc>
      </w:tr>
      <w:tr w:rsidR="00DB0C51" w:rsidRPr="00EA5418" w:rsidTr="00DB0C51">
        <w:trPr>
          <w:jc w:val="center"/>
        </w:trPr>
        <w:tc>
          <w:tcPr>
            <w:tcW w:w="1668"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Barcelona</w:t>
            </w:r>
          </w:p>
        </w:tc>
        <w:tc>
          <w:tcPr>
            <w:tcW w:w="116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188</w:t>
            </w:r>
          </w:p>
        </w:tc>
        <w:tc>
          <w:tcPr>
            <w:tcW w:w="1403"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7.337</w:t>
            </w:r>
          </w:p>
        </w:tc>
        <w:tc>
          <w:tcPr>
            <w:tcW w:w="154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76.694</w:t>
            </w:r>
          </w:p>
        </w:tc>
        <w:tc>
          <w:tcPr>
            <w:tcW w:w="1418"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1,29</w:t>
            </w:r>
          </w:p>
        </w:tc>
        <w:tc>
          <w:tcPr>
            <w:tcW w:w="1417" w:type="dxa"/>
            <w:tcBorders>
              <w:top w:val="single" w:sz="24" w:space="0" w:color="FFFFFF"/>
              <w:left w:val="single" w:sz="24" w:space="0" w:color="FFFFFF"/>
              <w:right w:val="single" w:sz="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1.758,59</w:t>
            </w:r>
          </w:p>
        </w:tc>
      </w:tr>
      <w:tr w:rsidR="00DB0C51" w:rsidRPr="00EA5418" w:rsidTr="00DB0C51">
        <w:trPr>
          <w:jc w:val="center"/>
        </w:trPr>
        <w:tc>
          <w:tcPr>
            <w:tcW w:w="1668"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Girona</w:t>
            </w:r>
          </w:p>
        </w:tc>
        <w:tc>
          <w:tcPr>
            <w:tcW w:w="116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31</w:t>
            </w:r>
          </w:p>
        </w:tc>
        <w:tc>
          <w:tcPr>
            <w:tcW w:w="1403"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6.614</w:t>
            </w:r>
          </w:p>
        </w:tc>
        <w:tc>
          <w:tcPr>
            <w:tcW w:w="154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95.893</w:t>
            </w:r>
          </w:p>
        </w:tc>
        <w:tc>
          <w:tcPr>
            <w:tcW w:w="1418"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1,98</w:t>
            </w:r>
          </w:p>
        </w:tc>
        <w:tc>
          <w:tcPr>
            <w:tcW w:w="1417" w:type="dxa"/>
            <w:tcBorders>
              <w:top w:val="single" w:sz="24" w:space="0" w:color="FFFFFF"/>
              <w:left w:val="single" w:sz="24" w:space="0" w:color="FFFFFF"/>
              <w:right w:val="single" w:sz="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1.798,56</w:t>
            </w:r>
          </w:p>
        </w:tc>
      </w:tr>
      <w:tr w:rsidR="00DB0C51" w:rsidRPr="00EA5418" w:rsidTr="00DB0C51">
        <w:trPr>
          <w:jc w:val="center"/>
        </w:trPr>
        <w:tc>
          <w:tcPr>
            <w:tcW w:w="1668"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Lleida</w:t>
            </w:r>
          </w:p>
        </w:tc>
        <w:tc>
          <w:tcPr>
            <w:tcW w:w="116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12</w:t>
            </w:r>
          </w:p>
        </w:tc>
        <w:tc>
          <w:tcPr>
            <w:tcW w:w="1403"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7.286</w:t>
            </w:r>
          </w:p>
        </w:tc>
        <w:tc>
          <w:tcPr>
            <w:tcW w:w="154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44.823</w:t>
            </w:r>
          </w:p>
        </w:tc>
        <w:tc>
          <w:tcPr>
            <w:tcW w:w="1418"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1,68</w:t>
            </w:r>
          </w:p>
        </w:tc>
        <w:tc>
          <w:tcPr>
            <w:tcW w:w="1417" w:type="dxa"/>
            <w:tcBorders>
              <w:top w:val="single" w:sz="24" w:space="0" w:color="FFFFFF"/>
              <w:left w:val="single" w:sz="24" w:space="0" w:color="FFFFFF"/>
              <w:right w:val="single" w:sz="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1.766,24</w:t>
            </w:r>
          </w:p>
        </w:tc>
      </w:tr>
      <w:tr w:rsidR="00DB0C51" w:rsidRPr="00EA5418" w:rsidTr="00DB0C51">
        <w:trPr>
          <w:jc w:val="center"/>
        </w:trPr>
        <w:tc>
          <w:tcPr>
            <w:tcW w:w="1668"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Tarragona</w:t>
            </w:r>
          </w:p>
        </w:tc>
        <w:tc>
          <w:tcPr>
            <w:tcW w:w="116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43</w:t>
            </w:r>
          </w:p>
        </w:tc>
        <w:tc>
          <w:tcPr>
            <w:tcW w:w="1403"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1.867</w:t>
            </w:r>
          </w:p>
        </w:tc>
        <w:tc>
          <w:tcPr>
            <w:tcW w:w="154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21.920</w:t>
            </w:r>
          </w:p>
        </w:tc>
        <w:tc>
          <w:tcPr>
            <w:tcW w:w="1418"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1,27</w:t>
            </w:r>
          </w:p>
        </w:tc>
        <w:tc>
          <w:tcPr>
            <w:tcW w:w="1417" w:type="dxa"/>
            <w:tcBorders>
              <w:top w:val="single" w:sz="24" w:space="0" w:color="FFFFFF"/>
              <w:left w:val="single" w:sz="24" w:space="0" w:color="FFFFFF"/>
              <w:right w:val="single" w:sz="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1.773,98</w:t>
            </w:r>
          </w:p>
        </w:tc>
      </w:tr>
      <w:tr w:rsidR="00DB0C51" w:rsidRPr="00DC010B" w:rsidTr="00DB0C51">
        <w:trPr>
          <w:jc w:val="center"/>
        </w:trPr>
        <w:tc>
          <w:tcPr>
            <w:tcW w:w="1668" w:type="dxa"/>
            <w:tcBorders>
              <w:top w:val="single" w:sz="24" w:space="0" w:color="FFFFFF"/>
              <w:left w:val="single" w:sz="4" w:space="0" w:color="FFFFFF"/>
              <w:bottom w:val="single" w:sz="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color w:val="FFFFFF"/>
                <w:lang w:val="ca-ES"/>
              </w:rPr>
            </w:pPr>
            <w:r w:rsidRPr="003E2B63">
              <w:rPr>
                <w:color w:val="FFFFFF"/>
                <w:lang w:val="ca-ES"/>
              </w:rPr>
              <w:t>TOTAL CATALUNYA</w:t>
            </w:r>
          </w:p>
        </w:tc>
        <w:tc>
          <w:tcPr>
            <w:tcW w:w="116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cs="RotisSansSerifStd-Regular"/>
                <w:b/>
                <w:color w:val="5E6061"/>
                <w:sz w:val="22"/>
                <w:szCs w:val="22"/>
                <w:lang w:eastAsia="es-ES_tradnl"/>
              </w:rPr>
            </w:pPr>
            <w:r w:rsidRPr="00DB0C51">
              <w:rPr>
                <w:rFonts w:ascii="Rotis Sans Serif Std" w:hAnsi="Rotis Sans Serif Std" w:cs="RotisSansSerifStd-Regular"/>
                <w:b/>
                <w:color w:val="5E6061"/>
                <w:sz w:val="22"/>
                <w:szCs w:val="22"/>
                <w:lang w:eastAsia="es-ES_tradnl"/>
              </w:rPr>
              <w:t>297</w:t>
            </w:r>
          </w:p>
        </w:tc>
        <w:tc>
          <w:tcPr>
            <w:tcW w:w="1403"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cs="RotisSansSerifStd-Regular"/>
                <w:b/>
                <w:color w:val="5E6061"/>
                <w:sz w:val="22"/>
                <w:szCs w:val="22"/>
                <w:lang w:eastAsia="es-ES_tradnl"/>
              </w:rPr>
            </w:pPr>
            <w:r w:rsidRPr="00DB0C51">
              <w:rPr>
                <w:rFonts w:ascii="Rotis Sans Serif Std" w:hAnsi="Rotis Sans Serif Std" w:cs="RotisSansSerifStd-Regular"/>
                <w:b/>
                <w:color w:val="5E6061"/>
                <w:sz w:val="22"/>
                <w:szCs w:val="22"/>
                <w:lang w:eastAsia="es-ES_tradnl"/>
              </w:rPr>
              <w:t>132.355</w:t>
            </w:r>
          </w:p>
        </w:tc>
        <w:tc>
          <w:tcPr>
            <w:tcW w:w="154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cs="RotisSansSerifStd-Regular"/>
                <w:b/>
                <w:color w:val="5E6061"/>
                <w:sz w:val="22"/>
                <w:szCs w:val="22"/>
                <w:lang w:eastAsia="es-ES_tradnl"/>
              </w:rPr>
            </w:pPr>
            <w:r w:rsidRPr="00DB0C51">
              <w:rPr>
                <w:rFonts w:ascii="Rotis Sans Serif Std" w:hAnsi="Rotis Sans Serif Std" w:cs="RotisSansSerifStd-Regular"/>
                <w:b/>
                <w:color w:val="5E6061"/>
                <w:sz w:val="22"/>
                <w:szCs w:val="22"/>
                <w:lang w:eastAsia="es-ES_tradnl"/>
              </w:rPr>
              <w:t>683.056</w:t>
            </w:r>
          </w:p>
        </w:tc>
        <w:tc>
          <w:tcPr>
            <w:tcW w:w="1418"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cs="RotisSansSerifStd-Regular"/>
                <w:b/>
                <w:color w:val="5E6061"/>
                <w:sz w:val="22"/>
                <w:szCs w:val="22"/>
                <w:lang w:eastAsia="es-ES_tradnl"/>
              </w:rPr>
            </w:pPr>
            <w:r w:rsidRPr="00DB0C51">
              <w:rPr>
                <w:rFonts w:ascii="Rotis Sans Serif Std" w:hAnsi="Rotis Sans Serif Std" w:cs="RotisSansSerifStd-Regular"/>
                <w:b/>
                <w:color w:val="5E6061"/>
                <w:sz w:val="22"/>
                <w:szCs w:val="22"/>
                <w:lang w:eastAsia="es-ES_tradnl"/>
              </w:rPr>
              <w:t>1,64</w:t>
            </w:r>
          </w:p>
        </w:tc>
        <w:tc>
          <w:tcPr>
            <w:tcW w:w="1417" w:type="dxa"/>
            <w:tcBorders>
              <w:top w:val="single" w:sz="24" w:space="0" w:color="FFFFFF"/>
              <w:left w:val="single" w:sz="24" w:space="0" w:color="FFFFFF"/>
              <w:bottom w:val="single" w:sz="4" w:space="0" w:color="FFFFFF"/>
              <w:right w:val="single" w:sz="4" w:space="0" w:color="FFFFFF"/>
            </w:tcBorders>
            <w:shd w:val="clear" w:color="auto" w:fill="F2DBDB"/>
            <w:vAlign w:val="center"/>
          </w:tcPr>
          <w:p w:rsidR="00DB0C51" w:rsidRPr="00DB0C51" w:rsidRDefault="00DB0C51" w:rsidP="00DB0C51">
            <w:pPr>
              <w:jc w:val="center"/>
              <w:rPr>
                <w:rFonts w:ascii="Rotis Sans Serif Std" w:hAnsi="Rotis Sans Serif Std" w:cs="RotisSansSerifStd-Regular"/>
                <w:b/>
                <w:color w:val="5E6061"/>
                <w:sz w:val="22"/>
                <w:szCs w:val="22"/>
                <w:lang w:eastAsia="es-ES_tradnl"/>
              </w:rPr>
            </w:pPr>
            <w:r w:rsidRPr="00DB0C51">
              <w:rPr>
                <w:rFonts w:ascii="Rotis Sans Serif Std" w:hAnsi="Rotis Sans Serif Std" w:cs="RotisSansSerifStd-Regular"/>
                <w:b/>
                <w:color w:val="5E6061"/>
                <w:sz w:val="22"/>
                <w:szCs w:val="22"/>
                <w:lang w:eastAsia="es-ES_tradnl"/>
              </w:rPr>
              <w:t>1.774,46</w:t>
            </w:r>
          </w:p>
        </w:tc>
      </w:tr>
    </w:tbl>
    <w:p w:rsidR="00767611" w:rsidRDefault="00767611" w:rsidP="00767611">
      <w:pPr>
        <w:pStyle w:val="TEXTBOLD"/>
        <w:spacing w:line="276" w:lineRule="auto"/>
        <w:jc w:val="center"/>
        <w:rPr>
          <w:b w:val="0"/>
          <w:color w:val="404040"/>
          <w:sz w:val="18"/>
          <w:lang w:val="ca-ES"/>
        </w:rPr>
      </w:pPr>
      <w:r w:rsidRPr="00EA5418">
        <w:rPr>
          <w:b w:val="0"/>
          <w:color w:val="404040"/>
          <w:sz w:val="18"/>
          <w:lang w:val="ca-ES"/>
        </w:rPr>
        <w:t xml:space="preserve">Font: Elaboració pròpia a partir de les dades del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p>
    <w:p w:rsidR="003577BF" w:rsidRPr="004B6A46" w:rsidRDefault="003577BF" w:rsidP="00767611">
      <w:pPr>
        <w:pStyle w:val="TEXTBOLD"/>
        <w:spacing w:line="276" w:lineRule="auto"/>
        <w:jc w:val="center"/>
        <w:rPr>
          <w:b w:val="0"/>
          <w:lang w:val="ca-ES"/>
        </w:rPr>
      </w:pPr>
    </w:p>
    <w:p w:rsidR="00767611" w:rsidRPr="00EA5418" w:rsidRDefault="00767611" w:rsidP="00767611">
      <w:pPr>
        <w:spacing w:line="276" w:lineRule="auto"/>
        <w:jc w:val="center"/>
        <w:rPr>
          <w:rFonts w:ascii="Rotis Sans Serif Std" w:hAnsi="Rotis Sans Serif Std" w:cs="RotisSansSerifStd-Regular"/>
          <w:b/>
          <w:color w:val="C00000"/>
          <w:lang w:eastAsia="es-ES_tradnl"/>
        </w:rPr>
      </w:pPr>
      <w:r w:rsidRPr="00EA5418">
        <w:rPr>
          <w:rFonts w:ascii="Rotis Sans Serif Std" w:hAnsi="Rotis Sans Serif Std" w:cs="RotisSansSerifStd-Regular"/>
          <w:b/>
          <w:color w:val="C00000"/>
          <w:lang w:eastAsia="es-ES_tradnl"/>
        </w:rPr>
        <w:t>CONVENIS D’EMPRESA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276"/>
        <w:gridCol w:w="1701"/>
        <w:gridCol w:w="1417"/>
        <w:gridCol w:w="2127"/>
      </w:tblGrid>
      <w:tr w:rsidR="00767611" w:rsidRPr="00EA5418" w:rsidTr="00767611">
        <w:trPr>
          <w:trHeight w:val="628"/>
          <w:jc w:val="center"/>
        </w:trPr>
        <w:tc>
          <w:tcPr>
            <w:tcW w:w="1951" w:type="dxa"/>
            <w:tcBorders>
              <w:top w:val="single" w:sz="4" w:space="0" w:color="FFFFFF"/>
              <w:left w:val="single" w:sz="4" w:space="0" w:color="FFFFFF"/>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Distribució Territorial Convenis</w:t>
            </w:r>
          </w:p>
        </w:tc>
        <w:tc>
          <w:tcPr>
            <w:tcW w:w="1276"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b w:val="0"/>
                <w:color w:val="FFFFFF"/>
                <w:lang w:val="ca-ES"/>
              </w:rPr>
            </w:pPr>
            <w:r w:rsidRPr="003E2B63">
              <w:rPr>
                <w:b w:val="0"/>
                <w:color w:val="FFFFFF"/>
                <w:lang w:val="ca-ES"/>
              </w:rPr>
              <w:t>Convenis</w:t>
            </w:r>
          </w:p>
        </w:tc>
        <w:tc>
          <w:tcPr>
            <w:tcW w:w="1701"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b w:val="0"/>
                <w:color w:val="FFFFFF"/>
                <w:lang w:val="ca-ES"/>
              </w:rPr>
            </w:pPr>
            <w:r w:rsidRPr="003E2B63">
              <w:rPr>
                <w:b w:val="0"/>
                <w:color w:val="FFFFFF"/>
                <w:lang w:val="ca-ES"/>
              </w:rPr>
              <w:t>Treballadors</w:t>
            </w:r>
          </w:p>
        </w:tc>
        <w:tc>
          <w:tcPr>
            <w:tcW w:w="1417"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b w:val="0"/>
                <w:color w:val="FFFFFF"/>
                <w:lang w:val="ca-ES"/>
              </w:rPr>
            </w:pPr>
            <w:r w:rsidRPr="003E2B63">
              <w:rPr>
                <w:b w:val="0"/>
                <w:color w:val="FFFFFF"/>
                <w:lang w:val="ca-ES"/>
              </w:rPr>
              <w:t>Variació Salarial (%)</w:t>
            </w:r>
          </w:p>
        </w:tc>
        <w:tc>
          <w:tcPr>
            <w:tcW w:w="2127"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b w:val="0"/>
                <w:color w:val="FFFFFF"/>
                <w:lang w:val="ca-ES"/>
              </w:rPr>
            </w:pPr>
            <w:r w:rsidRPr="003E2B63">
              <w:rPr>
                <w:b w:val="0"/>
                <w:color w:val="FFFFFF"/>
                <w:lang w:val="ca-ES"/>
              </w:rPr>
              <w:t>Jornada mitjana (h/any)</w:t>
            </w:r>
          </w:p>
        </w:tc>
      </w:tr>
      <w:tr w:rsidR="00DB0C51" w:rsidRPr="00EA5418" w:rsidTr="006534D6">
        <w:trPr>
          <w:jc w:val="center"/>
        </w:trPr>
        <w:tc>
          <w:tcPr>
            <w:tcW w:w="1951"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Autonòmics</w:t>
            </w:r>
          </w:p>
        </w:tc>
        <w:tc>
          <w:tcPr>
            <w:tcW w:w="1276"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2</w:t>
            </w:r>
          </w:p>
        </w:tc>
        <w:tc>
          <w:tcPr>
            <w:tcW w:w="1701"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351</w:t>
            </w:r>
          </w:p>
        </w:tc>
        <w:tc>
          <w:tcPr>
            <w:tcW w:w="1417"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0,99</w:t>
            </w:r>
          </w:p>
        </w:tc>
        <w:tc>
          <w:tcPr>
            <w:tcW w:w="2127" w:type="dxa"/>
            <w:tcBorders>
              <w:top w:val="single" w:sz="24" w:space="0" w:color="FFFFFF"/>
              <w:left w:val="single" w:sz="24" w:space="0" w:color="FFFFFF"/>
              <w:right w:val="single" w:sz="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1.799,17</w:t>
            </w:r>
          </w:p>
        </w:tc>
      </w:tr>
      <w:tr w:rsidR="00DB0C51" w:rsidRPr="00EA5418" w:rsidTr="006534D6">
        <w:trPr>
          <w:jc w:val="center"/>
        </w:trPr>
        <w:tc>
          <w:tcPr>
            <w:tcW w:w="1951"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Barcelona</w:t>
            </w:r>
          </w:p>
        </w:tc>
        <w:tc>
          <w:tcPr>
            <w:tcW w:w="1276"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166</w:t>
            </w:r>
          </w:p>
        </w:tc>
        <w:tc>
          <w:tcPr>
            <w:tcW w:w="1701"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29.849</w:t>
            </w:r>
          </w:p>
        </w:tc>
        <w:tc>
          <w:tcPr>
            <w:tcW w:w="1417"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1,10</w:t>
            </w:r>
          </w:p>
        </w:tc>
        <w:tc>
          <w:tcPr>
            <w:tcW w:w="2127" w:type="dxa"/>
            <w:tcBorders>
              <w:top w:val="single" w:sz="24" w:space="0" w:color="FFFFFF"/>
              <w:left w:val="single" w:sz="24" w:space="0" w:color="FFFFFF"/>
              <w:right w:val="single" w:sz="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1.726,64</w:t>
            </w:r>
          </w:p>
        </w:tc>
      </w:tr>
      <w:tr w:rsidR="00DB0C51" w:rsidRPr="00EA5418" w:rsidTr="006534D6">
        <w:trPr>
          <w:jc w:val="center"/>
        </w:trPr>
        <w:tc>
          <w:tcPr>
            <w:tcW w:w="1951"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Girona</w:t>
            </w:r>
          </w:p>
        </w:tc>
        <w:tc>
          <w:tcPr>
            <w:tcW w:w="1276"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25</w:t>
            </w:r>
          </w:p>
        </w:tc>
        <w:tc>
          <w:tcPr>
            <w:tcW w:w="1701"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1.182</w:t>
            </w:r>
          </w:p>
        </w:tc>
        <w:tc>
          <w:tcPr>
            <w:tcW w:w="1417"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1,05</w:t>
            </w:r>
          </w:p>
        </w:tc>
        <w:tc>
          <w:tcPr>
            <w:tcW w:w="2127" w:type="dxa"/>
            <w:tcBorders>
              <w:top w:val="single" w:sz="24" w:space="0" w:color="FFFFFF"/>
              <w:left w:val="single" w:sz="24" w:space="0" w:color="FFFFFF"/>
              <w:right w:val="single" w:sz="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1.710,05</w:t>
            </w:r>
          </w:p>
        </w:tc>
      </w:tr>
      <w:tr w:rsidR="00DB0C51" w:rsidRPr="00EA5418" w:rsidTr="006534D6">
        <w:trPr>
          <w:jc w:val="center"/>
        </w:trPr>
        <w:tc>
          <w:tcPr>
            <w:tcW w:w="1951"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Lleida</w:t>
            </w:r>
          </w:p>
        </w:tc>
        <w:tc>
          <w:tcPr>
            <w:tcW w:w="1276"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6</w:t>
            </w:r>
          </w:p>
        </w:tc>
        <w:tc>
          <w:tcPr>
            <w:tcW w:w="1701"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710</w:t>
            </w:r>
          </w:p>
        </w:tc>
        <w:tc>
          <w:tcPr>
            <w:tcW w:w="1417"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0,48</w:t>
            </w:r>
          </w:p>
        </w:tc>
        <w:tc>
          <w:tcPr>
            <w:tcW w:w="2127" w:type="dxa"/>
            <w:tcBorders>
              <w:top w:val="single" w:sz="24" w:space="0" w:color="FFFFFF"/>
              <w:left w:val="single" w:sz="24" w:space="0" w:color="FFFFFF"/>
              <w:right w:val="single" w:sz="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1.758,96</w:t>
            </w:r>
          </w:p>
        </w:tc>
      </w:tr>
      <w:tr w:rsidR="00DB0C51" w:rsidRPr="00EA5418" w:rsidTr="006534D6">
        <w:trPr>
          <w:jc w:val="center"/>
        </w:trPr>
        <w:tc>
          <w:tcPr>
            <w:tcW w:w="1951"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Tarragona</w:t>
            </w:r>
          </w:p>
        </w:tc>
        <w:tc>
          <w:tcPr>
            <w:tcW w:w="1276"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35</w:t>
            </w:r>
          </w:p>
        </w:tc>
        <w:tc>
          <w:tcPr>
            <w:tcW w:w="1701"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7.620</w:t>
            </w:r>
          </w:p>
        </w:tc>
        <w:tc>
          <w:tcPr>
            <w:tcW w:w="1417" w:type="dxa"/>
            <w:tcBorders>
              <w:top w:val="single" w:sz="24" w:space="0" w:color="FFFFFF"/>
              <w:left w:val="single" w:sz="24" w:space="0" w:color="FFFFFF"/>
              <w:bottom w:val="single" w:sz="4" w:space="0" w:color="FFFFFF"/>
              <w:right w:val="single" w:sz="2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0,93</w:t>
            </w:r>
          </w:p>
        </w:tc>
        <w:tc>
          <w:tcPr>
            <w:tcW w:w="2127" w:type="dxa"/>
            <w:tcBorders>
              <w:top w:val="single" w:sz="24" w:space="0" w:color="FFFFFF"/>
              <w:left w:val="single" w:sz="24" w:space="0" w:color="FFFFFF"/>
              <w:right w:val="single" w:sz="4" w:space="0" w:color="FFFFFF"/>
            </w:tcBorders>
            <w:shd w:val="clear" w:color="auto" w:fill="F2DBDB"/>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1.753,98</w:t>
            </w:r>
          </w:p>
        </w:tc>
      </w:tr>
      <w:tr w:rsidR="00DB0C51" w:rsidRPr="00EA5418" w:rsidTr="00DB0C51">
        <w:trPr>
          <w:jc w:val="center"/>
        </w:trPr>
        <w:tc>
          <w:tcPr>
            <w:tcW w:w="1951" w:type="dxa"/>
            <w:tcBorders>
              <w:top w:val="single" w:sz="24" w:space="0" w:color="FFFFFF"/>
              <w:left w:val="single" w:sz="4" w:space="0" w:color="FFFFFF"/>
              <w:bottom w:val="single" w:sz="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color w:val="FFFFFF"/>
                <w:lang w:val="ca-ES"/>
              </w:rPr>
            </w:pPr>
            <w:r w:rsidRPr="003E2B63">
              <w:rPr>
                <w:color w:val="FFFFFF"/>
                <w:lang w:val="ca-ES"/>
              </w:rPr>
              <w:t>TOTAL CATALUNYA</w:t>
            </w:r>
          </w:p>
        </w:tc>
        <w:tc>
          <w:tcPr>
            <w:tcW w:w="127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cs="RotisSansSerifStd-Regular"/>
                <w:b/>
                <w:color w:val="5E6061"/>
                <w:sz w:val="22"/>
                <w:szCs w:val="22"/>
                <w:lang w:eastAsia="es-ES_tradnl"/>
              </w:rPr>
            </w:pPr>
            <w:r w:rsidRPr="00DB0C51">
              <w:rPr>
                <w:rFonts w:ascii="Rotis Sans Serif Std" w:hAnsi="Rotis Sans Serif Std" w:cs="RotisSansSerifStd-Regular"/>
                <w:b/>
                <w:color w:val="5E6061"/>
                <w:sz w:val="22"/>
                <w:szCs w:val="22"/>
                <w:lang w:eastAsia="es-ES_tradnl"/>
              </w:rPr>
              <w:t>234</w:t>
            </w:r>
          </w:p>
        </w:tc>
        <w:tc>
          <w:tcPr>
            <w:tcW w:w="170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cs="RotisSansSerifStd-Regular"/>
                <w:b/>
                <w:color w:val="5E6061"/>
                <w:sz w:val="22"/>
                <w:szCs w:val="22"/>
                <w:lang w:eastAsia="es-ES_tradnl"/>
              </w:rPr>
            </w:pPr>
            <w:r w:rsidRPr="00DB0C51">
              <w:rPr>
                <w:rFonts w:ascii="Rotis Sans Serif Std" w:hAnsi="Rotis Sans Serif Std" w:cs="RotisSansSerifStd-Regular"/>
                <w:b/>
                <w:color w:val="5E6061"/>
                <w:sz w:val="22"/>
                <w:szCs w:val="22"/>
                <w:lang w:eastAsia="es-ES_tradnl"/>
              </w:rPr>
              <w:t>39.712</w:t>
            </w:r>
          </w:p>
        </w:tc>
        <w:tc>
          <w:tcPr>
            <w:tcW w:w="1417"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cs="RotisSansSerifStd-Regular"/>
                <w:b/>
                <w:color w:val="5E6061"/>
                <w:sz w:val="22"/>
                <w:szCs w:val="22"/>
                <w:lang w:eastAsia="es-ES_tradnl"/>
              </w:rPr>
            </w:pPr>
            <w:r w:rsidRPr="00DB0C51">
              <w:rPr>
                <w:rFonts w:ascii="Rotis Sans Serif Std" w:hAnsi="Rotis Sans Serif Std" w:cs="RotisSansSerifStd-Regular"/>
                <w:b/>
                <w:color w:val="5E6061"/>
                <w:sz w:val="22"/>
                <w:szCs w:val="22"/>
                <w:lang w:eastAsia="es-ES_tradnl"/>
              </w:rPr>
              <w:t>1,05</w:t>
            </w:r>
          </w:p>
        </w:tc>
        <w:tc>
          <w:tcPr>
            <w:tcW w:w="2127" w:type="dxa"/>
            <w:tcBorders>
              <w:top w:val="single" w:sz="24" w:space="0" w:color="FFFFFF"/>
              <w:left w:val="single" w:sz="24" w:space="0" w:color="FFFFFF"/>
              <w:bottom w:val="single" w:sz="4" w:space="0" w:color="FFFFFF"/>
              <w:right w:val="single" w:sz="4" w:space="0" w:color="FFFFFF"/>
            </w:tcBorders>
            <w:shd w:val="clear" w:color="auto" w:fill="F2DBDB"/>
            <w:vAlign w:val="center"/>
          </w:tcPr>
          <w:p w:rsidR="00DB0C51" w:rsidRPr="00DB0C51" w:rsidRDefault="00DB0C51" w:rsidP="00DB0C51">
            <w:pPr>
              <w:jc w:val="center"/>
              <w:rPr>
                <w:rFonts w:ascii="Rotis Sans Serif Std" w:hAnsi="Rotis Sans Serif Std" w:cs="RotisSansSerifStd-Regular"/>
                <w:b/>
                <w:color w:val="5E6061"/>
                <w:sz w:val="22"/>
                <w:szCs w:val="22"/>
                <w:lang w:eastAsia="es-ES_tradnl"/>
              </w:rPr>
            </w:pPr>
            <w:r w:rsidRPr="00DB0C51">
              <w:rPr>
                <w:rFonts w:ascii="Rotis Sans Serif Std" w:hAnsi="Rotis Sans Serif Std" w:cs="RotisSansSerifStd-Regular"/>
                <w:b/>
                <w:color w:val="5E6061"/>
                <w:sz w:val="22"/>
                <w:szCs w:val="22"/>
                <w:lang w:eastAsia="es-ES_tradnl"/>
              </w:rPr>
              <w:t>1.732,61</w:t>
            </w:r>
          </w:p>
        </w:tc>
      </w:tr>
    </w:tbl>
    <w:p w:rsidR="00767611" w:rsidRDefault="00767611" w:rsidP="00767611">
      <w:pPr>
        <w:pStyle w:val="TEXTBOLD"/>
        <w:spacing w:line="276" w:lineRule="auto"/>
        <w:ind w:left="720"/>
        <w:jc w:val="center"/>
        <w:rPr>
          <w:b w:val="0"/>
          <w:lang w:val="ca-ES"/>
        </w:rPr>
      </w:pPr>
      <w:r w:rsidRPr="00EA5418">
        <w:rPr>
          <w:b w:val="0"/>
          <w:color w:val="404040"/>
          <w:sz w:val="18"/>
          <w:lang w:val="ca-ES"/>
        </w:rPr>
        <w:t xml:space="preserve">Font: Elaboració pròpia a partir de les dades del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p>
    <w:p w:rsidR="003637D6" w:rsidRDefault="003637D6" w:rsidP="00767611">
      <w:pPr>
        <w:pStyle w:val="TEXTBOLD"/>
        <w:spacing w:line="276" w:lineRule="auto"/>
        <w:jc w:val="center"/>
        <w:rPr>
          <w:color w:val="C00000"/>
          <w:sz w:val="24"/>
          <w:szCs w:val="24"/>
          <w:lang w:val="ca-ES"/>
        </w:rPr>
      </w:pPr>
    </w:p>
    <w:p w:rsidR="006534D6" w:rsidRDefault="006534D6" w:rsidP="00767611">
      <w:pPr>
        <w:pStyle w:val="TEXTBOLD"/>
        <w:spacing w:line="276" w:lineRule="auto"/>
        <w:jc w:val="center"/>
        <w:rPr>
          <w:color w:val="C00000"/>
          <w:sz w:val="24"/>
          <w:szCs w:val="24"/>
          <w:lang w:val="ca-ES"/>
        </w:rPr>
      </w:pPr>
    </w:p>
    <w:p w:rsidR="00312EC6" w:rsidRDefault="00312EC6" w:rsidP="00767611">
      <w:pPr>
        <w:pStyle w:val="TEXTBOLD"/>
        <w:spacing w:line="276" w:lineRule="auto"/>
        <w:jc w:val="center"/>
        <w:rPr>
          <w:color w:val="C00000"/>
          <w:sz w:val="24"/>
          <w:szCs w:val="24"/>
          <w:lang w:val="ca-ES"/>
        </w:rPr>
      </w:pPr>
    </w:p>
    <w:p w:rsidR="00767611" w:rsidRPr="00EA5418" w:rsidRDefault="00767611" w:rsidP="00767611">
      <w:pPr>
        <w:pStyle w:val="TEXTBOLD"/>
        <w:spacing w:line="276" w:lineRule="auto"/>
        <w:jc w:val="center"/>
        <w:rPr>
          <w:color w:val="C00000"/>
          <w:sz w:val="24"/>
          <w:szCs w:val="24"/>
          <w:lang w:val="ca-ES"/>
        </w:rPr>
      </w:pPr>
      <w:r w:rsidRPr="00EA5418">
        <w:rPr>
          <w:color w:val="C00000"/>
          <w:sz w:val="24"/>
          <w:szCs w:val="24"/>
          <w:lang w:val="ca-ES"/>
        </w:rPr>
        <w:t>CONVENIS D’ÀMBIT SUPERIOR A L’EMPRESA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276"/>
        <w:gridCol w:w="1701"/>
        <w:gridCol w:w="1417"/>
        <w:gridCol w:w="2127"/>
      </w:tblGrid>
      <w:tr w:rsidR="00767611" w:rsidRPr="00EA5418" w:rsidTr="00767611">
        <w:trPr>
          <w:trHeight w:val="628"/>
          <w:jc w:val="center"/>
        </w:trPr>
        <w:tc>
          <w:tcPr>
            <w:tcW w:w="1951" w:type="dxa"/>
            <w:tcBorders>
              <w:top w:val="single" w:sz="4" w:space="0" w:color="FFFFFF"/>
              <w:left w:val="single" w:sz="4" w:space="0" w:color="FFFFFF"/>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Distribució Territorial Convenis</w:t>
            </w:r>
          </w:p>
        </w:tc>
        <w:tc>
          <w:tcPr>
            <w:tcW w:w="1276"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b w:val="0"/>
                <w:color w:val="FFFFFF"/>
                <w:lang w:val="ca-ES"/>
              </w:rPr>
            </w:pPr>
            <w:r w:rsidRPr="003E2B63">
              <w:rPr>
                <w:b w:val="0"/>
                <w:color w:val="FFFFFF"/>
                <w:lang w:val="ca-ES"/>
              </w:rPr>
              <w:t>Convenis</w:t>
            </w:r>
          </w:p>
        </w:tc>
        <w:tc>
          <w:tcPr>
            <w:tcW w:w="1701"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b w:val="0"/>
                <w:color w:val="FFFFFF"/>
                <w:lang w:val="ca-ES"/>
              </w:rPr>
            </w:pPr>
            <w:r w:rsidRPr="003E2B63">
              <w:rPr>
                <w:b w:val="0"/>
                <w:color w:val="FFFFFF"/>
                <w:lang w:val="ca-ES"/>
              </w:rPr>
              <w:t>Treballadors</w:t>
            </w:r>
          </w:p>
        </w:tc>
        <w:tc>
          <w:tcPr>
            <w:tcW w:w="1417"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b w:val="0"/>
                <w:color w:val="FFFFFF"/>
                <w:lang w:val="ca-ES"/>
              </w:rPr>
            </w:pPr>
            <w:r w:rsidRPr="003E2B63">
              <w:rPr>
                <w:b w:val="0"/>
                <w:color w:val="FFFFFF"/>
                <w:lang w:val="ca-ES"/>
              </w:rPr>
              <w:t>Variació Salarial (%)</w:t>
            </w:r>
          </w:p>
        </w:tc>
        <w:tc>
          <w:tcPr>
            <w:tcW w:w="2127"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b w:val="0"/>
                <w:color w:val="FFFFFF"/>
                <w:lang w:val="ca-ES"/>
              </w:rPr>
            </w:pPr>
            <w:r w:rsidRPr="003E2B63">
              <w:rPr>
                <w:b w:val="0"/>
                <w:color w:val="FFFFFF"/>
                <w:lang w:val="ca-ES"/>
              </w:rPr>
              <w:t>Jornada mitjana (h/any)</w:t>
            </w:r>
          </w:p>
        </w:tc>
      </w:tr>
      <w:tr w:rsidR="00DB0C51" w:rsidRPr="00EA5418" w:rsidTr="00DB0C51">
        <w:trPr>
          <w:jc w:val="center"/>
        </w:trPr>
        <w:tc>
          <w:tcPr>
            <w:tcW w:w="1951"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Autonòmics</w:t>
            </w:r>
          </w:p>
        </w:tc>
        <w:tc>
          <w:tcPr>
            <w:tcW w:w="127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21</w:t>
            </w:r>
          </w:p>
        </w:tc>
        <w:tc>
          <w:tcPr>
            <w:tcW w:w="170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443.375</w:t>
            </w:r>
          </w:p>
        </w:tc>
        <w:tc>
          <w:tcPr>
            <w:tcW w:w="1417"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1,64</w:t>
            </w:r>
          </w:p>
        </w:tc>
        <w:tc>
          <w:tcPr>
            <w:tcW w:w="2127" w:type="dxa"/>
            <w:tcBorders>
              <w:top w:val="single" w:sz="24" w:space="0" w:color="FFFFFF"/>
              <w:left w:val="single" w:sz="24" w:space="0" w:color="FFFFFF"/>
              <w:right w:val="single" w:sz="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1.772,83</w:t>
            </w:r>
          </w:p>
        </w:tc>
      </w:tr>
      <w:tr w:rsidR="00DB0C51" w:rsidRPr="00EA5418" w:rsidTr="00DB0C51">
        <w:trPr>
          <w:jc w:val="center"/>
        </w:trPr>
        <w:tc>
          <w:tcPr>
            <w:tcW w:w="1951"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Barcelona</w:t>
            </w:r>
          </w:p>
        </w:tc>
        <w:tc>
          <w:tcPr>
            <w:tcW w:w="127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22</w:t>
            </w:r>
          </w:p>
        </w:tc>
        <w:tc>
          <w:tcPr>
            <w:tcW w:w="170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46.845</w:t>
            </w:r>
          </w:p>
        </w:tc>
        <w:tc>
          <w:tcPr>
            <w:tcW w:w="1417"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1,42</w:t>
            </w:r>
          </w:p>
        </w:tc>
        <w:tc>
          <w:tcPr>
            <w:tcW w:w="2127" w:type="dxa"/>
            <w:tcBorders>
              <w:top w:val="single" w:sz="24" w:space="0" w:color="FFFFFF"/>
              <w:left w:val="single" w:sz="24" w:space="0" w:color="FFFFFF"/>
              <w:right w:val="single" w:sz="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1.778,95</w:t>
            </w:r>
          </w:p>
        </w:tc>
      </w:tr>
      <w:tr w:rsidR="00DB0C51" w:rsidRPr="00EA5418" w:rsidTr="00DB0C51">
        <w:trPr>
          <w:jc w:val="center"/>
        </w:trPr>
        <w:tc>
          <w:tcPr>
            <w:tcW w:w="1951"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Girona</w:t>
            </w:r>
          </w:p>
        </w:tc>
        <w:tc>
          <w:tcPr>
            <w:tcW w:w="127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6</w:t>
            </w:r>
          </w:p>
        </w:tc>
        <w:tc>
          <w:tcPr>
            <w:tcW w:w="170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94.711</w:t>
            </w:r>
          </w:p>
        </w:tc>
        <w:tc>
          <w:tcPr>
            <w:tcW w:w="1417"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1,99</w:t>
            </w:r>
          </w:p>
        </w:tc>
        <w:tc>
          <w:tcPr>
            <w:tcW w:w="2127" w:type="dxa"/>
            <w:tcBorders>
              <w:top w:val="single" w:sz="24" w:space="0" w:color="FFFFFF"/>
              <w:left w:val="single" w:sz="24" w:space="0" w:color="FFFFFF"/>
              <w:right w:val="single" w:sz="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1.799,67</w:t>
            </w:r>
          </w:p>
        </w:tc>
      </w:tr>
      <w:tr w:rsidR="00DB0C51" w:rsidRPr="00EA5418" w:rsidTr="00DB0C51">
        <w:trPr>
          <w:jc w:val="center"/>
        </w:trPr>
        <w:tc>
          <w:tcPr>
            <w:tcW w:w="1951"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Lleida</w:t>
            </w:r>
          </w:p>
        </w:tc>
        <w:tc>
          <w:tcPr>
            <w:tcW w:w="127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6</w:t>
            </w:r>
          </w:p>
        </w:tc>
        <w:tc>
          <w:tcPr>
            <w:tcW w:w="170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44.113</w:t>
            </w:r>
          </w:p>
        </w:tc>
        <w:tc>
          <w:tcPr>
            <w:tcW w:w="1417"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1,70</w:t>
            </w:r>
          </w:p>
        </w:tc>
        <w:tc>
          <w:tcPr>
            <w:tcW w:w="2127" w:type="dxa"/>
            <w:tcBorders>
              <w:top w:val="single" w:sz="24" w:space="0" w:color="FFFFFF"/>
              <w:left w:val="single" w:sz="24" w:space="0" w:color="FFFFFF"/>
              <w:right w:val="single" w:sz="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1.766,35</w:t>
            </w:r>
          </w:p>
        </w:tc>
      </w:tr>
      <w:tr w:rsidR="00DB0C51" w:rsidRPr="00EA5418" w:rsidTr="00DB0C51">
        <w:trPr>
          <w:jc w:val="center"/>
        </w:trPr>
        <w:tc>
          <w:tcPr>
            <w:tcW w:w="1951"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b w:val="0"/>
                <w:color w:val="FFFFFF"/>
                <w:lang w:val="ca-ES"/>
              </w:rPr>
            </w:pPr>
            <w:r w:rsidRPr="003E2B63">
              <w:rPr>
                <w:b w:val="0"/>
                <w:color w:val="FFFFFF"/>
                <w:lang w:val="ca-ES"/>
              </w:rPr>
              <w:t>Tarragona</w:t>
            </w:r>
          </w:p>
        </w:tc>
        <w:tc>
          <w:tcPr>
            <w:tcW w:w="127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8</w:t>
            </w:r>
          </w:p>
        </w:tc>
        <w:tc>
          <w:tcPr>
            <w:tcW w:w="170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14.300</w:t>
            </w:r>
          </w:p>
        </w:tc>
        <w:tc>
          <w:tcPr>
            <w:tcW w:w="1417"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1,44</w:t>
            </w:r>
          </w:p>
        </w:tc>
        <w:tc>
          <w:tcPr>
            <w:tcW w:w="2127" w:type="dxa"/>
            <w:tcBorders>
              <w:top w:val="single" w:sz="24" w:space="0" w:color="FFFFFF"/>
              <w:left w:val="single" w:sz="24" w:space="0" w:color="FFFFFF"/>
              <w:right w:val="single" w:sz="4" w:space="0" w:color="FFFFFF"/>
            </w:tcBorders>
            <w:shd w:val="clear" w:color="auto" w:fill="F2DBDB"/>
            <w:vAlign w:val="center"/>
          </w:tcPr>
          <w:p w:rsidR="00DB0C51" w:rsidRPr="00DB0C51" w:rsidRDefault="00DB0C51" w:rsidP="00DB0C51">
            <w:pPr>
              <w:jc w:val="center"/>
              <w:rPr>
                <w:rFonts w:ascii="Rotis Sans Serif Std" w:hAnsi="Rotis Sans Serif Std"/>
                <w:sz w:val="22"/>
                <w:szCs w:val="22"/>
                <w:lang w:eastAsia="es-ES_tradnl"/>
              </w:rPr>
            </w:pPr>
            <w:r w:rsidRPr="00DB0C51">
              <w:rPr>
                <w:rFonts w:ascii="Rotis Sans Serif Std" w:hAnsi="Rotis Sans Serif Std"/>
                <w:sz w:val="22"/>
                <w:szCs w:val="22"/>
                <w:lang w:eastAsia="es-ES_tradnl"/>
              </w:rPr>
              <w:t>1.784,63</w:t>
            </w:r>
          </w:p>
        </w:tc>
      </w:tr>
      <w:tr w:rsidR="00DB0C51" w:rsidRPr="00EA5418" w:rsidTr="00DB0C51">
        <w:trPr>
          <w:jc w:val="center"/>
        </w:trPr>
        <w:tc>
          <w:tcPr>
            <w:tcW w:w="1951" w:type="dxa"/>
            <w:tcBorders>
              <w:top w:val="single" w:sz="24" w:space="0" w:color="FFFFFF"/>
              <w:left w:val="single" w:sz="4" w:space="0" w:color="FFFFFF"/>
              <w:bottom w:val="single" w:sz="4" w:space="0" w:color="FFFFFF"/>
              <w:right w:val="single" w:sz="24" w:space="0" w:color="FFFFFF"/>
            </w:tcBorders>
            <w:shd w:val="clear" w:color="auto" w:fill="C00000"/>
            <w:vAlign w:val="center"/>
          </w:tcPr>
          <w:p w:rsidR="00DB0C51" w:rsidRPr="003E2B63" w:rsidRDefault="00DB0C51" w:rsidP="00767611">
            <w:pPr>
              <w:pStyle w:val="TEXTBOLD"/>
              <w:spacing w:line="276" w:lineRule="auto"/>
              <w:jc w:val="center"/>
              <w:rPr>
                <w:color w:val="FFFFFF"/>
                <w:lang w:val="ca-ES"/>
              </w:rPr>
            </w:pPr>
            <w:r w:rsidRPr="003E2B63">
              <w:rPr>
                <w:color w:val="FFFFFF"/>
                <w:lang w:val="ca-ES"/>
              </w:rPr>
              <w:t>TOTAL CATALUNYA</w:t>
            </w:r>
          </w:p>
        </w:tc>
        <w:tc>
          <w:tcPr>
            <w:tcW w:w="127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cs="RotisSansSerifStd-Regular"/>
                <w:b/>
                <w:color w:val="5E6061"/>
                <w:sz w:val="22"/>
                <w:szCs w:val="22"/>
                <w:lang w:eastAsia="es-ES_tradnl"/>
              </w:rPr>
            </w:pPr>
            <w:r w:rsidRPr="00DB0C51">
              <w:rPr>
                <w:rFonts w:ascii="Rotis Sans Serif Std" w:hAnsi="Rotis Sans Serif Std" w:cs="RotisSansSerifStd-Regular"/>
                <w:b/>
                <w:color w:val="5E6061"/>
                <w:sz w:val="22"/>
                <w:szCs w:val="22"/>
                <w:lang w:eastAsia="es-ES_tradnl"/>
              </w:rPr>
              <w:t>63</w:t>
            </w:r>
          </w:p>
        </w:tc>
        <w:tc>
          <w:tcPr>
            <w:tcW w:w="170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cs="RotisSansSerifStd-Regular"/>
                <w:b/>
                <w:color w:val="5E6061"/>
                <w:sz w:val="22"/>
                <w:szCs w:val="22"/>
                <w:lang w:eastAsia="es-ES_tradnl"/>
              </w:rPr>
            </w:pPr>
            <w:r w:rsidRPr="00DB0C51">
              <w:rPr>
                <w:rFonts w:ascii="Rotis Sans Serif Std" w:hAnsi="Rotis Sans Serif Std" w:cs="RotisSansSerifStd-Regular"/>
                <w:b/>
                <w:color w:val="5E6061"/>
                <w:sz w:val="22"/>
                <w:szCs w:val="22"/>
                <w:lang w:eastAsia="es-ES_tradnl"/>
              </w:rPr>
              <w:t>643.344</w:t>
            </w:r>
          </w:p>
        </w:tc>
        <w:tc>
          <w:tcPr>
            <w:tcW w:w="1417"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B0C51" w:rsidRPr="00DB0C51" w:rsidRDefault="00DB0C51" w:rsidP="00DB0C51">
            <w:pPr>
              <w:jc w:val="center"/>
              <w:rPr>
                <w:rFonts w:ascii="Rotis Sans Serif Std" w:hAnsi="Rotis Sans Serif Std" w:cs="RotisSansSerifStd-Regular"/>
                <w:b/>
                <w:color w:val="5E6061"/>
                <w:sz w:val="22"/>
                <w:szCs w:val="22"/>
                <w:lang w:eastAsia="es-ES_tradnl"/>
              </w:rPr>
            </w:pPr>
            <w:r w:rsidRPr="00DB0C51">
              <w:rPr>
                <w:rFonts w:ascii="Rotis Sans Serif Std" w:hAnsi="Rotis Sans Serif Std" w:cs="RotisSansSerifStd-Regular"/>
                <w:b/>
                <w:color w:val="5E6061"/>
                <w:sz w:val="22"/>
                <w:szCs w:val="22"/>
                <w:lang w:eastAsia="es-ES_tradnl"/>
              </w:rPr>
              <w:t>1,67</w:t>
            </w:r>
          </w:p>
        </w:tc>
        <w:tc>
          <w:tcPr>
            <w:tcW w:w="2127" w:type="dxa"/>
            <w:tcBorders>
              <w:top w:val="single" w:sz="24" w:space="0" w:color="FFFFFF"/>
              <w:left w:val="single" w:sz="24" w:space="0" w:color="FFFFFF"/>
              <w:bottom w:val="single" w:sz="4" w:space="0" w:color="FFFFFF"/>
              <w:right w:val="single" w:sz="4" w:space="0" w:color="FFFFFF"/>
            </w:tcBorders>
            <w:shd w:val="clear" w:color="auto" w:fill="F2DBDB"/>
            <w:vAlign w:val="center"/>
          </w:tcPr>
          <w:p w:rsidR="00DB0C51" w:rsidRPr="00DB0C51" w:rsidRDefault="00DB0C51" w:rsidP="00DB0C51">
            <w:pPr>
              <w:jc w:val="center"/>
              <w:rPr>
                <w:rFonts w:ascii="Rotis Sans Serif Std" w:hAnsi="Rotis Sans Serif Std" w:cs="RotisSansSerifStd-Regular"/>
                <w:b/>
                <w:color w:val="5E6061"/>
                <w:sz w:val="22"/>
                <w:szCs w:val="22"/>
                <w:lang w:eastAsia="es-ES_tradnl"/>
              </w:rPr>
            </w:pPr>
            <w:r w:rsidRPr="00DB0C51">
              <w:rPr>
                <w:rFonts w:ascii="Rotis Sans Serif Std" w:hAnsi="Rotis Sans Serif Std" w:cs="RotisSansSerifStd-Regular"/>
                <w:b/>
                <w:color w:val="5E6061"/>
                <w:sz w:val="22"/>
                <w:szCs w:val="22"/>
                <w:lang w:eastAsia="es-ES_tradnl"/>
              </w:rPr>
              <w:t>1.777,04</w:t>
            </w:r>
          </w:p>
        </w:tc>
      </w:tr>
    </w:tbl>
    <w:p w:rsidR="00767611" w:rsidRPr="00EA5418" w:rsidRDefault="00767611" w:rsidP="00767611">
      <w:pPr>
        <w:pStyle w:val="TEXTBOLD"/>
        <w:spacing w:line="276" w:lineRule="auto"/>
        <w:ind w:left="720"/>
        <w:jc w:val="center"/>
        <w:rPr>
          <w:b w:val="0"/>
          <w:lang w:val="ca-ES"/>
        </w:rPr>
      </w:pPr>
      <w:r w:rsidRPr="00EA5418">
        <w:rPr>
          <w:b w:val="0"/>
          <w:color w:val="404040"/>
          <w:sz w:val="18"/>
          <w:lang w:val="ca-ES"/>
        </w:rPr>
        <w:t xml:space="preserve">Font: Elaboració pròpia a partir de les dades del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p>
    <w:p w:rsidR="00767611" w:rsidRPr="00EA5418" w:rsidRDefault="00767611" w:rsidP="00767611">
      <w:pPr>
        <w:pStyle w:val="TEXTBOLD"/>
        <w:spacing w:line="276" w:lineRule="auto"/>
        <w:rPr>
          <w:lang w:val="ca-ES"/>
        </w:rPr>
      </w:pPr>
    </w:p>
    <w:p w:rsidR="00767611" w:rsidRPr="00EA5418" w:rsidRDefault="00767611" w:rsidP="00767611">
      <w:pPr>
        <w:pStyle w:val="TEXTBOLD"/>
        <w:spacing w:line="276" w:lineRule="auto"/>
        <w:rPr>
          <w:b w:val="0"/>
          <w:color w:val="404040"/>
          <w:sz w:val="24"/>
          <w:szCs w:val="24"/>
          <w:lang w:val="ca-ES"/>
        </w:rPr>
      </w:pPr>
      <w:r w:rsidRPr="00D86BFA">
        <w:rPr>
          <w:b w:val="0"/>
          <w:sz w:val="24"/>
          <w:szCs w:val="24"/>
          <w:u w:val="single"/>
          <w:lang w:val="ca-ES"/>
        </w:rPr>
        <w:t>A nivell estatal</w:t>
      </w:r>
      <w:r w:rsidRPr="00EA5418">
        <w:rPr>
          <w:b w:val="0"/>
          <w:sz w:val="24"/>
          <w:szCs w:val="24"/>
          <w:lang w:val="ca-ES"/>
        </w:rPr>
        <w:t xml:space="preserve">, </w:t>
      </w:r>
      <w:r>
        <w:rPr>
          <w:b w:val="0"/>
          <w:sz w:val="24"/>
          <w:szCs w:val="24"/>
          <w:lang w:val="ca-ES"/>
        </w:rPr>
        <w:t xml:space="preserve">fins a 31 </w:t>
      </w:r>
      <w:r w:rsidR="0065744A">
        <w:rPr>
          <w:b w:val="0"/>
          <w:sz w:val="24"/>
          <w:szCs w:val="24"/>
          <w:lang w:val="ca-ES"/>
        </w:rPr>
        <w:t>d</w:t>
      </w:r>
      <w:r w:rsidR="00DB0C51">
        <w:rPr>
          <w:b w:val="0"/>
          <w:sz w:val="24"/>
          <w:szCs w:val="24"/>
          <w:lang w:val="ca-ES"/>
        </w:rPr>
        <w:t xml:space="preserve">’agost </w:t>
      </w:r>
      <w:r w:rsidR="0065744A">
        <w:rPr>
          <w:b w:val="0"/>
          <w:sz w:val="24"/>
          <w:szCs w:val="24"/>
          <w:lang w:val="ca-ES"/>
        </w:rPr>
        <w:t>201</w:t>
      </w:r>
      <w:r w:rsidR="008D369E">
        <w:rPr>
          <w:b w:val="0"/>
          <w:sz w:val="24"/>
          <w:szCs w:val="24"/>
          <w:lang w:val="ca-ES"/>
        </w:rPr>
        <w:t>8</w:t>
      </w:r>
      <w:r>
        <w:rPr>
          <w:b w:val="0"/>
          <w:sz w:val="24"/>
          <w:szCs w:val="24"/>
          <w:lang w:val="ca-ES"/>
        </w:rPr>
        <w:t xml:space="preserve"> </w:t>
      </w:r>
      <w:r w:rsidRPr="00EA5418">
        <w:rPr>
          <w:b w:val="0"/>
          <w:sz w:val="24"/>
          <w:szCs w:val="24"/>
          <w:lang w:val="ca-ES"/>
        </w:rPr>
        <w:t xml:space="preserve">s’han registrat un total de </w:t>
      </w:r>
      <w:r w:rsidR="00D561EF">
        <w:rPr>
          <w:b w:val="0"/>
          <w:sz w:val="24"/>
          <w:szCs w:val="24"/>
          <w:lang w:val="ca-ES"/>
        </w:rPr>
        <w:t>2.962</w:t>
      </w:r>
      <w:r>
        <w:rPr>
          <w:b w:val="0"/>
          <w:sz w:val="24"/>
          <w:szCs w:val="24"/>
          <w:lang w:val="ca-ES"/>
        </w:rPr>
        <w:t xml:space="preserve"> </w:t>
      </w:r>
      <w:r w:rsidRPr="00EA5418">
        <w:rPr>
          <w:b w:val="0"/>
          <w:sz w:val="24"/>
          <w:szCs w:val="24"/>
          <w:lang w:val="ca-ES"/>
        </w:rPr>
        <w:t xml:space="preserve">Convenis, afectant a </w:t>
      </w:r>
      <w:r w:rsidR="00D561EF">
        <w:rPr>
          <w:b w:val="0"/>
          <w:sz w:val="24"/>
          <w:szCs w:val="24"/>
          <w:lang w:val="ca-ES"/>
        </w:rPr>
        <w:t>7.526.712</w:t>
      </w:r>
      <w:r>
        <w:rPr>
          <w:b w:val="0"/>
          <w:sz w:val="24"/>
          <w:szCs w:val="24"/>
          <w:lang w:val="ca-ES"/>
        </w:rPr>
        <w:t xml:space="preserve"> </w:t>
      </w:r>
      <w:r w:rsidRPr="00EA5418">
        <w:rPr>
          <w:b w:val="0"/>
          <w:sz w:val="24"/>
          <w:szCs w:val="24"/>
          <w:lang w:val="ca-ES"/>
        </w:rPr>
        <w:t xml:space="preserve">treballadors i </w:t>
      </w:r>
      <w:r w:rsidR="00D561EF">
        <w:rPr>
          <w:b w:val="0"/>
          <w:sz w:val="24"/>
          <w:szCs w:val="24"/>
          <w:lang w:val="ca-ES"/>
        </w:rPr>
        <w:t>988.122</w:t>
      </w:r>
      <w:r>
        <w:rPr>
          <w:b w:val="0"/>
          <w:sz w:val="24"/>
          <w:szCs w:val="24"/>
          <w:lang w:val="ca-ES"/>
        </w:rPr>
        <w:t xml:space="preserve"> </w:t>
      </w:r>
      <w:r w:rsidRPr="00EA5418">
        <w:rPr>
          <w:b w:val="0"/>
          <w:sz w:val="24"/>
          <w:szCs w:val="24"/>
          <w:lang w:val="ca-ES"/>
        </w:rPr>
        <w:t>empreses.</w:t>
      </w:r>
    </w:p>
    <w:p w:rsidR="00151CBE" w:rsidRDefault="00151CBE" w:rsidP="00767611">
      <w:pPr>
        <w:pStyle w:val="TEXTBOLD"/>
        <w:spacing w:line="276" w:lineRule="auto"/>
        <w:rPr>
          <w:b w:val="0"/>
          <w:sz w:val="24"/>
          <w:szCs w:val="24"/>
          <w:lang w:val="ca-ES"/>
        </w:rPr>
      </w:pPr>
    </w:p>
    <w:p w:rsidR="00AD7280" w:rsidRDefault="00767611" w:rsidP="00AD7280">
      <w:pPr>
        <w:pStyle w:val="TEXTBOLD"/>
        <w:rPr>
          <w:b w:val="0"/>
          <w:sz w:val="24"/>
          <w:szCs w:val="24"/>
          <w:lang w:val="ca-ES"/>
        </w:rPr>
      </w:pPr>
      <w:r w:rsidRPr="00EA5418">
        <w:rPr>
          <w:b w:val="0"/>
          <w:sz w:val="24"/>
          <w:szCs w:val="24"/>
          <w:lang w:val="ca-ES"/>
        </w:rPr>
        <w:t xml:space="preserve">Si fem la comparació, a nivell interanual, observem que fins al mes </w:t>
      </w:r>
      <w:r w:rsidR="00D561EF">
        <w:rPr>
          <w:b w:val="0"/>
          <w:sz w:val="24"/>
          <w:szCs w:val="24"/>
          <w:lang w:val="ca-ES"/>
        </w:rPr>
        <w:t>d’agost</w:t>
      </w:r>
      <w:r w:rsidR="0065744A">
        <w:rPr>
          <w:b w:val="0"/>
          <w:sz w:val="24"/>
          <w:szCs w:val="24"/>
          <w:lang w:val="ca-ES"/>
        </w:rPr>
        <w:t xml:space="preserve"> de 201</w:t>
      </w:r>
      <w:r w:rsidR="00AD7280">
        <w:rPr>
          <w:b w:val="0"/>
          <w:sz w:val="24"/>
          <w:szCs w:val="24"/>
          <w:lang w:val="ca-ES"/>
        </w:rPr>
        <w:t>8</w:t>
      </w:r>
      <w:r w:rsidRPr="00EA5418">
        <w:rPr>
          <w:b w:val="0"/>
          <w:sz w:val="24"/>
          <w:szCs w:val="24"/>
          <w:lang w:val="ca-ES"/>
        </w:rPr>
        <w:t xml:space="preserve"> s’han registrat a nivell estatal </w:t>
      </w:r>
      <w:r w:rsidR="00D561EF">
        <w:rPr>
          <w:b w:val="0"/>
          <w:sz w:val="24"/>
          <w:szCs w:val="24"/>
          <w:lang w:val="ca-ES"/>
        </w:rPr>
        <w:t>261</w:t>
      </w:r>
      <w:r w:rsidR="0065744A">
        <w:rPr>
          <w:b w:val="0"/>
          <w:sz w:val="24"/>
          <w:szCs w:val="24"/>
          <w:lang w:val="ca-ES"/>
        </w:rPr>
        <w:t xml:space="preserve"> </w:t>
      </w:r>
      <w:r w:rsidRPr="00EA5418">
        <w:rPr>
          <w:b w:val="0"/>
          <w:sz w:val="24"/>
          <w:szCs w:val="24"/>
          <w:lang w:val="ca-ES"/>
        </w:rPr>
        <w:t>Convenis més (</w:t>
      </w:r>
      <w:r w:rsidR="00D561EF">
        <w:rPr>
          <w:b w:val="0"/>
          <w:sz w:val="24"/>
          <w:szCs w:val="24"/>
          <w:lang w:val="ca-ES"/>
        </w:rPr>
        <w:t>9,66</w:t>
      </w:r>
      <w:r w:rsidRPr="00EA5418">
        <w:rPr>
          <w:b w:val="0"/>
          <w:sz w:val="24"/>
          <w:szCs w:val="24"/>
          <w:lang w:val="ca-ES"/>
        </w:rPr>
        <w:t xml:space="preserve">%), </w:t>
      </w:r>
      <w:r w:rsidR="00AD7280">
        <w:rPr>
          <w:b w:val="0"/>
          <w:sz w:val="24"/>
          <w:szCs w:val="24"/>
          <w:lang w:val="ca-ES"/>
        </w:rPr>
        <w:t xml:space="preserve">a nivell salarial s’ha </w:t>
      </w:r>
      <w:r w:rsidR="00AD7280" w:rsidRPr="00EA5418">
        <w:rPr>
          <w:b w:val="0"/>
          <w:sz w:val="24"/>
          <w:szCs w:val="24"/>
          <w:lang w:val="ca-ES"/>
        </w:rPr>
        <w:t xml:space="preserve">passat del </w:t>
      </w:r>
      <w:r w:rsidR="00AD7280">
        <w:rPr>
          <w:b w:val="0"/>
          <w:sz w:val="24"/>
          <w:szCs w:val="24"/>
          <w:lang w:val="ca-ES"/>
        </w:rPr>
        <w:t>1,</w:t>
      </w:r>
      <w:r w:rsidR="00D561EF">
        <w:rPr>
          <w:b w:val="0"/>
          <w:sz w:val="24"/>
          <w:szCs w:val="24"/>
          <w:lang w:val="ca-ES"/>
        </w:rPr>
        <w:t>33</w:t>
      </w:r>
      <w:r w:rsidR="00AD7280" w:rsidRPr="00EA5418">
        <w:rPr>
          <w:b w:val="0"/>
          <w:sz w:val="24"/>
          <w:szCs w:val="24"/>
          <w:lang w:val="ca-ES"/>
        </w:rPr>
        <w:t>% pact</w:t>
      </w:r>
      <w:r w:rsidR="00AD7280">
        <w:rPr>
          <w:b w:val="0"/>
          <w:sz w:val="24"/>
          <w:szCs w:val="24"/>
          <w:lang w:val="ca-ES"/>
        </w:rPr>
        <w:t>at en 2017</w:t>
      </w:r>
      <w:r w:rsidR="00AD7280" w:rsidRPr="00EA5418">
        <w:rPr>
          <w:b w:val="0"/>
          <w:sz w:val="24"/>
          <w:szCs w:val="24"/>
          <w:lang w:val="ca-ES"/>
        </w:rPr>
        <w:t xml:space="preserve"> al </w:t>
      </w:r>
      <w:r w:rsidR="00AD7280">
        <w:rPr>
          <w:b w:val="0"/>
          <w:sz w:val="24"/>
          <w:szCs w:val="24"/>
          <w:lang w:val="ca-ES"/>
        </w:rPr>
        <w:t>1,</w:t>
      </w:r>
      <w:r w:rsidR="00D561EF">
        <w:rPr>
          <w:b w:val="0"/>
          <w:sz w:val="24"/>
          <w:szCs w:val="24"/>
          <w:lang w:val="ca-ES"/>
        </w:rPr>
        <w:t>65</w:t>
      </w:r>
      <w:r w:rsidR="00AD7280">
        <w:rPr>
          <w:b w:val="0"/>
          <w:sz w:val="24"/>
          <w:szCs w:val="24"/>
          <w:lang w:val="ca-ES"/>
        </w:rPr>
        <w:t xml:space="preserve">% pactat en 2018, que suposa una variació d’un </w:t>
      </w:r>
      <w:r w:rsidR="00D561EF">
        <w:rPr>
          <w:b w:val="0"/>
          <w:sz w:val="24"/>
          <w:szCs w:val="24"/>
          <w:lang w:val="ca-ES"/>
        </w:rPr>
        <w:t>24,06</w:t>
      </w:r>
      <w:r w:rsidR="00AD7280">
        <w:rPr>
          <w:b w:val="0"/>
          <w:sz w:val="24"/>
          <w:szCs w:val="24"/>
          <w:lang w:val="ca-ES"/>
        </w:rPr>
        <w:t>%</w:t>
      </w:r>
      <w:r w:rsidR="00AD7280" w:rsidRPr="00EA5418">
        <w:rPr>
          <w:b w:val="0"/>
          <w:sz w:val="24"/>
          <w:szCs w:val="24"/>
          <w:lang w:val="ca-ES"/>
        </w:rPr>
        <w:t xml:space="preserve">, i en relació a la jornada </w:t>
      </w:r>
      <w:r w:rsidR="00AD7280">
        <w:rPr>
          <w:b w:val="0"/>
          <w:sz w:val="24"/>
          <w:szCs w:val="24"/>
          <w:lang w:val="ca-ES"/>
        </w:rPr>
        <w:t xml:space="preserve">fins a </w:t>
      </w:r>
      <w:r w:rsidR="00D561EF">
        <w:rPr>
          <w:b w:val="0"/>
          <w:sz w:val="24"/>
          <w:szCs w:val="24"/>
          <w:lang w:val="ca-ES"/>
        </w:rPr>
        <w:t xml:space="preserve">l’agost </w:t>
      </w:r>
      <w:r w:rsidR="00AD7280">
        <w:rPr>
          <w:b w:val="0"/>
          <w:sz w:val="24"/>
          <w:szCs w:val="24"/>
          <w:lang w:val="ca-ES"/>
        </w:rPr>
        <w:t>de 2017 va ser de 1.</w:t>
      </w:r>
      <w:r w:rsidR="00D561EF">
        <w:rPr>
          <w:b w:val="0"/>
          <w:sz w:val="24"/>
          <w:szCs w:val="24"/>
          <w:lang w:val="ca-ES"/>
        </w:rPr>
        <w:t>733,16</w:t>
      </w:r>
      <w:r w:rsidR="00AD7280">
        <w:rPr>
          <w:b w:val="0"/>
          <w:sz w:val="24"/>
          <w:szCs w:val="24"/>
          <w:lang w:val="ca-ES"/>
        </w:rPr>
        <w:t>, i en 2018 es situa en 1.</w:t>
      </w:r>
      <w:r w:rsidR="00D561EF">
        <w:rPr>
          <w:b w:val="0"/>
          <w:sz w:val="24"/>
          <w:szCs w:val="24"/>
          <w:lang w:val="ca-ES"/>
        </w:rPr>
        <w:t>743,50</w:t>
      </w:r>
      <w:r w:rsidR="00AD7280">
        <w:rPr>
          <w:b w:val="0"/>
          <w:sz w:val="24"/>
          <w:szCs w:val="24"/>
          <w:lang w:val="ca-ES"/>
        </w:rPr>
        <w:t>, el que suposa una variació del 0,</w:t>
      </w:r>
      <w:r w:rsidR="00D561EF">
        <w:rPr>
          <w:b w:val="0"/>
          <w:sz w:val="24"/>
          <w:szCs w:val="24"/>
          <w:lang w:val="ca-ES"/>
        </w:rPr>
        <w:t>60</w:t>
      </w:r>
      <w:r w:rsidR="00AD7280">
        <w:rPr>
          <w:b w:val="0"/>
          <w:sz w:val="24"/>
          <w:szCs w:val="24"/>
          <w:lang w:val="ca-ES"/>
        </w:rPr>
        <w:t>%.</w:t>
      </w:r>
    </w:p>
    <w:p w:rsidR="00767611" w:rsidRPr="00EA5418" w:rsidRDefault="00767611" w:rsidP="00AD7280">
      <w:pPr>
        <w:pStyle w:val="TEXTBOLD"/>
        <w:spacing w:line="276" w:lineRule="auto"/>
        <w:rPr>
          <w:b w:val="0"/>
          <w:sz w:val="24"/>
          <w:szCs w:val="24"/>
          <w:lang w:val="ca-ES"/>
        </w:rPr>
      </w:pPr>
    </w:p>
    <w:p w:rsidR="00767611" w:rsidRPr="00EA5418" w:rsidRDefault="00D561EF" w:rsidP="00767611">
      <w:pPr>
        <w:pStyle w:val="TEXTBOLD"/>
        <w:spacing w:line="276" w:lineRule="auto"/>
        <w:jc w:val="center"/>
        <w:rPr>
          <w:b w:val="0"/>
          <w:sz w:val="24"/>
          <w:szCs w:val="24"/>
          <w:lang w:val="ca-ES"/>
        </w:rPr>
      </w:pPr>
      <w:r>
        <w:rPr>
          <w:noProof/>
          <w:lang w:val="es-ES" w:eastAsia="es-ES"/>
        </w:rPr>
        <w:drawing>
          <wp:inline distT="0" distB="0" distL="0" distR="0" wp14:anchorId="3E3B9D09" wp14:editId="0B3E29F9">
            <wp:extent cx="4500000" cy="2700000"/>
            <wp:effectExtent l="0" t="0" r="15240" b="24765"/>
            <wp:docPr id="61" name="Gráfico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67611" w:rsidRPr="00EA5418" w:rsidRDefault="00767611" w:rsidP="00767611">
      <w:pPr>
        <w:pStyle w:val="TEXTBOLD"/>
        <w:spacing w:line="276" w:lineRule="auto"/>
        <w:jc w:val="center"/>
        <w:rPr>
          <w:b w:val="0"/>
          <w:color w:val="404040"/>
          <w:sz w:val="18"/>
          <w:lang w:val="ca-ES"/>
        </w:rPr>
      </w:pPr>
      <w:r w:rsidRPr="00EA5418">
        <w:rPr>
          <w:b w:val="0"/>
          <w:color w:val="404040"/>
          <w:sz w:val="18"/>
          <w:lang w:val="ca-ES"/>
        </w:rPr>
        <w:t xml:space="preserve">Font: Elaboració pròpia a partir de les dades del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p>
    <w:p w:rsidR="00767611" w:rsidRPr="00EA5418" w:rsidRDefault="00767611" w:rsidP="00767611">
      <w:pPr>
        <w:pStyle w:val="TEXTBOLD"/>
        <w:spacing w:line="276" w:lineRule="auto"/>
        <w:ind w:left="720"/>
        <w:jc w:val="center"/>
        <w:rPr>
          <w:b w:val="0"/>
          <w:color w:val="404040"/>
          <w:sz w:val="18"/>
          <w:lang w:val="ca-ES"/>
        </w:rPr>
      </w:pPr>
    </w:p>
    <w:p w:rsidR="00767611" w:rsidRPr="00EA5418" w:rsidRDefault="00767611" w:rsidP="00767611">
      <w:pPr>
        <w:pStyle w:val="TEXTBOLD"/>
        <w:spacing w:line="276" w:lineRule="auto"/>
        <w:ind w:left="720"/>
        <w:jc w:val="center"/>
        <w:rPr>
          <w:b w:val="0"/>
          <w:color w:val="404040"/>
          <w:sz w:val="18"/>
          <w:lang w:val="ca-ES"/>
        </w:rPr>
      </w:pPr>
    </w:p>
    <w:p w:rsidR="00767611" w:rsidRPr="00061054" w:rsidRDefault="00D561EF" w:rsidP="00767611">
      <w:pPr>
        <w:pStyle w:val="TEXTBOLD"/>
        <w:spacing w:line="276" w:lineRule="auto"/>
        <w:jc w:val="center"/>
        <w:rPr>
          <w:b w:val="0"/>
          <w:lang w:val="ca-ES"/>
        </w:rPr>
      </w:pPr>
      <w:r>
        <w:rPr>
          <w:noProof/>
          <w:lang w:val="es-ES" w:eastAsia="es-ES"/>
        </w:rPr>
        <w:drawing>
          <wp:inline distT="0" distB="0" distL="0" distR="0" wp14:anchorId="17CB7583" wp14:editId="754F1085">
            <wp:extent cx="4500000" cy="2509500"/>
            <wp:effectExtent l="0" t="0" r="15240" b="24765"/>
            <wp:docPr id="63" name="Grá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67611" w:rsidRPr="00EA5418" w:rsidRDefault="00767611" w:rsidP="00767611">
      <w:pPr>
        <w:pStyle w:val="TEXTBOLD"/>
        <w:spacing w:line="276" w:lineRule="auto"/>
        <w:ind w:left="720" w:firstLine="720"/>
        <w:rPr>
          <w:b w:val="0"/>
          <w:color w:val="404040"/>
          <w:sz w:val="18"/>
          <w:lang w:val="ca-ES"/>
        </w:rPr>
      </w:pPr>
      <w:r w:rsidRPr="00EA5418">
        <w:rPr>
          <w:b w:val="0"/>
          <w:color w:val="404040"/>
          <w:sz w:val="18"/>
          <w:lang w:val="ca-ES"/>
        </w:rPr>
        <w:t xml:space="preserve">Font: Elaboració pròpia a partir de les dades del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p>
    <w:p w:rsidR="005C3F62" w:rsidRDefault="005C3F62" w:rsidP="005C3F62">
      <w:pPr>
        <w:autoSpaceDE w:val="0"/>
        <w:autoSpaceDN w:val="0"/>
        <w:adjustRightInd w:val="0"/>
        <w:spacing w:line="276" w:lineRule="auto"/>
        <w:rPr>
          <w:rFonts w:ascii="Rotis Sans Serif Std" w:hAnsi="Rotis Sans Serif Std" w:cs="RotisSansSerifStd-Regular"/>
          <w:color w:val="5E6061"/>
          <w:lang w:eastAsia="es-ES_tradnl"/>
        </w:rPr>
      </w:pPr>
    </w:p>
    <w:p w:rsidR="00EF09E4" w:rsidRDefault="00EF09E4" w:rsidP="00EF09E4">
      <w:pPr>
        <w:pStyle w:val="TEXTBOLD"/>
        <w:spacing w:line="276" w:lineRule="auto"/>
        <w:rPr>
          <w:b w:val="0"/>
          <w:sz w:val="24"/>
          <w:szCs w:val="24"/>
          <w:lang w:val="ca-ES"/>
        </w:rPr>
      </w:pPr>
      <w:r>
        <w:rPr>
          <w:b w:val="0"/>
          <w:sz w:val="24"/>
          <w:szCs w:val="24"/>
          <w:lang w:val="ca-ES"/>
        </w:rPr>
        <w:t xml:space="preserve">Per </w:t>
      </w:r>
      <w:r w:rsidRPr="000508F1">
        <w:rPr>
          <w:b w:val="0"/>
          <w:sz w:val="24"/>
          <w:szCs w:val="24"/>
          <w:u w:val="single"/>
          <w:lang w:val="ca-ES"/>
        </w:rPr>
        <w:t>sector d’activitat</w:t>
      </w:r>
      <w:r>
        <w:rPr>
          <w:b w:val="0"/>
          <w:sz w:val="24"/>
          <w:szCs w:val="24"/>
          <w:lang w:val="ca-ES"/>
        </w:rPr>
        <w:t xml:space="preserve"> a nivell estatal</w:t>
      </w:r>
      <w:r>
        <w:rPr>
          <w:rStyle w:val="Refdenotaalpie"/>
          <w:b w:val="0"/>
          <w:sz w:val="24"/>
          <w:szCs w:val="24"/>
          <w:lang w:val="ca-ES"/>
        </w:rPr>
        <w:footnoteReference w:id="4"/>
      </w:r>
      <w:r>
        <w:rPr>
          <w:b w:val="0"/>
          <w:sz w:val="24"/>
          <w:szCs w:val="24"/>
          <w:lang w:val="ca-ES"/>
        </w:rPr>
        <w:t xml:space="preserve">, del total de Convenis registrats, </w:t>
      </w:r>
      <w:r w:rsidR="00D561EF">
        <w:rPr>
          <w:b w:val="0"/>
          <w:sz w:val="24"/>
          <w:szCs w:val="24"/>
          <w:lang w:val="ca-ES"/>
        </w:rPr>
        <w:t>63</w:t>
      </w:r>
      <w:r>
        <w:rPr>
          <w:b w:val="0"/>
          <w:sz w:val="24"/>
          <w:szCs w:val="24"/>
          <w:lang w:val="ca-ES"/>
        </w:rPr>
        <w:t xml:space="preserve"> corresponen al sector agrari (afectant a </w:t>
      </w:r>
      <w:r w:rsidR="00D561EF">
        <w:rPr>
          <w:b w:val="0"/>
          <w:sz w:val="24"/>
          <w:szCs w:val="24"/>
          <w:lang w:val="ca-ES"/>
        </w:rPr>
        <w:t>40.886</w:t>
      </w:r>
      <w:r>
        <w:rPr>
          <w:b w:val="0"/>
          <w:sz w:val="24"/>
          <w:szCs w:val="24"/>
          <w:lang w:val="ca-ES"/>
        </w:rPr>
        <w:t xml:space="preserve"> empreses i </w:t>
      </w:r>
      <w:r w:rsidR="00D561EF">
        <w:rPr>
          <w:b w:val="0"/>
          <w:sz w:val="24"/>
          <w:szCs w:val="24"/>
          <w:lang w:val="ca-ES"/>
        </w:rPr>
        <w:t>363.407</w:t>
      </w:r>
      <w:r>
        <w:rPr>
          <w:b w:val="0"/>
          <w:sz w:val="24"/>
          <w:szCs w:val="24"/>
          <w:lang w:val="ca-ES"/>
        </w:rPr>
        <w:t xml:space="preserve"> treballadors), </w:t>
      </w:r>
      <w:r w:rsidR="00D561EF">
        <w:rPr>
          <w:b w:val="0"/>
          <w:sz w:val="24"/>
          <w:szCs w:val="24"/>
          <w:lang w:val="ca-ES"/>
        </w:rPr>
        <w:t>1.123</w:t>
      </w:r>
      <w:r>
        <w:rPr>
          <w:b w:val="0"/>
          <w:sz w:val="24"/>
          <w:szCs w:val="24"/>
          <w:lang w:val="ca-ES"/>
        </w:rPr>
        <w:t xml:space="preserve"> del sector de la indústria (afectant a </w:t>
      </w:r>
      <w:r w:rsidR="00D561EF">
        <w:rPr>
          <w:b w:val="0"/>
          <w:sz w:val="24"/>
          <w:szCs w:val="24"/>
          <w:lang w:val="ca-ES"/>
        </w:rPr>
        <w:t>116.857</w:t>
      </w:r>
      <w:r>
        <w:rPr>
          <w:b w:val="0"/>
          <w:sz w:val="24"/>
          <w:szCs w:val="24"/>
          <w:lang w:val="ca-ES"/>
        </w:rPr>
        <w:t xml:space="preserve"> empreses i </w:t>
      </w:r>
      <w:r w:rsidR="00D561EF">
        <w:rPr>
          <w:b w:val="0"/>
          <w:sz w:val="24"/>
          <w:szCs w:val="24"/>
          <w:lang w:val="ca-ES"/>
        </w:rPr>
        <w:t>1.511.144</w:t>
      </w:r>
      <w:r>
        <w:rPr>
          <w:b w:val="0"/>
          <w:sz w:val="24"/>
          <w:szCs w:val="24"/>
          <w:lang w:val="ca-ES"/>
        </w:rPr>
        <w:t xml:space="preserve"> treballadors), </w:t>
      </w:r>
      <w:r w:rsidR="00D561EF">
        <w:rPr>
          <w:b w:val="0"/>
          <w:sz w:val="24"/>
          <w:szCs w:val="24"/>
          <w:lang w:val="ca-ES"/>
        </w:rPr>
        <w:t>101</w:t>
      </w:r>
      <w:r>
        <w:rPr>
          <w:b w:val="0"/>
          <w:sz w:val="24"/>
          <w:szCs w:val="24"/>
          <w:lang w:val="ca-ES"/>
        </w:rPr>
        <w:t xml:space="preserve"> de l’àmbit de la construcció (amb </w:t>
      </w:r>
      <w:r w:rsidR="00D561EF">
        <w:rPr>
          <w:b w:val="0"/>
          <w:sz w:val="24"/>
          <w:szCs w:val="24"/>
          <w:lang w:val="ca-ES"/>
        </w:rPr>
        <w:t>92.378</w:t>
      </w:r>
      <w:r>
        <w:rPr>
          <w:b w:val="0"/>
          <w:sz w:val="24"/>
          <w:szCs w:val="24"/>
          <w:lang w:val="ca-ES"/>
        </w:rPr>
        <w:t xml:space="preserve"> empreses i </w:t>
      </w:r>
      <w:r w:rsidR="00D561EF">
        <w:rPr>
          <w:b w:val="0"/>
          <w:sz w:val="24"/>
          <w:szCs w:val="24"/>
          <w:lang w:val="ca-ES"/>
        </w:rPr>
        <w:t>559.778</w:t>
      </w:r>
      <w:r>
        <w:rPr>
          <w:b w:val="0"/>
          <w:sz w:val="24"/>
          <w:szCs w:val="24"/>
          <w:lang w:val="ca-ES"/>
        </w:rPr>
        <w:t xml:space="preserve"> treballadors) i 1.</w:t>
      </w:r>
      <w:r w:rsidR="00D561EF">
        <w:rPr>
          <w:b w:val="0"/>
          <w:sz w:val="24"/>
          <w:szCs w:val="24"/>
          <w:lang w:val="ca-ES"/>
        </w:rPr>
        <w:t>675</w:t>
      </w:r>
      <w:r>
        <w:rPr>
          <w:b w:val="0"/>
          <w:sz w:val="24"/>
          <w:szCs w:val="24"/>
          <w:lang w:val="ca-ES"/>
        </w:rPr>
        <w:t xml:space="preserve"> convenis del sector serveis (afectant a </w:t>
      </w:r>
      <w:r w:rsidR="00D561EF">
        <w:rPr>
          <w:b w:val="0"/>
          <w:sz w:val="24"/>
          <w:szCs w:val="24"/>
          <w:lang w:val="ca-ES"/>
        </w:rPr>
        <w:t>738.001</w:t>
      </w:r>
      <w:r>
        <w:rPr>
          <w:b w:val="0"/>
          <w:sz w:val="24"/>
          <w:szCs w:val="24"/>
          <w:lang w:val="ca-ES"/>
        </w:rPr>
        <w:t xml:space="preserve"> empreses i </w:t>
      </w:r>
      <w:r w:rsidR="00D561EF">
        <w:rPr>
          <w:b w:val="0"/>
          <w:sz w:val="24"/>
          <w:szCs w:val="24"/>
          <w:lang w:val="ca-ES"/>
        </w:rPr>
        <w:t>5.092.383</w:t>
      </w:r>
      <w:r>
        <w:rPr>
          <w:b w:val="0"/>
          <w:sz w:val="24"/>
          <w:szCs w:val="24"/>
          <w:lang w:val="ca-ES"/>
        </w:rPr>
        <w:t xml:space="preserve"> treballadors). </w:t>
      </w:r>
    </w:p>
    <w:p w:rsidR="00EF09E4" w:rsidRDefault="00EF09E4" w:rsidP="00EF09E4">
      <w:pPr>
        <w:pStyle w:val="TEXTBOLD"/>
        <w:spacing w:line="276" w:lineRule="auto"/>
        <w:rPr>
          <w:b w:val="0"/>
          <w:sz w:val="24"/>
          <w:szCs w:val="24"/>
          <w:lang w:val="ca-ES"/>
        </w:rPr>
      </w:pPr>
    </w:p>
    <w:p w:rsidR="00EF09E4" w:rsidRPr="00EA5418" w:rsidRDefault="00D561EF" w:rsidP="00EF09E4">
      <w:pPr>
        <w:pStyle w:val="TEXTBOLD"/>
        <w:spacing w:line="276" w:lineRule="auto"/>
        <w:jc w:val="center"/>
        <w:rPr>
          <w:b w:val="0"/>
          <w:color w:val="404040"/>
          <w:sz w:val="24"/>
          <w:szCs w:val="24"/>
          <w:lang w:val="ca-ES"/>
        </w:rPr>
      </w:pPr>
      <w:r>
        <w:rPr>
          <w:noProof/>
          <w:lang w:val="es-ES" w:eastAsia="es-ES"/>
        </w:rPr>
        <w:drawing>
          <wp:inline distT="0" distB="0" distL="0" distR="0" wp14:anchorId="1D2BBABF" wp14:editId="1553924C">
            <wp:extent cx="4572000" cy="2743200"/>
            <wp:effectExtent l="0" t="0" r="19050" b="19050"/>
            <wp:docPr id="65" name="Gráfico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F09E4" w:rsidRPr="00EA5418" w:rsidRDefault="00EF09E4" w:rsidP="00EF09E4">
      <w:pPr>
        <w:pStyle w:val="TEXTBOLD"/>
        <w:spacing w:line="276" w:lineRule="auto"/>
        <w:jc w:val="center"/>
        <w:rPr>
          <w:b w:val="0"/>
          <w:color w:val="404040"/>
          <w:sz w:val="18"/>
          <w:lang w:val="ca-ES"/>
        </w:rPr>
      </w:pPr>
      <w:r w:rsidRPr="00EA5418">
        <w:rPr>
          <w:b w:val="0"/>
          <w:color w:val="404040"/>
          <w:sz w:val="18"/>
          <w:lang w:val="ca-ES"/>
        </w:rPr>
        <w:t xml:space="preserve">Font: Elaboració pròpia a partir de les dades del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p>
    <w:p w:rsidR="00767D0B" w:rsidRDefault="00767D0B" w:rsidP="006534D6">
      <w:pPr>
        <w:jc w:val="center"/>
        <w:rPr>
          <w:rFonts w:ascii="Rotis Sans Serif Std" w:hAnsi="Rotis Sans Serif Std" w:cs="RotisSansSerifStd-Regular"/>
          <w:b/>
          <w:color w:val="C00000"/>
          <w:lang w:eastAsia="es-ES_tradnl"/>
        </w:rPr>
      </w:pPr>
    </w:p>
    <w:p w:rsidR="00312EC6" w:rsidRDefault="00312EC6">
      <w:pPr>
        <w:rPr>
          <w:rFonts w:ascii="Rotis Sans Serif Std" w:hAnsi="Rotis Sans Serif Std" w:cs="RotisSansSerifStd-Regular"/>
          <w:b/>
          <w:color w:val="C00000"/>
          <w:lang w:eastAsia="es-ES_tradnl"/>
        </w:rPr>
      </w:pPr>
      <w:r>
        <w:rPr>
          <w:rFonts w:ascii="Rotis Sans Serif Std" w:hAnsi="Rotis Sans Serif Std" w:cs="RotisSansSerifStd-Regular"/>
          <w:b/>
          <w:color w:val="C00000"/>
          <w:lang w:eastAsia="es-ES_tradnl"/>
        </w:rPr>
        <w:br w:type="page"/>
      </w:r>
    </w:p>
    <w:p w:rsidR="00EF09E4" w:rsidRDefault="00EF09E4" w:rsidP="006534D6">
      <w:pPr>
        <w:jc w:val="center"/>
        <w:rPr>
          <w:rFonts w:ascii="Rotis Sans Serif Std" w:hAnsi="Rotis Sans Serif Std" w:cs="RotisSansSerifStd-Regular"/>
          <w:b/>
          <w:color w:val="C00000"/>
          <w:lang w:eastAsia="es-ES_tradnl"/>
        </w:rPr>
      </w:pPr>
      <w:r w:rsidRPr="00837C46">
        <w:rPr>
          <w:rFonts w:ascii="Rotis Sans Serif Std" w:hAnsi="Rotis Sans Serif Std" w:cs="RotisSansSerifStd-Regular"/>
          <w:b/>
          <w:color w:val="C00000"/>
          <w:lang w:eastAsia="es-ES_tradnl"/>
        </w:rPr>
        <w:t>TOTAL CONVENIS</w:t>
      </w:r>
    </w:p>
    <w:p w:rsidR="00EF09E4" w:rsidRPr="00837C46" w:rsidRDefault="00EF09E4" w:rsidP="00EF09E4">
      <w:pPr>
        <w:spacing w:line="276" w:lineRule="auto"/>
        <w:rPr>
          <w:rFonts w:ascii="Rotis Sans Serif Std" w:hAnsi="Rotis Sans Serif Std" w:cs="RotisSansSerifStd-Regular"/>
          <w:b/>
          <w:color w:val="C00000"/>
          <w:lang w:eastAsia="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166"/>
        <w:gridCol w:w="1403"/>
        <w:gridCol w:w="1541"/>
        <w:gridCol w:w="1418"/>
      </w:tblGrid>
      <w:tr w:rsidR="00EF09E4" w:rsidRPr="00EA5418" w:rsidTr="0053548E">
        <w:trPr>
          <w:trHeight w:val="628"/>
          <w:jc w:val="center"/>
        </w:trPr>
        <w:tc>
          <w:tcPr>
            <w:tcW w:w="1668" w:type="dxa"/>
            <w:tcBorders>
              <w:top w:val="single" w:sz="4" w:space="0" w:color="FFFFFF"/>
              <w:left w:val="single" w:sz="4" w:space="0" w:color="FFFFFF"/>
              <w:bottom w:val="single" w:sz="24" w:space="0" w:color="FFFFFF"/>
              <w:right w:val="single" w:sz="4" w:space="0" w:color="FFFFFF"/>
            </w:tcBorders>
            <w:shd w:val="clear" w:color="auto" w:fill="C00000"/>
            <w:vAlign w:val="center"/>
          </w:tcPr>
          <w:p w:rsidR="00EF09E4" w:rsidRPr="003E2B63" w:rsidRDefault="00EF09E4" w:rsidP="0053548E">
            <w:pPr>
              <w:pStyle w:val="TEXTBOLD"/>
              <w:spacing w:line="276" w:lineRule="auto"/>
              <w:jc w:val="center"/>
              <w:rPr>
                <w:color w:val="FFFFFF"/>
                <w:lang w:val="ca-ES"/>
              </w:rPr>
            </w:pPr>
            <w:r w:rsidRPr="003E2B63">
              <w:rPr>
                <w:color w:val="FFFFFF"/>
                <w:lang w:val="ca-ES"/>
              </w:rPr>
              <w:t xml:space="preserve">Distribució </w:t>
            </w:r>
            <w:r>
              <w:rPr>
                <w:color w:val="FFFFFF"/>
                <w:lang w:val="ca-ES"/>
              </w:rPr>
              <w:t>Sectorial</w:t>
            </w:r>
          </w:p>
        </w:tc>
        <w:tc>
          <w:tcPr>
            <w:tcW w:w="1166"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EF09E4" w:rsidRPr="003E2B63" w:rsidRDefault="00EF09E4" w:rsidP="0053548E">
            <w:pPr>
              <w:pStyle w:val="TEXTBOLD"/>
              <w:spacing w:line="276" w:lineRule="auto"/>
              <w:jc w:val="center"/>
              <w:rPr>
                <w:b w:val="0"/>
                <w:color w:val="FFFFFF"/>
                <w:lang w:val="ca-ES"/>
              </w:rPr>
            </w:pPr>
            <w:r w:rsidRPr="003E2B63">
              <w:rPr>
                <w:b w:val="0"/>
                <w:color w:val="FFFFFF"/>
                <w:lang w:val="ca-ES"/>
              </w:rPr>
              <w:t>Convenis</w:t>
            </w:r>
          </w:p>
        </w:tc>
        <w:tc>
          <w:tcPr>
            <w:tcW w:w="1403"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EF09E4" w:rsidRPr="003E2B63" w:rsidRDefault="00EF09E4" w:rsidP="0053548E">
            <w:pPr>
              <w:pStyle w:val="TEXTBOLD"/>
              <w:spacing w:line="276" w:lineRule="auto"/>
              <w:jc w:val="center"/>
              <w:rPr>
                <w:b w:val="0"/>
                <w:color w:val="FFFFFF"/>
                <w:lang w:val="ca-ES"/>
              </w:rPr>
            </w:pPr>
            <w:r w:rsidRPr="003E2B63">
              <w:rPr>
                <w:b w:val="0"/>
                <w:color w:val="FFFFFF"/>
                <w:lang w:val="ca-ES"/>
              </w:rPr>
              <w:t>Empreses</w:t>
            </w:r>
          </w:p>
        </w:tc>
        <w:tc>
          <w:tcPr>
            <w:tcW w:w="1541"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EF09E4" w:rsidRPr="003E2B63" w:rsidRDefault="00EF09E4" w:rsidP="0053548E">
            <w:pPr>
              <w:pStyle w:val="TEXTBOLD"/>
              <w:spacing w:line="276" w:lineRule="auto"/>
              <w:jc w:val="center"/>
              <w:rPr>
                <w:b w:val="0"/>
                <w:color w:val="FFFFFF"/>
                <w:lang w:val="ca-ES"/>
              </w:rPr>
            </w:pPr>
            <w:r w:rsidRPr="003E2B63">
              <w:rPr>
                <w:b w:val="0"/>
                <w:color w:val="FFFFFF"/>
                <w:lang w:val="ca-ES"/>
              </w:rPr>
              <w:t>Treballadors</w:t>
            </w:r>
          </w:p>
        </w:tc>
        <w:tc>
          <w:tcPr>
            <w:tcW w:w="1418" w:type="dxa"/>
            <w:tcBorders>
              <w:top w:val="single" w:sz="4" w:space="0" w:color="FFFFFF"/>
              <w:left w:val="single" w:sz="4" w:space="0" w:color="FFFFFF"/>
              <w:bottom w:val="single" w:sz="4" w:space="0" w:color="FFFFFF"/>
              <w:right w:val="single" w:sz="4" w:space="0" w:color="FFFFFF"/>
            </w:tcBorders>
            <w:shd w:val="clear" w:color="auto" w:fill="C00000"/>
            <w:vAlign w:val="center"/>
          </w:tcPr>
          <w:p w:rsidR="00EF09E4" w:rsidRPr="003E2B63" w:rsidRDefault="00EF09E4" w:rsidP="0053548E">
            <w:pPr>
              <w:pStyle w:val="TEXTBOLD"/>
              <w:spacing w:line="276" w:lineRule="auto"/>
              <w:jc w:val="center"/>
              <w:rPr>
                <w:b w:val="0"/>
                <w:color w:val="FFFFFF"/>
                <w:lang w:val="ca-ES"/>
              </w:rPr>
            </w:pPr>
            <w:r w:rsidRPr="003E2B63">
              <w:rPr>
                <w:b w:val="0"/>
                <w:color w:val="FFFFFF"/>
                <w:lang w:val="ca-ES"/>
              </w:rPr>
              <w:t>Variació Salarial (%)</w:t>
            </w:r>
          </w:p>
        </w:tc>
      </w:tr>
      <w:tr w:rsidR="00D561EF" w:rsidRPr="00EA5418" w:rsidTr="00D561EF">
        <w:trPr>
          <w:jc w:val="center"/>
        </w:trPr>
        <w:tc>
          <w:tcPr>
            <w:tcW w:w="1668"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561EF" w:rsidRPr="003E2B63" w:rsidRDefault="00D561EF" w:rsidP="0053548E">
            <w:pPr>
              <w:pStyle w:val="TEXTBOLD"/>
              <w:spacing w:line="276" w:lineRule="auto"/>
              <w:jc w:val="center"/>
              <w:rPr>
                <w:b w:val="0"/>
                <w:color w:val="FFFFFF"/>
                <w:lang w:val="ca-ES"/>
              </w:rPr>
            </w:pPr>
            <w:r>
              <w:rPr>
                <w:b w:val="0"/>
                <w:color w:val="FFFFFF"/>
                <w:lang w:val="ca-ES"/>
              </w:rPr>
              <w:t>Agrari</w:t>
            </w:r>
          </w:p>
        </w:tc>
        <w:tc>
          <w:tcPr>
            <w:tcW w:w="116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63</w:t>
            </w:r>
          </w:p>
        </w:tc>
        <w:tc>
          <w:tcPr>
            <w:tcW w:w="1403"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40.886</w:t>
            </w:r>
          </w:p>
        </w:tc>
        <w:tc>
          <w:tcPr>
            <w:tcW w:w="154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363.407</w:t>
            </w:r>
          </w:p>
        </w:tc>
        <w:tc>
          <w:tcPr>
            <w:tcW w:w="1418"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1,13</w:t>
            </w:r>
          </w:p>
        </w:tc>
      </w:tr>
      <w:tr w:rsidR="00D561EF" w:rsidRPr="00EA5418" w:rsidTr="00D561EF">
        <w:trPr>
          <w:jc w:val="center"/>
        </w:trPr>
        <w:tc>
          <w:tcPr>
            <w:tcW w:w="1668"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561EF" w:rsidRPr="003E2B63" w:rsidRDefault="00D561EF" w:rsidP="0053548E">
            <w:pPr>
              <w:pStyle w:val="TEXTBOLD"/>
              <w:spacing w:line="276" w:lineRule="auto"/>
              <w:jc w:val="center"/>
              <w:rPr>
                <w:b w:val="0"/>
                <w:color w:val="FFFFFF"/>
                <w:lang w:val="ca-ES"/>
              </w:rPr>
            </w:pPr>
            <w:r>
              <w:rPr>
                <w:b w:val="0"/>
                <w:color w:val="FFFFFF"/>
                <w:lang w:val="ca-ES"/>
              </w:rPr>
              <w:t>Indústria</w:t>
            </w:r>
          </w:p>
        </w:tc>
        <w:tc>
          <w:tcPr>
            <w:tcW w:w="116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1.123</w:t>
            </w:r>
          </w:p>
        </w:tc>
        <w:tc>
          <w:tcPr>
            <w:tcW w:w="1403"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116.857</w:t>
            </w:r>
          </w:p>
        </w:tc>
        <w:tc>
          <w:tcPr>
            <w:tcW w:w="154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1.511.144</w:t>
            </w:r>
          </w:p>
        </w:tc>
        <w:tc>
          <w:tcPr>
            <w:tcW w:w="1418"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1,66</w:t>
            </w:r>
          </w:p>
        </w:tc>
      </w:tr>
      <w:tr w:rsidR="00D561EF" w:rsidRPr="00EA5418" w:rsidTr="00D561EF">
        <w:trPr>
          <w:jc w:val="center"/>
        </w:trPr>
        <w:tc>
          <w:tcPr>
            <w:tcW w:w="1668"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561EF" w:rsidRPr="003E2B63" w:rsidRDefault="00D561EF" w:rsidP="0053548E">
            <w:pPr>
              <w:pStyle w:val="TEXTBOLD"/>
              <w:spacing w:line="276" w:lineRule="auto"/>
              <w:jc w:val="center"/>
              <w:rPr>
                <w:b w:val="0"/>
                <w:color w:val="FFFFFF"/>
                <w:lang w:val="ca-ES"/>
              </w:rPr>
            </w:pPr>
            <w:r>
              <w:rPr>
                <w:b w:val="0"/>
                <w:color w:val="FFFFFF"/>
                <w:lang w:val="ca-ES"/>
              </w:rPr>
              <w:t>Construcció</w:t>
            </w:r>
          </w:p>
        </w:tc>
        <w:tc>
          <w:tcPr>
            <w:tcW w:w="116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101</w:t>
            </w:r>
          </w:p>
        </w:tc>
        <w:tc>
          <w:tcPr>
            <w:tcW w:w="1403"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92.378</w:t>
            </w:r>
          </w:p>
        </w:tc>
        <w:tc>
          <w:tcPr>
            <w:tcW w:w="154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559.778</w:t>
            </w:r>
          </w:p>
        </w:tc>
        <w:tc>
          <w:tcPr>
            <w:tcW w:w="1418"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1,98</w:t>
            </w:r>
          </w:p>
        </w:tc>
      </w:tr>
      <w:tr w:rsidR="00D561EF" w:rsidRPr="00EA5418" w:rsidTr="00D561EF">
        <w:trPr>
          <w:jc w:val="center"/>
        </w:trPr>
        <w:tc>
          <w:tcPr>
            <w:tcW w:w="1668"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D561EF" w:rsidRPr="003E2B63" w:rsidRDefault="00D561EF" w:rsidP="0053548E">
            <w:pPr>
              <w:pStyle w:val="TEXTBOLD"/>
              <w:spacing w:line="276" w:lineRule="auto"/>
              <w:jc w:val="center"/>
              <w:rPr>
                <w:b w:val="0"/>
                <w:color w:val="FFFFFF"/>
                <w:lang w:val="ca-ES"/>
              </w:rPr>
            </w:pPr>
            <w:r>
              <w:rPr>
                <w:b w:val="0"/>
                <w:color w:val="FFFFFF"/>
                <w:lang w:val="ca-ES"/>
              </w:rPr>
              <w:t>Serveis</w:t>
            </w:r>
          </w:p>
        </w:tc>
        <w:tc>
          <w:tcPr>
            <w:tcW w:w="116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1.675</w:t>
            </w:r>
          </w:p>
        </w:tc>
        <w:tc>
          <w:tcPr>
            <w:tcW w:w="1403"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738.001</w:t>
            </w:r>
          </w:p>
        </w:tc>
        <w:tc>
          <w:tcPr>
            <w:tcW w:w="154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5.092.383</w:t>
            </w:r>
          </w:p>
        </w:tc>
        <w:tc>
          <w:tcPr>
            <w:tcW w:w="1418"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sz w:val="22"/>
                <w:szCs w:val="22"/>
                <w:lang w:eastAsia="es-ES_tradnl"/>
              </w:rPr>
            </w:pPr>
            <w:r w:rsidRPr="00D561EF">
              <w:rPr>
                <w:rFonts w:ascii="Rotis Sans Serif Std" w:hAnsi="Rotis Sans Serif Std"/>
                <w:sz w:val="22"/>
                <w:szCs w:val="22"/>
                <w:lang w:eastAsia="es-ES_tradnl"/>
              </w:rPr>
              <w:t>1,65</w:t>
            </w:r>
          </w:p>
        </w:tc>
      </w:tr>
      <w:tr w:rsidR="00D561EF" w:rsidRPr="00EA5418" w:rsidTr="00D561EF">
        <w:trPr>
          <w:jc w:val="center"/>
        </w:trPr>
        <w:tc>
          <w:tcPr>
            <w:tcW w:w="1668" w:type="dxa"/>
            <w:tcBorders>
              <w:top w:val="single" w:sz="24" w:space="0" w:color="FFFFFF"/>
              <w:left w:val="single" w:sz="4" w:space="0" w:color="FFFFFF"/>
              <w:bottom w:val="single" w:sz="4" w:space="0" w:color="FFFFFF"/>
              <w:right w:val="single" w:sz="24" w:space="0" w:color="FFFFFF"/>
            </w:tcBorders>
            <w:shd w:val="clear" w:color="auto" w:fill="C00000"/>
            <w:vAlign w:val="center"/>
          </w:tcPr>
          <w:p w:rsidR="00D561EF" w:rsidRPr="003E2B63" w:rsidRDefault="00D561EF" w:rsidP="0053548E">
            <w:pPr>
              <w:pStyle w:val="TEXTBOLD"/>
              <w:spacing w:line="276" w:lineRule="auto"/>
              <w:jc w:val="center"/>
              <w:rPr>
                <w:color w:val="FFFFFF"/>
                <w:lang w:val="ca-ES"/>
              </w:rPr>
            </w:pPr>
            <w:r w:rsidRPr="003E2B63">
              <w:rPr>
                <w:color w:val="FFFFFF"/>
                <w:lang w:val="ca-ES"/>
              </w:rPr>
              <w:t xml:space="preserve">TOTAL </w:t>
            </w:r>
            <w:r>
              <w:rPr>
                <w:color w:val="FFFFFF"/>
                <w:lang w:val="ca-ES"/>
              </w:rPr>
              <w:t>ESPANYA</w:t>
            </w:r>
          </w:p>
        </w:tc>
        <w:tc>
          <w:tcPr>
            <w:tcW w:w="1166"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cs="RotisSansSerifStd-Regular"/>
                <w:b/>
                <w:color w:val="5E6061"/>
                <w:sz w:val="22"/>
                <w:szCs w:val="22"/>
                <w:lang w:eastAsia="es-ES_tradnl"/>
              </w:rPr>
            </w:pPr>
            <w:r w:rsidRPr="00D561EF">
              <w:rPr>
                <w:rFonts w:ascii="Rotis Sans Serif Std" w:hAnsi="Rotis Sans Serif Std" w:cs="RotisSansSerifStd-Regular"/>
                <w:b/>
                <w:color w:val="5E6061"/>
                <w:sz w:val="22"/>
                <w:szCs w:val="22"/>
                <w:lang w:eastAsia="es-ES_tradnl"/>
              </w:rPr>
              <w:t>2.962</w:t>
            </w:r>
          </w:p>
        </w:tc>
        <w:tc>
          <w:tcPr>
            <w:tcW w:w="1403"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cs="RotisSansSerifStd-Regular"/>
                <w:b/>
                <w:color w:val="5E6061"/>
                <w:sz w:val="22"/>
                <w:szCs w:val="22"/>
                <w:lang w:eastAsia="es-ES_tradnl"/>
              </w:rPr>
            </w:pPr>
            <w:r w:rsidRPr="00D561EF">
              <w:rPr>
                <w:rFonts w:ascii="Rotis Sans Serif Std" w:hAnsi="Rotis Sans Serif Std" w:cs="RotisSansSerifStd-Regular"/>
                <w:b/>
                <w:color w:val="5E6061"/>
                <w:sz w:val="22"/>
                <w:szCs w:val="22"/>
                <w:lang w:eastAsia="es-ES_tradnl"/>
              </w:rPr>
              <w:t>988.122</w:t>
            </w:r>
          </w:p>
        </w:tc>
        <w:tc>
          <w:tcPr>
            <w:tcW w:w="1541"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cs="RotisSansSerifStd-Regular"/>
                <w:b/>
                <w:color w:val="5E6061"/>
                <w:sz w:val="22"/>
                <w:szCs w:val="22"/>
                <w:lang w:eastAsia="es-ES_tradnl"/>
              </w:rPr>
            </w:pPr>
            <w:r w:rsidRPr="00D561EF">
              <w:rPr>
                <w:rFonts w:ascii="Rotis Sans Serif Std" w:hAnsi="Rotis Sans Serif Std" w:cs="RotisSansSerifStd-Regular"/>
                <w:b/>
                <w:color w:val="5E6061"/>
                <w:sz w:val="22"/>
                <w:szCs w:val="22"/>
                <w:lang w:eastAsia="es-ES_tradnl"/>
              </w:rPr>
              <w:t>7.526.712</w:t>
            </w:r>
          </w:p>
        </w:tc>
        <w:tc>
          <w:tcPr>
            <w:tcW w:w="1418" w:type="dxa"/>
            <w:tcBorders>
              <w:top w:val="single" w:sz="24" w:space="0" w:color="FFFFFF"/>
              <w:left w:val="single" w:sz="24" w:space="0" w:color="FFFFFF"/>
              <w:bottom w:val="single" w:sz="4" w:space="0" w:color="FFFFFF"/>
              <w:right w:val="single" w:sz="24" w:space="0" w:color="FFFFFF"/>
            </w:tcBorders>
            <w:shd w:val="clear" w:color="auto" w:fill="F2DBDB"/>
            <w:vAlign w:val="center"/>
          </w:tcPr>
          <w:p w:rsidR="00D561EF" w:rsidRPr="00D561EF" w:rsidRDefault="00D561EF" w:rsidP="00D561EF">
            <w:pPr>
              <w:jc w:val="center"/>
              <w:rPr>
                <w:rFonts w:ascii="Rotis Sans Serif Std" w:hAnsi="Rotis Sans Serif Std" w:cs="RotisSansSerifStd-Regular"/>
                <w:b/>
                <w:color w:val="5E6061"/>
                <w:sz w:val="22"/>
                <w:szCs w:val="22"/>
                <w:lang w:eastAsia="es-ES_tradnl"/>
              </w:rPr>
            </w:pPr>
            <w:r w:rsidRPr="00D561EF">
              <w:rPr>
                <w:rFonts w:ascii="Rotis Sans Serif Std" w:hAnsi="Rotis Sans Serif Std" w:cs="RotisSansSerifStd-Regular"/>
                <w:b/>
                <w:color w:val="5E6061"/>
                <w:sz w:val="22"/>
                <w:szCs w:val="22"/>
                <w:lang w:eastAsia="es-ES_tradnl"/>
              </w:rPr>
              <w:t>1,65</w:t>
            </w:r>
          </w:p>
        </w:tc>
      </w:tr>
    </w:tbl>
    <w:p w:rsidR="00617A8C" w:rsidRDefault="00EF09E4" w:rsidP="003577BF">
      <w:pPr>
        <w:pStyle w:val="TEXTBOLD"/>
        <w:spacing w:line="276" w:lineRule="auto"/>
        <w:jc w:val="center"/>
        <w:rPr>
          <w:b w:val="0"/>
          <w:color w:val="404040"/>
          <w:sz w:val="18"/>
          <w:lang w:val="ca-ES"/>
        </w:rPr>
      </w:pPr>
      <w:r w:rsidRPr="00EA5418">
        <w:rPr>
          <w:b w:val="0"/>
          <w:color w:val="404040"/>
          <w:sz w:val="18"/>
          <w:lang w:val="ca-ES"/>
        </w:rPr>
        <w:t xml:space="preserve">Font: Elaboració pròpia a partir de les dades del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p>
    <w:p w:rsidR="003577BF" w:rsidRDefault="003577BF" w:rsidP="003577BF">
      <w:pPr>
        <w:pStyle w:val="TEXTBOLD"/>
        <w:spacing w:line="276" w:lineRule="auto"/>
        <w:jc w:val="center"/>
        <w:rPr>
          <w:color w:val="C00000"/>
          <w:sz w:val="24"/>
          <w:szCs w:val="24"/>
          <w:lang w:val="ca-ES"/>
        </w:rPr>
      </w:pPr>
    </w:p>
    <w:p w:rsidR="00767611" w:rsidRPr="00EA5418" w:rsidRDefault="00767611" w:rsidP="00767611">
      <w:pPr>
        <w:pStyle w:val="TEXTBOLD"/>
        <w:spacing w:line="276" w:lineRule="auto"/>
        <w:rPr>
          <w:color w:val="C00000"/>
          <w:sz w:val="24"/>
          <w:szCs w:val="24"/>
          <w:lang w:val="ca-ES"/>
        </w:rPr>
      </w:pPr>
      <w:r>
        <w:rPr>
          <w:color w:val="C00000"/>
          <w:sz w:val="24"/>
          <w:szCs w:val="24"/>
          <w:lang w:val="ca-ES"/>
        </w:rPr>
        <w:t xml:space="preserve">2.3.2 </w:t>
      </w:r>
      <w:bookmarkStart w:id="9" w:name="Inaplicacions"/>
      <w:r w:rsidRPr="00EA5418">
        <w:rPr>
          <w:color w:val="C00000"/>
          <w:sz w:val="24"/>
          <w:szCs w:val="24"/>
          <w:lang w:val="ca-ES"/>
        </w:rPr>
        <w:t>Inaplicacions de Convenis Col·lectius</w:t>
      </w:r>
      <w:r w:rsidRPr="00EA5418">
        <w:rPr>
          <w:rStyle w:val="Refdenotaalpie"/>
          <w:rFonts w:cs="RotisSansSerifStd-Regular"/>
          <w:color w:val="C00000"/>
          <w:sz w:val="24"/>
          <w:szCs w:val="24"/>
          <w:lang w:val="ca-ES"/>
        </w:rPr>
        <w:footnoteReference w:id="5"/>
      </w:r>
    </w:p>
    <w:p w:rsidR="00767611" w:rsidRPr="00EA5418" w:rsidRDefault="00767611" w:rsidP="006737D1">
      <w:pPr>
        <w:pStyle w:val="TEXTBOLD"/>
        <w:spacing w:line="276" w:lineRule="auto"/>
        <w:ind w:left="720"/>
        <w:rPr>
          <w:b w:val="0"/>
          <w:lang w:val="ca-ES"/>
        </w:rPr>
      </w:pPr>
    </w:p>
    <w:bookmarkEnd w:id="9"/>
    <w:p w:rsidR="00767611" w:rsidRPr="00EA5418" w:rsidRDefault="00767611" w:rsidP="006737D1">
      <w:pPr>
        <w:pStyle w:val="TEXTBOLD"/>
        <w:spacing w:line="276" w:lineRule="auto"/>
        <w:rPr>
          <w:b w:val="0"/>
          <w:sz w:val="24"/>
          <w:szCs w:val="24"/>
          <w:lang w:val="ca-ES"/>
        </w:rPr>
      </w:pPr>
      <w:r w:rsidRPr="00EA5418">
        <w:rPr>
          <w:b w:val="0"/>
          <w:sz w:val="24"/>
          <w:szCs w:val="24"/>
          <w:lang w:val="ca-ES"/>
        </w:rPr>
        <w:t xml:space="preserve">De gener a </w:t>
      </w:r>
      <w:r w:rsidR="00D561EF">
        <w:rPr>
          <w:b w:val="0"/>
          <w:sz w:val="24"/>
          <w:szCs w:val="24"/>
          <w:lang w:val="ca-ES"/>
        </w:rPr>
        <w:t>agost</w:t>
      </w:r>
      <w:r w:rsidR="0065744A">
        <w:rPr>
          <w:b w:val="0"/>
          <w:sz w:val="24"/>
          <w:szCs w:val="24"/>
          <w:lang w:val="ca-ES"/>
        </w:rPr>
        <w:t xml:space="preserve"> de 201</w:t>
      </w:r>
      <w:r w:rsidR="00AD7280">
        <w:rPr>
          <w:b w:val="0"/>
          <w:sz w:val="24"/>
          <w:szCs w:val="24"/>
          <w:lang w:val="ca-ES"/>
        </w:rPr>
        <w:t>8</w:t>
      </w:r>
      <w:r w:rsidRPr="00EA5418">
        <w:rPr>
          <w:b w:val="0"/>
          <w:sz w:val="24"/>
          <w:szCs w:val="24"/>
          <w:lang w:val="ca-ES"/>
        </w:rPr>
        <w:t xml:space="preserve"> s’han di</w:t>
      </w:r>
      <w:r>
        <w:rPr>
          <w:b w:val="0"/>
          <w:sz w:val="24"/>
          <w:szCs w:val="24"/>
          <w:lang w:val="ca-ES"/>
        </w:rPr>
        <w:t xml:space="preserve">positat </w:t>
      </w:r>
      <w:r w:rsidR="00277F24">
        <w:rPr>
          <w:b w:val="0"/>
          <w:sz w:val="24"/>
          <w:szCs w:val="24"/>
          <w:lang w:val="ca-ES"/>
        </w:rPr>
        <w:t>711</w:t>
      </w:r>
      <w:r>
        <w:rPr>
          <w:b w:val="0"/>
          <w:sz w:val="24"/>
          <w:szCs w:val="24"/>
          <w:lang w:val="ca-ES"/>
        </w:rPr>
        <w:t xml:space="preserve"> </w:t>
      </w:r>
      <w:r w:rsidRPr="00EA5418">
        <w:rPr>
          <w:b w:val="0"/>
          <w:sz w:val="24"/>
          <w:szCs w:val="24"/>
          <w:lang w:val="ca-ES"/>
        </w:rPr>
        <w:t>inaplicacions de conveni</w:t>
      </w:r>
      <w:r>
        <w:rPr>
          <w:b w:val="0"/>
          <w:sz w:val="24"/>
          <w:szCs w:val="24"/>
          <w:lang w:val="ca-ES"/>
        </w:rPr>
        <w:t xml:space="preserve"> (un </w:t>
      </w:r>
      <w:r w:rsidR="00277F24">
        <w:rPr>
          <w:b w:val="0"/>
          <w:sz w:val="24"/>
          <w:szCs w:val="24"/>
          <w:lang w:val="ca-ES"/>
        </w:rPr>
        <w:t>6,69</w:t>
      </w:r>
      <w:r w:rsidRPr="00EA5418">
        <w:rPr>
          <w:b w:val="0"/>
          <w:sz w:val="24"/>
          <w:szCs w:val="24"/>
          <w:lang w:val="ca-ES"/>
        </w:rPr>
        <w:t>%</w:t>
      </w:r>
      <w:r w:rsidR="00F60F3E">
        <w:rPr>
          <w:b w:val="0"/>
          <w:sz w:val="24"/>
          <w:szCs w:val="24"/>
          <w:lang w:val="ca-ES"/>
        </w:rPr>
        <w:t xml:space="preserve"> menys</w:t>
      </w:r>
      <w:r w:rsidRPr="00EA5418">
        <w:rPr>
          <w:b w:val="0"/>
          <w:sz w:val="24"/>
          <w:szCs w:val="24"/>
          <w:lang w:val="ca-ES"/>
        </w:rPr>
        <w:t xml:space="preserve"> respecte el mateix període de l’any 201</w:t>
      </w:r>
      <w:r w:rsidR="00AD7280">
        <w:rPr>
          <w:b w:val="0"/>
          <w:sz w:val="24"/>
          <w:szCs w:val="24"/>
          <w:lang w:val="ca-ES"/>
        </w:rPr>
        <w:t>7</w:t>
      </w:r>
      <w:r w:rsidRPr="00EA5418">
        <w:rPr>
          <w:b w:val="0"/>
          <w:sz w:val="24"/>
          <w:szCs w:val="24"/>
          <w:lang w:val="ca-ES"/>
        </w:rPr>
        <w:t xml:space="preserve">), </w:t>
      </w:r>
      <w:r>
        <w:rPr>
          <w:b w:val="0"/>
          <w:sz w:val="24"/>
          <w:szCs w:val="24"/>
          <w:lang w:val="ca-ES"/>
        </w:rPr>
        <w:t>l</w:t>
      </w:r>
      <w:r w:rsidRPr="00EA5418">
        <w:rPr>
          <w:b w:val="0"/>
          <w:sz w:val="24"/>
          <w:szCs w:val="24"/>
          <w:lang w:val="ca-ES"/>
        </w:rPr>
        <w:t xml:space="preserve">es quals han estat presentades per </w:t>
      </w:r>
      <w:r w:rsidR="00277F24">
        <w:rPr>
          <w:b w:val="0"/>
          <w:sz w:val="24"/>
          <w:szCs w:val="24"/>
          <w:lang w:val="ca-ES"/>
        </w:rPr>
        <w:t>649</w:t>
      </w:r>
      <w:r>
        <w:rPr>
          <w:b w:val="0"/>
          <w:sz w:val="24"/>
          <w:szCs w:val="24"/>
          <w:lang w:val="ca-ES"/>
        </w:rPr>
        <w:t xml:space="preserve"> </w:t>
      </w:r>
      <w:r w:rsidRPr="00EA5418">
        <w:rPr>
          <w:b w:val="0"/>
          <w:sz w:val="24"/>
          <w:szCs w:val="24"/>
          <w:lang w:val="ca-ES"/>
        </w:rPr>
        <w:t>empreses</w:t>
      </w:r>
      <w:r w:rsidR="00AD7280">
        <w:rPr>
          <w:b w:val="0"/>
          <w:sz w:val="24"/>
          <w:szCs w:val="24"/>
          <w:lang w:val="ca-ES"/>
        </w:rPr>
        <w:t xml:space="preserve"> (un </w:t>
      </w:r>
      <w:r w:rsidR="00277F24">
        <w:rPr>
          <w:b w:val="0"/>
          <w:sz w:val="24"/>
          <w:szCs w:val="24"/>
          <w:lang w:val="ca-ES"/>
        </w:rPr>
        <w:t>8,72</w:t>
      </w:r>
      <w:r w:rsidR="00AD7280">
        <w:rPr>
          <w:b w:val="0"/>
          <w:sz w:val="24"/>
          <w:szCs w:val="24"/>
          <w:lang w:val="ca-ES"/>
        </w:rPr>
        <w:t>%</w:t>
      </w:r>
      <w:r w:rsidR="00F06B95">
        <w:rPr>
          <w:b w:val="0"/>
          <w:sz w:val="24"/>
          <w:szCs w:val="24"/>
          <w:lang w:val="ca-ES"/>
        </w:rPr>
        <w:t xml:space="preserve"> menys respecte el mateix període de l’any anterior)</w:t>
      </w:r>
      <w:r w:rsidRPr="00EA5418">
        <w:rPr>
          <w:b w:val="0"/>
          <w:sz w:val="24"/>
          <w:szCs w:val="24"/>
          <w:lang w:val="ca-ES"/>
        </w:rPr>
        <w:t xml:space="preserve">, i han afectat a un total de </w:t>
      </w:r>
      <w:r w:rsidR="00277F24">
        <w:rPr>
          <w:b w:val="0"/>
          <w:sz w:val="24"/>
          <w:szCs w:val="24"/>
          <w:lang w:val="ca-ES"/>
        </w:rPr>
        <w:t>12.398</w:t>
      </w:r>
      <w:r>
        <w:rPr>
          <w:b w:val="0"/>
          <w:sz w:val="24"/>
          <w:szCs w:val="24"/>
          <w:lang w:val="ca-ES"/>
        </w:rPr>
        <w:t xml:space="preserve"> </w:t>
      </w:r>
      <w:r w:rsidRPr="00EA5418">
        <w:rPr>
          <w:b w:val="0"/>
          <w:sz w:val="24"/>
          <w:szCs w:val="24"/>
          <w:lang w:val="ca-ES"/>
        </w:rPr>
        <w:t>treballadors</w:t>
      </w:r>
      <w:r w:rsidR="0065744A">
        <w:rPr>
          <w:b w:val="0"/>
          <w:sz w:val="24"/>
          <w:szCs w:val="24"/>
          <w:lang w:val="ca-ES"/>
        </w:rPr>
        <w:t xml:space="preserve"> (</w:t>
      </w:r>
      <w:r w:rsidR="00F60F3E">
        <w:rPr>
          <w:b w:val="0"/>
          <w:sz w:val="24"/>
          <w:szCs w:val="24"/>
          <w:lang w:val="ca-ES"/>
        </w:rPr>
        <w:t>-</w:t>
      </w:r>
      <w:r w:rsidR="00277F24">
        <w:rPr>
          <w:b w:val="0"/>
          <w:sz w:val="24"/>
          <w:szCs w:val="24"/>
          <w:lang w:val="ca-ES"/>
        </w:rPr>
        <w:t>16,30</w:t>
      </w:r>
      <w:r>
        <w:rPr>
          <w:b w:val="0"/>
          <w:sz w:val="24"/>
          <w:szCs w:val="24"/>
          <w:lang w:val="ca-ES"/>
        </w:rPr>
        <w:t>% respecte el mateix període de 201</w:t>
      </w:r>
      <w:r w:rsidR="00F06B95">
        <w:rPr>
          <w:b w:val="0"/>
          <w:sz w:val="24"/>
          <w:szCs w:val="24"/>
          <w:lang w:val="ca-ES"/>
        </w:rPr>
        <w:t>7</w:t>
      </w:r>
      <w:r>
        <w:rPr>
          <w:b w:val="0"/>
          <w:sz w:val="24"/>
          <w:szCs w:val="24"/>
          <w:lang w:val="ca-ES"/>
        </w:rPr>
        <w:t>)</w:t>
      </w:r>
      <w:r w:rsidRPr="00EA5418">
        <w:rPr>
          <w:b w:val="0"/>
          <w:sz w:val="24"/>
          <w:szCs w:val="24"/>
          <w:lang w:val="ca-ES"/>
        </w:rPr>
        <w:t xml:space="preserve">. Per sector d’activitat, </w:t>
      </w:r>
      <w:r>
        <w:rPr>
          <w:b w:val="0"/>
          <w:sz w:val="24"/>
          <w:szCs w:val="24"/>
          <w:lang w:val="ca-ES"/>
        </w:rPr>
        <w:t xml:space="preserve">el </w:t>
      </w:r>
      <w:r w:rsidR="00277F24">
        <w:rPr>
          <w:b w:val="0"/>
          <w:sz w:val="24"/>
          <w:szCs w:val="24"/>
          <w:lang w:val="ca-ES"/>
        </w:rPr>
        <w:t>74,54</w:t>
      </w:r>
      <w:r>
        <w:rPr>
          <w:b w:val="0"/>
          <w:sz w:val="24"/>
          <w:szCs w:val="24"/>
          <w:lang w:val="ca-ES"/>
        </w:rPr>
        <w:t xml:space="preserve">% de les inaplicacions presentades han sigut en el sector serveis. </w:t>
      </w:r>
    </w:p>
    <w:p w:rsidR="00277F24" w:rsidRDefault="00277F24" w:rsidP="006737D1">
      <w:pPr>
        <w:pStyle w:val="TEXTBOLD"/>
        <w:spacing w:line="276" w:lineRule="auto"/>
        <w:rPr>
          <w:b w:val="0"/>
          <w:sz w:val="24"/>
          <w:szCs w:val="24"/>
          <w:lang w:val="ca-ES"/>
        </w:rPr>
      </w:pPr>
    </w:p>
    <w:p w:rsidR="00767611" w:rsidRPr="00EA5418" w:rsidRDefault="00767611" w:rsidP="006737D1">
      <w:pPr>
        <w:pStyle w:val="TEXTBOLD"/>
        <w:spacing w:line="276" w:lineRule="auto"/>
        <w:rPr>
          <w:b w:val="0"/>
          <w:sz w:val="24"/>
          <w:szCs w:val="24"/>
          <w:lang w:val="ca-ES"/>
        </w:rPr>
      </w:pPr>
      <w:r w:rsidRPr="00EA5418">
        <w:rPr>
          <w:b w:val="0"/>
          <w:sz w:val="24"/>
          <w:szCs w:val="24"/>
          <w:lang w:val="ca-ES"/>
        </w:rPr>
        <w:t xml:space="preserve">De les </w:t>
      </w:r>
      <w:r w:rsidR="00277F24">
        <w:rPr>
          <w:b w:val="0"/>
          <w:sz w:val="24"/>
          <w:szCs w:val="24"/>
          <w:lang w:val="ca-ES"/>
        </w:rPr>
        <w:t>711</w:t>
      </w:r>
      <w:r>
        <w:rPr>
          <w:b w:val="0"/>
          <w:sz w:val="24"/>
          <w:szCs w:val="24"/>
          <w:lang w:val="ca-ES"/>
        </w:rPr>
        <w:t xml:space="preserve"> </w:t>
      </w:r>
      <w:r w:rsidRPr="00EA5418">
        <w:rPr>
          <w:b w:val="0"/>
          <w:sz w:val="24"/>
          <w:szCs w:val="24"/>
          <w:lang w:val="ca-ES"/>
        </w:rPr>
        <w:t xml:space="preserve">inaplicacions presentades, </w:t>
      </w:r>
      <w:r w:rsidR="00277F24">
        <w:rPr>
          <w:b w:val="0"/>
          <w:sz w:val="24"/>
          <w:szCs w:val="24"/>
          <w:lang w:val="ca-ES"/>
        </w:rPr>
        <w:t>15</w:t>
      </w:r>
      <w:r>
        <w:rPr>
          <w:b w:val="0"/>
          <w:sz w:val="24"/>
          <w:szCs w:val="24"/>
          <w:lang w:val="ca-ES"/>
        </w:rPr>
        <w:t xml:space="preserve"> </w:t>
      </w:r>
      <w:r w:rsidRPr="00EA5418">
        <w:rPr>
          <w:b w:val="0"/>
          <w:sz w:val="24"/>
          <w:szCs w:val="24"/>
          <w:lang w:val="ca-ES"/>
        </w:rPr>
        <w:t>han sigut del sector agrari (</w:t>
      </w:r>
      <w:r w:rsidR="00F06B95">
        <w:rPr>
          <w:b w:val="0"/>
          <w:sz w:val="24"/>
          <w:szCs w:val="24"/>
          <w:lang w:val="ca-ES"/>
        </w:rPr>
        <w:t>2,</w:t>
      </w:r>
      <w:r w:rsidR="00277F24">
        <w:rPr>
          <w:b w:val="0"/>
          <w:sz w:val="24"/>
          <w:szCs w:val="24"/>
          <w:lang w:val="ca-ES"/>
        </w:rPr>
        <w:t>11</w:t>
      </w:r>
      <w:r w:rsidRPr="00EA5418">
        <w:rPr>
          <w:b w:val="0"/>
          <w:sz w:val="24"/>
          <w:szCs w:val="24"/>
          <w:lang w:val="ca-ES"/>
        </w:rPr>
        <w:t xml:space="preserve">%) –afectant a  </w:t>
      </w:r>
      <w:r w:rsidR="00277F24">
        <w:rPr>
          <w:b w:val="0"/>
          <w:sz w:val="24"/>
          <w:szCs w:val="24"/>
          <w:lang w:val="ca-ES"/>
        </w:rPr>
        <w:t>14</w:t>
      </w:r>
      <w:r>
        <w:rPr>
          <w:b w:val="0"/>
          <w:sz w:val="24"/>
          <w:szCs w:val="24"/>
          <w:lang w:val="ca-ES"/>
        </w:rPr>
        <w:t xml:space="preserve"> </w:t>
      </w:r>
      <w:r w:rsidRPr="00EA5418">
        <w:rPr>
          <w:b w:val="0"/>
          <w:sz w:val="24"/>
          <w:szCs w:val="24"/>
          <w:lang w:val="ca-ES"/>
        </w:rPr>
        <w:t xml:space="preserve">empreses i  </w:t>
      </w:r>
      <w:r w:rsidR="00277F24">
        <w:rPr>
          <w:b w:val="0"/>
          <w:sz w:val="24"/>
          <w:szCs w:val="24"/>
          <w:lang w:val="ca-ES"/>
        </w:rPr>
        <w:t>365</w:t>
      </w:r>
      <w:r>
        <w:rPr>
          <w:b w:val="0"/>
          <w:sz w:val="24"/>
          <w:szCs w:val="24"/>
          <w:lang w:val="ca-ES"/>
        </w:rPr>
        <w:t xml:space="preserve"> </w:t>
      </w:r>
      <w:r w:rsidRPr="00EA5418">
        <w:rPr>
          <w:b w:val="0"/>
          <w:sz w:val="24"/>
          <w:szCs w:val="24"/>
          <w:lang w:val="ca-ES"/>
        </w:rPr>
        <w:t xml:space="preserve">treballadors-, </w:t>
      </w:r>
      <w:r w:rsidR="00277F24">
        <w:rPr>
          <w:b w:val="0"/>
          <w:sz w:val="24"/>
          <w:szCs w:val="24"/>
          <w:lang w:val="ca-ES"/>
        </w:rPr>
        <w:t>81</w:t>
      </w:r>
      <w:r w:rsidRPr="00EA5418">
        <w:rPr>
          <w:b w:val="0"/>
          <w:sz w:val="24"/>
          <w:szCs w:val="24"/>
          <w:lang w:val="ca-ES"/>
        </w:rPr>
        <w:t xml:space="preserve"> del sector de la indústria (</w:t>
      </w:r>
      <w:r w:rsidR="00277F24">
        <w:rPr>
          <w:b w:val="0"/>
          <w:sz w:val="24"/>
          <w:szCs w:val="24"/>
          <w:lang w:val="ca-ES"/>
        </w:rPr>
        <w:t>11,39</w:t>
      </w:r>
      <w:r>
        <w:rPr>
          <w:b w:val="0"/>
          <w:sz w:val="24"/>
          <w:szCs w:val="24"/>
          <w:lang w:val="ca-ES"/>
        </w:rPr>
        <w:t>%) –afectant a</w:t>
      </w:r>
      <w:r w:rsidR="0065744A">
        <w:rPr>
          <w:b w:val="0"/>
          <w:sz w:val="24"/>
          <w:szCs w:val="24"/>
          <w:lang w:val="ca-ES"/>
        </w:rPr>
        <w:t xml:space="preserve"> </w:t>
      </w:r>
      <w:r w:rsidR="00277F24">
        <w:rPr>
          <w:b w:val="0"/>
          <w:sz w:val="24"/>
          <w:szCs w:val="24"/>
          <w:lang w:val="ca-ES"/>
        </w:rPr>
        <w:t>74</w:t>
      </w:r>
      <w:r w:rsidRPr="00EA5418">
        <w:rPr>
          <w:b w:val="0"/>
          <w:sz w:val="24"/>
          <w:szCs w:val="24"/>
          <w:lang w:val="ca-ES"/>
        </w:rPr>
        <w:t xml:space="preserve"> empreses i  </w:t>
      </w:r>
      <w:r w:rsidR="00277F24">
        <w:rPr>
          <w:b w:val="0"/>
          <w:sz w:val="24"/>
          <w:szCs w:val="24"/>
          <w:lang w:val="ca-ES"/>
        </w:rPr>
        <w:t>4.236</w:t>
      </w:r>
      <w:r>
        <w:rPr>
          <w:b w:val="0"/>
          <w:sz w:val="24"/>
          <w:szCs w:val="24"/>
          <w:lang w:val="ca-ES"/>
        </w:rPr>
        <w:t xml:space="preserve"> </w:t>
      </w:r>
      <w:r w:rsidRPr="00EA5418">
        <w:rPr>
          <w:b w:val="0"/>
          <w:sz w:val="24"/>
          <w:szCs w:val="24"/>
          <w:lang w:val="ca-ES"/>
        </w:rPr>
        <w:t xml:space="preserve">treballadors-, </w:t>
      </w:r>
      <w:r w:rsidR="00277F24">
        <w:rPr>
          <w:b w:val="0"/>
          <w:sz w:val="24"/>
          <w:szCs w:val="24"/>
          <w:lang w:val="ca-ES"/>
        </w:rPr>
        <w:t>85</w:t>
      </w:r>
      <w:r w:rsidRPr="00EA5418">
        <w:rPr>
          <w:b w:val="0"/>
          <w:sz w:val="24"/>
          <w:szCs w:val="24"/>
          <w:lang w:val="ca-ES"/>
        </w:rPr>
        <w:t xml:space="preserve"> a la construcció </w:t>
      </w:r>
      <w:r w:rsidR="0065744A">
        <w:rPr>
          <w:b w:val="0"/>
          <w:sz w:val="24"/>
          <w:szCs w:val="24"/>
          <w:lang w:val="ca-ES"/>
        </w:rPr>
        <w:t>(</w:t>
      </w:r>
      <w:r w:rsidR="00277F24">
        <w:rPr>
          <w:b w:val="0"/>
          <w:sz w:val="24"/>
          <w:szCs w:val="24"/>
          <w:lang w:val="ca-ES"/>
        </w:rPr>
        <w:t>11,95</w:t>
      </w:r>
      <w:r w:rsidRPr="00EA5418">
        <w:rPr>
          <w:b w:val="0"/>
          <w:sz w:val="24"/>
          <w:szCs w:val="24"/>
          <w:lang w:val="ca-ES"/>
        </w:rPr>
        <w:t xml:space="preserve">%)- afectant a </w:t>
      </w:r>
      <w:r w:rsidR="00277F24">
        <w:rPr>
          <w:b w:val="0"/>
          <w:sz w:val="24"/>
          <w:szCs w:val="24"/>
          <w:lang w:val="ca-ES"/>
        </w:rPr>
        <w:t>76</w:t>
      </w:r>
      <w:r w:rsidRPr="00EA5418">
        <w:rPr>
          <w:b w:val="0"/>
          <w:sz w:val="24"/>
          <w:szCs w:val="24"/>
          <w:lang w:val="ca-ES"/>
        </w:rPr>
        <w:t xml:space="preserve"> empreses i </w:t>
      </w:r>
      <w:r w:rsidR="00277F24">
        <w:rPr>
          <w:b w:val="0"/>
          <w:sz w:val="24"/>
          <w:szCs w:val="24"/>
          <w:lang w:val="ca-ES"/>
        </w:rPr>
        <w:t>1.371</w:t>
      </w:r>
      <w:r w:rsidRPr="00EA5418">
        <w:rPr>
          <w:b w:val="0"/>
          <w:sz w:val="24"/>
          <w:szCs w:val="24"/>
          <w:lang w:val="ca-ES"/>
        </w:rPr>
        <w:t xml:space="preserve"> treballadors- i </w:t>
      </w:r>
      <w:r w:rsidR="00277F24">
        <w:rPr>
          <w:b w:val="0"/>
          <w:sz w:val="24"/>
          <w:szCs w:val="24"/>
          <w:lang w:val="ca-ES"/>
        </w:rPr>
        <w:t>530</w:t>
      </w:r>
      <w:r w:rsidRPr="00EA5418">
        <w:rPr>
          <w:b w:val="0"/>
          <w:sz w:val="24"/>
          <w:szCs w:val="24"/>
          <w:lang w:val="ca-ES"/>
        </w:rPr>
        <w:t xml:space="preserve"> al sector serveis </w:t>
      </w:r>
      <w:r>
        <w:rPr>
          <w:b w:val="0"/>
          <w:sz w:val="24"/>
          <w:szCs w:val="24"/>
          <w:lang w:val="ca-ES"/>
        </w:rPr>
        <w:t>(</w:t>
      </w:r>
      <w:r w:rsidR="00277F24">
        <w:rPr>
          <w:b w:val="0"/>
          <w:sz w:val="24"/>
          <w:szCs w:val="24"/>
          <w:lang w:val="ca-ES"/>
        </w:rPr>
        <w:t>74,54</w:t>
      </w:r>
      <w:r w:rsidRPr="00EA5418">
        <w:rPr>
          <w:b w:val="0"/>
          <w:sz w:val="24"/>
          <w:szCs w:val="24"/>
          <w:lang w:val="ca-ES"/>
        </w:rPr>
        <w:t>%)</w:t>
      </w:r>
      <w:r>
        <w:rPr>
          <w:b w:val="0"/>
          <w:sz w:val="24"/>
          <w:szCs w:val="24"/>
          <w:lang w:val="ca-ES"/>
        </w:rPr>
        <w:t>–</w:t>
      </w:r>
      <w:r w:rsidR="00277F24">
        <w:rPr>
          <w:b w:val="0"/>
          <w:sz w:val="24"/>
          <w:szCs w:val="24"/>
          <w:lang w:val="ca-ES"/>
        </w:rPr>
        <w:t>485</w:t>
      </w:r>
      <w:r w:rsidRPr="00EA5418">
        <w:rPr>
          <w:b w:val="0"/>
          <w:sz w:val="24"/>
          <w:szCs w:val="24"/>
          <w:lang w:val="ca-ES"/>
        </w:rPr>
        <w:t xml:space="preserve"> empreses i  </w:t>
      </w:r>
      <w:r w:rsidR="00277F24">
        <w:rPr>
          <w:b w:val="0"/>
          <w:sz w:val="24"/>
          <w:szCs w:val="24"/>
          <w:lang w:val="ca-ES"/>
        </w:rPr>
        <w:t>6.426</w:t>
      </w:r>
      <w:r>
        <w:rPr>
          <w:b w:val="0"/>
          <w:sz w:val="24"/>
          <w:szCs w:val="24"/>
          <w:lang w:val="ca-ES"/>
        </w:rPr>
        <w:t xml:space="preserve"> </w:t>
      </w:r>
      <w:r w:rsidRPr="00EA5418">
        <w:rPr>
          <w:b w:val="0"/>
          <w:sz w:val="24"/>
          <w:szCs w:val="24"/>
          <w:lang w:val="ca-ES"/>
        </w:rPr>
        <w:t>treballadors-.</w:t>
      </w:r>
    </w:p>
    <w:p w:rsidR="00767611" w:rsidRPr="00EA5418" w:rsidRDefault="00767611" w:rsidP="006737D1">
      <w:pPr>
        <w:pStyle w:val="TEXTBOLD"/>
        <w:spacing w:line="276" w:lineRule="auto"/>
        <w:rPr>
          <w:b w:val="0"/>
          <w:sz w:val="24"/>
          <w:szCs w:val="24"/>
          <w:lang w:val="ca-ES"/>
        </w:rPr>
      </w:pPr>
    </w:p>
    <w:p w:rsidR="00767611" w:rsidRDefault="00767611" w:rsidP="006737D1">
      <w:pPr>
        <w:pStyle w:val="TEXTBOLD"/>
        <w:spacing w:line="276" w:lineRule="auto"/>
        <w:rPr>
          <w:b w:val="0"/>
          <w:sz w:val="24"/>
          <w:szCs w:val="24"/>
          <w:lang w:val="ca-ES"/>
        </w:rPr>
      </w:pPr>
      <w:r>
        <w:rPr>
          <w:b w:val="0"/>
          <w:sz w:val="24"/>
          <w:szCs w:val="24"/>
          <w:lang w:val="ca-ES"/>
        </w:rPr>
        <w:t xml:space="preserve">En xifres acumulades des de març de 2012 fins a </w:t>
      </w:r>
      <w:r w:rsidR="00277F24">
        <w:rPr>
          <w:b w:val="0"/>
          <w:sz w:val="24"/>
          <w:szCs w:val="24"/>
          <w:lang w:val="ca-ES"/>
        </w:rPr>
        <w:t>agost</w:t>
      </w:r>
      <w:r w:rsidR="0065744A">
        <w:rPr>
          <w:b w:val="0"/>
          <w:sz w:val="24"/>
          <w:szCs w:val="24"/>
          <w:lang w:val="ca-ES"/>
        </w:rPr>
        <w:t xml:space="preserve"> de 201</w:t>
      </w:r>
      <w:r w:rsidR="00FA42CA">
        <w:rPr>
          <w:b w:val="0"/>
          <w:sz w:val="24"/>
          <w:szCs w:val="24"/>
          <w:lang w:val="ca-ES"/>
        </w:rPr>
        <w:t>8</w:t>
      </w:r>
      <w:r>
        <w:rPr>
          <w:b w:val="0"/>
          <w:sz w:val="24"/>
          <w:szCs w:val="24"/>
          <w:lang w:val="ca-ES"/>
        </w:rPr>
        <w:t xml:space="preserve">, </w:t>
      </w:r>
      <w:r w:rsidRPr="00EA5418">
        <w:rPr>
          <w:b w:val="0"/>
          <w:sz w:val="24"/>
          <w:szCs w:val="24"/>
          <w:lang w:val="ca-ES"/>
        </w:rPr>
        <w:t xml:space="preserve"> s’han dipositat davant les diferents autoritats laborals un total de </w:t>
      </w:r>
      <w:r w:rsidR="00FA42CA">
        <w:rPr>
          <w:b w:val="0"/>
          <w:sz w:val="24"/>
          <w:szCs w:val="24"/>
          <w:lang w:val="ca-ES"/>
        </w:rPr>
        <w:t>9.</w:t>
      </w:r>
      <w:r w:rsidR="00277F24">
        <w:rPr>
          <w:b w:val="0"/>
          <w:sz w:val="24"/>
          <w:szCs w:val="24"/>
          <w:lang w:val="ca-ES"/>
        </w:rPr>
        <w:t xml:space="preserve">883 </w:t>
      </w:r>
      <w:r w:rsidRPr="00EA5418">
        <w:rPr>
          <w:b w:val="0"/>
          <w:sz w:val="24"/>
          <w:szCs w:val="24"/>
          <w:lang w:val="ca-ES"/>
        </w:rPr>
        <w:t>inaplicacions de Conveni, amb una afectació a</w:t>
      </w:r>
      <w:r>
        <w:rPr>
          <w:b w:val="0"/>
          <w:sz w:val="24"/>
          <w:szCs w:val="24"/>
          <w:lang w:val="ca-ES"/>
        </w:rPr>
        <w:t xml:space="preserve"> </w:t>
      </w:r>
      <w:r w:rsidR="00277F24">
        <w:rPr>
          <w:b w:val="0"/>
          <w:sz w:val="24"/>
          <w:szCs w:val="24"/>
          <w:lang w:val="ca-ES"/>
        </w:rPr>
        <w:t>366.365</w:t>
      </w:r>
      <w:r w:rsidRPr="00EA5418">
        <w:rPr>
          <w:b w:val="0"/>
          <w:sz w:val="24"/>
          <w:szCs w:val="24"/>
          <w:lang w:val="ca-ES"/>
        </w:rPr>
        <w:t xml:space="preserve"> treballadors.</w:t>
      </w:r>
    </w:p>
    <w:p w:rsidR="000A24EA" w:rsidRPr="00EA5418" w:rsidRDefault="000A24EA" w:rsidP="006737D1">
      <w:pPr>
        <w:pStyle w:val="TEXTBOLD"/>
        <w:spacing w:line="276" w:lineRule="auto"/>
        <w:rPr>
          <w:b w:val="0"/>
          <w:sz w:val="24"/>
          <w:szCs w:val="24"/>
          <w:lang w:val="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1398"/>
        <w:gridCol w:w="1251"/>
        <w:gridCol w:w="1373"/>
        <w:gridCol w:w="1251"/>
        <w:gridCol w:w="1597"/>
        <w:gridCol w:w="1144"/>
      </w:tblGrid>
      <w:tr w:rsidR="00767611" w:rsidRPr="00EA5418" w:rsidTr="00767611">
        <w:trPr>
          <w:jc w:val="center"/>
        </w:trPr>
        <w:tc>
          <w:tcPr>
            <w:tcW w:w="1445" w:type="dxa"/>
            <w:tcBorders>
              <w:top w:val="nil"/>
              <w:left w:val="nil"/>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Sector activitat</w:t>
            </w:r>
          </w:p>
        </w:tc>
        <w:tc>
          <w:tcPr>
            <w:tcW w:w="1398" w:type="dxa"/>
            <w:tcBorders>
              <w:top w:val="nil"/>
              <w:left w:val="single" w:sz="4" w:space="0" w:color="FFFFFF"/>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proofErr w:type="spellStart"/>
            <w:r w:rsidRPr="003E2B63">
              <w:rPr>
                <w:color w:val="FFFFFF"/>
                <w:lang w:val="ca-ES"/>
              </w:rPr>
              <w:t>I.Convenis</w:t>
            </w:r>
            <w:proofErr w:type="spellEnd"/>
          </w:p>
        </w:tc>
        <w:tc>
          <w:tcPr>
            <w:tcW w:w="1251" w:type="dxa"/>
            <w:tcBorders>
              <w:top w:val="nil"/>
              <w:left w:val="single" w:sz="4" w:space="0" w:color="FFFFFF"/>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 total</w:t>
            </w:r>
          </w:p>
        </w:tc>
        <w:tc>
          <w:tcPr>
            <w:tcW w:w="1373" w:type="dxa"/>
            <w:tcBorders>
              <w:top w:val="nil"/>
              <w:left w:val="single" w:sz="4" w:space="0" w:color="FFFFFF"/>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Empreses</w:t>
            </w:r>
          </w:p>
        </w:tc>
        <w:tc>
          <w:tcPr>
            <w:tcW w:w="1251" w:type="dxa"/>
            <w:tcBorders>
              <w:top w:val="nil"/>
              <w:left w:val="single" w:sz="4" w:space="0" w:color="FFFFFF"/>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 total</w:t>
            </w:r>
          </w:p>
        </w:tc>
        <w:tc>
          <w:tcPr>
            <w:tcW w:w="1597" w:type="dxa"/>
            <w:tcBorders>
              <w:top w:val="nil"/>
              <w:left w:val="single" w:sz="4" w:space="0" w:color="FFFFFF"/>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Treballadors</w:t>
            </w:r>
          </w:p>
        </w:tc>
        <w:tc>
          <w:tcPr>
            <w:tcW w:w="1144" w:type="dxa"/>
            <w:tcBorders>
              <w:top w:val="nil"/>
              <w:left w:val="single" w:sz="4" w:space="0" w:color="FFFFFF"/>
              <w:right w:val="nil"/>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%total</w:t>
            </w:r>
          </w:p>
        </w:tc>
      </w:tr>
      <w:tr w:rsidR="00D12AC1" w:rsidRPr="00EA5418" w:rsidTr="00D12AC1">
        <w:trPr>
          <w:jc w:val="center"/>
        </w:trPr>
        <w:tc>
          <w:tcPr>
            <w:tcW w:w="1445" w:type="dxa"/>
            <w:tcBorders>
              <w:top w:val="single" w:sz="24" w:space="0" w:color="FFFFFF"/>
              <w:left w:val="nil"/>
              <w:bottom w:val="single" w:sz="24" w:space="0" w:color="FFFFFF"/>
              <w:right w:val="single" w:sz="24" w:space="0" w:color="FFFFFF"/>
            </w:tcBorders>
            <w:shd w:val="clear" w:color="auto" w:fill="C00000"/>
          </w:tcPr>
          <w:p w:rsidR="00D12AC1" w:rsidRPr="003E2B63" w:rsidRDefault="00D12AC1" w:rsidP="00767611">
            <w:pPr>
              <w:pStyle w:val="TEXTBOLD"/>
              <w:spacing w:line="276" w:lineRule="auto"/>
              <w:jc w:val="center"/>
              <w:rPr>
                <w:color w:val="FFFFFF"/>
                <w:lang w:val="ca-ES"/>
              </w:rPr>
            </w:pPr>
            <w:r w:rsidRPr="003E2B63">
              <w:rPr>
                <w:color w:val="FFFFFF"/>
                <w:lang w:val="ca-ES"/>
              </w:rPr>
              <w:t>Agrari</w:t>
            </w:r>
          </w:p>
        </w:tc>
        <w:tc>
          <w:tcPr>
            <w:tcW w:w="139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15</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2,11</w:t>
            </w:r>
          </w:p>
        </w:tc>
        <w:tc>
          <w:tcPr>
            <w:tcW w:w="1373"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14</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2,16</w:t>
            </w:r>
          </w:p>
        </w:tc>
        <w:tc>
          <w:tcPr>
            <w:tcW w:w="1597"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365</w:t>
            </w:r>
          </w:p>
        </w:tc>
        <w:tc>
          <w:tcPr>
            <w:tcW w:w="1144" w:type="dxa"/>
            <w:tcBorders>
              <w:top w:val="single" w:sz="24" w:space="0" w:color="FFFFFF"/>
              <w:left w:val="single" w:sz="24" w:space="0" w:color="FFFFFF"/>
              <w:bottom w:val="single" w:sz="24" w:space="0" w:color="FFFFFF"/>
              <w:right w:val="nil"/>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2,94</w:t>
            </w:r>
          </w:p>
        </w:tc>
      </w:tr>
      <w:tr w:rsidR="00D12AC1" w:rsidRPr="00EA5418" w:rsidTr="00D12AC1">
        <w:trPr>
          <w:jc w:val="center"/>
        </w:trPr>
        <w:tc>
          <w:tcPr>
            <w:tcW w:w="1445" w:type="dxa"/>
            <w:tcBorders>
              <w:top w:val="single" w:sz="24" w:space="0" w:color="FFFFFF"/>
              <w:left w:val="nil"/>
              <w:bottom w:val="single" w:sz="24" w:space="0" w:color="FFFFFF"/>
              <w:right w:val="single" w:sz="24" w:space="0" w:color="FFFFFF"/>
            </w:tcBorders>
            <w:shd w:val="clear" w:color="auto" w:fill="C00000"/>
          </w:tcPr>
          <w:p w:rsidR="00D12AC1" w:rsidRPr="003E2B63" w:rsidRDefault="00D12AC1" w:rsidP="00767611">
            <w:pPr>
              <w:pStyle w:val="TEXTBOLD"/>
              <w:spacing w:line="276" w:lineRule="auto"/>
              <w:jc w:val="center"/>
              <w:rPr>
                <w:color w:val="FFFFFF"/>
                <w:lang w:val="ca-ES"/>
              </w:rPr>
            </w:pPr>
            <w:r w:rsidRPr="003E2B63">
              <w:rPr>
                <w:color w:val="FFFFFF"/>
                <w:lang w:val="ca-ES"/>
              </w:rPr>
              <w:t>Indústria</w:t>
            </w:r>
          </w:p>
        </w:tc>
        <w:tc>
          <w:tcPr>
            <w:tcW w:w="139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81</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11,39</w:t>
            </w:r>
          </w:p>
        </w:tc>
        <w:tc>
          <w:tcPr>
            <w:tcW w:w="1373"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74</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11,40</w:t>
            </w:r>
          </w:p>
        </w:tc>
        <w:tc>
          <w:tcPr>
            <w:tcW w:w="1597"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4.236</w:t>
            </w:r>
          </w:p>
        </w:tc>
        <w:tc>
          <w:tcPr>
            <w:tcW w:w="1144" w:type="dxa"/>
            <w:tcBorders>
              <w:top w:val="single" w:sz="24" w:space="0" w:color="FFFFFF"/>
              <w:left w:val="single" w:sz="24" w:space="0" w:color="FFFFFF"/>
              <w:bottom w:val="single" w:sz="24" w:space="0" w:color="FFFFFF"/>
              <w:right w:val="nil"/>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34,17</w:t>
            </w:r>
          </w:p>
        </w:tc>
      </w:tr>
      <w:tr w:rsidR="00D12AC1" w:rsidRPr="00EA5418" w:rsidTr="00D12AC1">
        <w:trPr>
          <w:jc w:val="center"/>
        </w:trPr>
        <w:tc>
          <w:tcPr>
            <w:tcW w:w="1445" w:type="dxa"/>
            <w:tcBorders>
              <w:top w:val="single" w:sz="24" w:space="0" w:color="FFFFFF"/>
              <w:left w:val="nil"/>
              <w:bottom w:val="single" w:sz="24" w:space="0" w:color="FFFFFF"/>
              <w:right w:val="single" w:sz="24" w:space="0" w:color="FFFFFF"/>
            </w:tcBorders>
            <w:shd w:val="clear" w:color="auto" w:fill="C00000"/>
          </w:tcPr>
          <w:p w:rsidR="00D12AC1" w:rsidRPr="003E2B63" w:rsidRDefault="00D12AC1" w:rsidP="00767611">
            <w:pPr>
              <w:pStyle w:val="TEXTBOLD"/>
              <w:spacing w:line="276" w:lineRule="auto"/>
              <w:jc w:val="center"/>
              <w:rPr>
                <w:color w:val="FFFFFF"/>
                <w:lang w:val="ca-ES"/>
              </w:rPr>
            </w:pPr>
            <w:r w:rsidRPr="003E2B63">
              <w:rPr>
                <w:color w:val="FFFFFF"/>
                <w:lang w:val="ca-ES"/>
              </w:rPr>
              <w:t>Construcció</w:t>
            </w:r>
          </w:p>
        </w:tc>
        <w:tc>
          <w:tcPr>
            <w:tcW w:w="139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85</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11,95</w:t>
            </w:r>
          </w:p>
        </w:tc>
        <w:tc>
          <w:tcPr>
            <w:tcW w:w="1373"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76</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11,71</w:t>
            </w:r>
          </w:p>
        </w:tc>
        <w:tc>
          <w:tcPr>
            <w:tcW w:w="1597"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1371</w:t>
            </w:r>
          </w:p>
        </w:tc>
        <w:tc>
          <w:tcPr>
            <w:tcW w:w="1144" w:type="dxa"/>
            <w:tcBorders>
              <w:top w:val="single" w:sz="24" w:space="0" w:color="FFFFFF"/>
              <w:left w:val="single" w:sz="24" w:space="0" w:color="FFFFFF"/>
              <w:bottom w:val="single" w:sz="24" w:space="0" w:color="FFFFFF"/>
              <w:right w:val="nil"/>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11,06</w:t>
            </w:r>
          </w:p>
        </w:tc>
      </w:tr>
      <w:tr w:rsidR="00D12AC1" w:rsidRPr="00EA5418" w:rsidTr="00D12AC1">
        <w:trPr>
          <w:jc w:val="center"/>
        </w:trPr>
        <w:tc>
          <w:tcPr>
            <w:tcW w:w="1445" w:type="dxa"/>
            <w:tcBorders>
              <w:top w:val="single" w:sz="24" w:space="0" w:color="FFFFFF"/>
              <w:left w:val="nil"/>
              <w:bottom w:val="single" w:sz="24" w:space="0" w:color="FFFFFF"/>
              <w:right w:val="single" w:sz="24" w:space="0" w:color="FFFFFF"/>
            </w:tcBorders>
            <w:shd w:val="clear" w:color="auto" w:fill="C00000"/>
          </w:tcPr>
          <w:p w:rsidR="00D12AC1" w:rsidRPr="003E2B63" w:rsidRDefault="00D12AC1" w:rsidP="00767611">
            <w:pPr>
              <w:pStyle w:val="TEXTBOLD"/>
              <w:spacing w:line="276" w:lineRule="auto"/>
              <w:jc w:val="center"/>
              <w:rPr>
                <w:color w:val="FFFFFF"/>
                <w:lang w:val="ca-ES"/>
              </w:rPr>
            </w:pPr>
            <w:r w:rsidRPr="003E2B63">
              <w:rPr>
                <w:color w:val="FFFFFF"/>
                <w:lang w:val="ca-ES"/>
              </w:rPr>
              <w:t>Serveis</w:t>
            </w:r>
          </w:p>
        </w:tc>
        <w:tc>
          <w:tcPr>
            <w:tcW w:w="139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530</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74,54</w:t>
            </w:r>
          </w:p>
        </w:tc>
        <w:tc>
          <w:tcPr>
            <w:tcW w:w="1373"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485</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74,73</w:t>
            </w:r>
          </w:p>
        </w:tc>
        <w:tc>
          <w:tcPr>
            <w:tcW w:w="1597"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6.426</w:t>
            </w:r>
          </w:p>
        </w:tc>
        <w:tc>
          <w:tcPr>
            <w:tcW w:w="1144" w:type="dxa"/>
            <w:tcBorders>
              <w:top w:val="single" w:sz="24" w:space="0" w:color="FFFFFF"/>
              <w:left w:val="single" w:sz="24" w:space="0" w:color="FFFFFF"/>
              <w:bottom w:val="single" w:sz="24" w:space="0" w:color="FFFFFF"/>
              <w:right w:val="nil"/>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51,83</w:t>
            </w:r>
          </w:p>
        </w:tc>
      </w:tr>
      <w:tr w:rsidR="00D12AC1" w:rsidRPr="00EA5418" w:rsidTr="00D12AC1">
        <w:trPr>
          <w:jc w:val="center"/>
        </w:trPr>
        <w:tc>
          <w:tcPr>
            <w:tcW w:w="1445" w:type="dxa"/>
            <w:tcBorders>
              <w:top w:val="single" w:sz="24" w:space="0" w:color="FFFFFF"/>
              <w:left w:val="nil"/>
              <w:bottom w:val="nil"/>
              <w:right w:val="single" w:sz="24" w:space="0" w:color="FFFFFF"/>
            </w:tcBorders>
            <w:shd w:val="clear" w:color="auto" w:fill="C00000"/>
          </w:tcPr>
          <w:p w:rsidR="00D12AC1" w:rsidRPr="003E2B63" w:rsidRDefault="00D12AC1" w:rsidP="00767611">
            <w:pPr>
              <w:pStyle w:val="TEXTBOLD"/>
              <w:spacing w:line="276" w:lineRule="auto"/>
              <w:jc w:val="center"/>
              <w:rPr>
                <w:color w:val="FFFFFF"/>
                <w:lang w:val="ca-ES"/>
              </w:rPr>
            </w:pPr>
            <w:r w:rsidRPr="003E2B63">
              <w:rPr>
                <w:color w:val="FFFFFF"/>
                <w:lang w:val="ca-ES"/>
              </w:rPr>
              <w:t>TOTAL</w:t>
            </w:r>
          </w:p>
        </w:tc>
        <w:tc>
          <w:tcPr>
            <w:tcW w:w="1398" w:type="dxa"/>
            <w:tcBorders>
              <w:top w:val="single" w:sz="24" w:space="0" w:color="FFFFFF"/>
              <w:left w:val="single" w:sz="24" w:space="0" w:color="FFFFFF"/>
              <w:bottom w:val="nil"/>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711</w:t>
            </w:r>
          </w:p>
        </w:tc>
        <w:tc>
          <w:tcPr>
            <w:tcW w:w="1251" w:type="dxa"/>
            <w:tcBorders>
              <w:top w:val="single" w:sz="24" w:space="0" w:color="FFFFFF"/>
              <w:left w:val="single" w:sz="24" w:space="0" w:color="FFFFFF"/>
              <w:bottom w:val="nil"/>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100</w:t>
            </w:r>
          </w:p>
        </w:tc>
        <w:tc>
          <w:tcPr>
            <w:tcW w:w="1373" w:type="dxa"/>
            <w:tcBorders>
              <w:top w:val="single" w:sz="24" w:space="0" w:color="FFFFFF"/>
              <w:left w:val="single" w:sz="24" w:space="0" w:color="FFFFFF"/>
              <w:bottom w:val="nil"/>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649</w:t>
            </w:r>
          </w:p>
        </w:tc>
        <w:tc>
          <w:tcPr>
            <w:tcW w:w="1251" w:type="dxa"/>
            <w:tcBorders>
              <w:top w:val="single" w:sz="24" w:space="0" w:color="FFFFFF"/>
              <w:left w:val="single" w:sz="24" w:space="0" w:color="FFFFFF"/>
              <w:bottom w:val="nil"/>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100</w:t>
            </w:r>
          </w:p>
        </w:tc>
        <w:tc>
          <w:tcPr>
            <w:tcW w:w="1597" w:type="dxa"/>
            <w:tcBorders>
              <w:top w:val="single" w:sz="24" w:space="0" w:color="FFFFFF"/>
              <w:left w:val="single" w:sz="24" w:space="0" w:color="FFFFFF"/>
              <w:bottom w:val="nil"/>
              <w:right w:val="single" w:sz="24" w:space="0" w:color="FFFFFF"/>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12.398</w:t>
            </w:r>
          </w:p>
        </w:tc>
        <w:tc>
          <w:tcPr>
            <w:tcW w:w="1144" w:type="dxa"/>
            <w:tcBorders>
              <w:top w:val="single" w:sz="24" w:space="0" w:color="FFFFFF"/>
              <w:left w:val="single" w:sz="24" w:space="0" w:color="FFFFFF"/>
              <w:bottom w:val="nil"/>
              <w:right w:val="nil"/>
            </w:tcBorders>
            <w:shd w:val="clear" w:color="auto" w:fill="F2DBDB"/>
            <w:vAlign w:val="center"/>
          </w:tcPr>
          <w:p w:rsidR="00D12AC1" w:rsidRPr="00733001" w:rsidRDefault="00D12AC1" w:rsidP="00D12AC1">
            <w:pPr>
              <w:jc w:val="center"/>
              <w:rPr>
                <w:rFonts w:ascii="Rotis Sans Serif Std" w:hAnsi="Rotis Sans Serif Std" w:cs="RotisSansSerifStd-Regular"/>
                <w:b/>
                <w:color w:val="5E6061"/>
                <w:sz w:val="22"/>
                <w:szCs w:val="22"/>
                <w:lang w:eastAsia="es-ES_tradnl"/>
              </w:rPr>
            </w:pPr>
            <w:r w:rsidRPr="00733001">
              <w:rPr>
                <w:rFonts w:ascii="Rotis Sans Serif Std" w:hAnsi="Rotis Sans Serif Std" w:cs="RotisSansSerifStd-Regular"/>
                <w:b/>
                <w:color w:val="5E6061"/>
                <w:sz w:val="22"/>
                <w:szCs w:val="22"/>
                <w:lang w:eastAsia="es-ES_tradnl"/>
              </w:rPr>
              <w:t>100</w:t>
            </w:r>
          </w:p>
        </w:tc>
      </w:tr>
    </w:tbl>
    <w:p w:rsidR="00F60F3E" w:rsidRDefault="00767611" w:rsidP="00767611">
      <w:pPr>
        <w:pStyle w:val="TEXTBOLD"/>
        <w:spacing w:line="276" w:lineRule="auto"/>
        <w:ind w:left="720"/>
        <w:jc w:val="center"/>
        <w:rPr>
          <w:b w:val="0"/>
          <w:color w:val="404040"/>
          <w:sz w:val="18"/>
          <w:lang w:val="ca-ES"/>
        </w:rPr>
      </w:pPr>
      <w:r w:rsidRPr="00EA5418">
        <w:rPr>
          <w:b w:val="0"/>
          <w:color w:val="404040"/>
          <w:sz w:val="18"/>
          <w:lang w:val="ca-ES"/>
        </w:rPr>
        <w:t xml:space="preserve">Font: Elaboració pròpia a partir de les dades del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p>
    <w:p w:rsidR="00F60F3E" w:rsidRDefault="00F60F3E">
      <w:pPr>
        <w:rPr>
          <w:rFonts w:ascii="Rotis Sans Serif Std" w:hAnsi="Rotis Sans Serif Std" w:cs="RotisSansSerifStd-Regular"/>
          <w:color w:val="404040"/>
          <w:sz w:val="18"/>
          <w:szCs w:val="22"/>
          <w:lang w:eastAsia="es-ES_tradnl"/>
        </w:rPr>
      </w:pPr>
    </w:p>
    <w:p w:rsidR="00767611" w:rsidRPr="00EA5418" w:rsidRDefault="003D3764" w:rsidP="00767611">
      <w:pPr>
        <w:pStyle w:val="TEXTBOLD"/>
        <w:spacing w:line="276" w:lineRule="auto"/>
        <w:jc w:val="center"/>
        <w:rPr>
          <w:b w:val="0"/>
          <w:u w:val="single"/>
          <w:lang w:val="ca-ES"/>
        </w:rPr>
      </w:pPr>
      <w:r>
        <w:rPr>
          <w:noProof/>
          <w:lang w:val="es-ES" w:eastAsia="es-ES"/>
        </w:rPr>
        <w:drawing>
          <wp:inline distT="0" distB="0" distL="0" distR="0" wp14:anchorId="3CEA3B72" wp14:editId="2D3551CB">
            <wp:extent cx="4500000" cy="2700000"/>
            <wp:effectExtent l="0" t="0" r="15240" b="24765"/>
            <wp:docPr id="76" name="Gráfico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67611" w:rsidRPr="00EA5418" w:rsidRDefault="00767611" w:rsidP="00767611">
      <w:pPr>
        <w:pStyle w:val="TEXTBOLD"/>
        <w:spacing w:line="276" w:lineRule="auto"/>
        <w:ind w:left="720"/>
        <w:jc w:val="center"/>
        <w:rPr>
          <w:b w:val="0"/>
          <w:color w:val="404040"/>
          <w:sz w:val="18"/>
          <w:lang w:val="ca-ES"/>
        </w:rPr>
      </w:pPr>
      <w:r w:rsidRPr="00EA5418">
        <w:rPr>
          <w:b w:val="0"/>
          <w:color w:val="404040"/>
          <w:sz w:val="18"/>
          <w:lang w:val="ca-ES"/>
        </w:rPr>
        <w:t xml:space="preserve">Font: Elaboració pròpia a partir de les dades del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p>
    <w:p w:rsidR="00FA42CA" w:rsidRDefault="00FA42CA" w:rsidP="00767611">
      <w:pPr>
        <w:pStyle w:val="TEXTBOLD"/>
        <w:spacing w:line="276" w:lineRule="auto"/>
        <w:rPr>
          <w:b w:val="0"/>
          <w:sz w:val="24"/>
          <w:szCs w:val="24"/>
          <w:lang w:val="ca-ES"/>
        </w:rPr>
      </w:pPr>
    </w:p>
    <w:p w:rsidR="00767611" w:rsidRDefault="00767611" w:rsidP="00767611">
      <w:pPr>
        <w:pStyle w:val="TEXTBOLD"/>
        <w:spacing w:line="276" w:lineRule="auto"/>
        <w:rPr>
          <w:b w:val="0"/>
          <w:sz w:val="24"/>
          <w:szCs w:val="24"/>
          <w:lang w:val="ca-ES"/>
        </w:rPr>
      </w:pPr>
      <w:r w:rsidRPr="00EA5418">
        <w:rPr>
          <w:b w:val="0"/>
          <w:sz w:val="24"/>
          <w:szCs w:val="24"/>
          <w:lang w:val="ca-ES"/>
        </w:rPr>
        <w:t>Pel que fa</w:t>
      </w:r>
      <w:r>
        <w:rPr>
          <w:b w:val="0"/>
          <w:sz w:val="24"/>
          <w:szCs w:val="24"/>
          <w:lang w:val="ca-ES"/>
        </w:rPr>
        <w:t xml:space="preserve"> a la </w:t>
      </w:r>
      <w:r w:rsidRPr="00D86BFA">
        <w:rPr>
          <w:b w:val="0"/>
          <w:sz w:val="24"/>
          <w:szCs w:val="24"/>
          <w:u w:val="single"/>
          <w:lang w:val="ca-ES"/>
        </w:rPr>
        <w:t>dimensió de l’empresa</w:t>
      </w:r>
      <w:r>
        <w:rPr>
          <w:b w:val="0"/>
          <w:sz w:val="24"/>
          <w:szCs w:val="24"/>
          <w:lang w:val="ca-ES"/>
        </w:rPr>
        <w:t xml:space="preserve">, </w:t>
      </w:r>
      <w:r w:rsidR="00CE5C83">
        <w:rPr>
          <w:b w:val="0"/>
          <w:sz w:val="24"/>
          <w:szCs w:val="24"/>
          <w:lang w:val="ca-ES"/>
        </w:rPr>
        <w:t xml:space="preserve">el </w:t>
      </w:r>
      <w:r w:rsidR="003D3764">
        <w:rPr>
          <w:b w:val="0"/>
          <w:sz w:val="24"/>
          <w:szCs w:val="24"/>
          <w:lang w:val="ca-ES"/>
        </w:rPr>
        <w:t>46,56</w:t>
      </w:r>
      <w:r w:rsidR="00CE5C83">
        <w:rPr>
          <w:b w:val="0"/>
          <w:sz w:val="24"/>
          <w:szCs w:val="24"/>
          <w:lang w:val="ca-ES"/>
        </w:rPr>
        <w:t xml:space="preserve">% dels treballadors presten els seus serveis en empreses d’entre 1 i 49 treballadors, i el </w:t>
      </w:r>
      <w:r w:rsidR="003D3764">
        <w:rPr>
          <w:b w:val="0"/>
          <w:sz w:val="24"/>
          <w:szCs w:val="24"/>
          <w:lang w:val="ca-ES"/>
        </w:rPr>
        <w:t>32,73</w:t>
      </w:r>
      <w:r>
        <w:rPr>
          <w:b w:val="0"/>
          <w:sz w:val="24"/>
          <w:szCs w:val="24"/>
          <w:lang w:val="ca-ES"/>
        </w:rPr>
        <w:t>%</w:t>
      </w:r>
      <w:r w:rsidRPr="00EA5418">
        <w:rPr>
          <w:b w:val="0"/>
          <w:sz w:val="24"/>
          <w:szCs w:val="24"/>
          <w:lang w:val="ca-ES"/>
        </w:rPr>
        <w:t xml:space="preserve"> dels treballadors afectats presten el </w:t>
      </w:r>
      <w:r>
        <w:rPr>
          <w:b w:val="0"/>
          <w:sz w:val="24"/>
          <w:szCs w:val="24"/>
          <w:lang w:val="ca-ES"/>
        </w:rPr>
        <w:t>seus serveis en empreses de</w:t>
      </w:r>
      <w:r w:rsidRPr="00EA5418">
        <w:rPr>
          <w:b w:val="0"/>
          <w:sz w:val="24"/>
          <w:szCs w:val="24"/>
          <w:lang w:val="ca-ES"/>
        </w:rPr>
        <w:t xml:space="preserve"> </w:t>
      </w:r>
      <w:r w:rsidR="003D3764">
        <w:rPr>
          <w:b w:val="0"/>
          <w:sz w:val="24"/>
          <w:szCs w:val="24"/>
          <w:lang w:val="ca-ES"/>
        </w:rPr>
        <w:t>50 a 249</w:t>
      </w:r>
      <w:r w:rsidRPr="00EA5418">
        <w:rPr>
          <w:b w:val="0"/>
          <w:sz w:val="24"/>
          <w:szCs w:val="24"/>
          <w:lang w:val="ca-ES"/>
        </w:rPr>
        <w:t xml:space="preserve">. No obstant això, la majoria d’empreses que presenten inaplicacions, el </w:t>
      </w:r>
      <w:r w:rsidR="003D3764">
        <w:rPr>
          <w:b w:val="0"/>
          <w:sz w:val="24"/>
          <w:szCs w:val="24"/>
          <w:lang w:val="ca-ES"/>
        </w:rPr>
        <w:t>85,23</w:t>
      </w:r>
      <w:r w:rsidRPr="00EA5418">
        <w:rPr>
          <w:b w:val="0"/>
          <w:sz w:val="24"/>
          <w:szCs w:val="24"/>
          <w:lang w:val="ca-ES"/>
        </w:rPr>
        <w:t>%, les seves plantilles són d’entre 1 i 49 treballadors.</w:t>
      </w:r>
    </w:p>
    <w:p w:rsidR="00617A8C" w:rsidRDefault="00617A8C" w:rsidP="00767611">
      <w:pPr>
        <w:pStyle w:val="TEXTBOLD"/>
        <w:spacing w:line="276" w:lineRule="auto"/>
        <w:rPr>
          <w:b w:val="0"/>
          <w:sz w:val="24"/>
          <w:szCs w:val="24"/>
          <w:lang w:val="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8"/>
        <w:gridCol w:w="1398"/>
        <w:gridCol w:w="1251"/>
        <w:gridCol w:w="1373"/>
        <w:gridCol w:w="1251"/>
        <w:gridCol w:w="1597"/>
        <w:gridCol w:w="1144"/>
      </w:tblGrid>
      <w:tr w:rsidR="00767611" w:rsidRPr="00EA5418" w:rsidTr="00394D75">
        <w:trPr>
          <w:jc w:val="center"/>
        </w:trPr>
        <w:tc>
          <w:tcPr>
            <w:tcW w:w="1468" w:type="dxa"/>
            <w:tcBorders>
              <w:top w:val="nil"/>
              <w:left w:val="nil"/>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Dimensió empresa</w:t>
            </w:r>
          </w:p>
        </w:tc>
        <w:tc>
          <w:tcPr>
            <w:tcW w:w="1398" w:type="dxa"/>
            <w:tcBorders>
              <w:top w:val="nil"/>
              <w:left w:val="single" w:sz="4" w:space="0" w:color="FFFFFF"/>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proofErr w:type="spellStart"/>
            <w:r w:rsidRPr="003E2B63">
              <w:rPr>
                <w:color w:val="FFFFFF"/>
                <w:lang w:val="ca-ES"/>
              </w:rPr>
              <w:t>I.Convenis</w:t>
            </w:r>
            <w:proofErr w:type="spellEnd"/>
          </w:p>
        </w:tc>
        <w:tc>
          <w:tcPr>
            <w:tcW w:w="1251" w:type="dxa"/>
            <w:tcBorders>
              <w:top w:val="nil"/>
              <w:left w:val="single" w:sz="4" w:space="0" w:color="FFFFFF"/>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 total</w:t>
            </w:r>
          </w:p>
        </w:tc>
        <w:tc>
          <w:tcPr>
            <w:tcW w:w="1373" w:type="dxa"/>
            <w:tcBorders>
              <w:top w:val="nil"/>
              <w:left w:val="single" w:sz="4" w:space="0" w:color="FFFFFF"/>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Empreses</w:t>
            </w:r>
          </w:p>
        </w:tc>
        <w:tc>
          <w:tcPr>
            <w:tcW w:w="1251" w:type="dxa"/>
            <w:tcBorders>
              <w:top w:val="nil"/>
              <w:left w:val="single" w:sz="4" w:space="0" w:color="FFFFFF"/>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 total</w:t>
            </w:r>
          </w:p>
        </w:tc>
        <w:tc>
          <w:tcPr>
            <w:tcW w:w="1597" w:type="dxa"/>
            <w:tcBorders>
              <w:top w:val="nil"/>
              <w:left w:val="single" w:sz="4" w:space="0" w:color="FFFFFF"/>
              <w:bottom w:val="single" w:sz="24" w:space="0" w:color="FFFFFF"/>
              <w:right w:val="single" w:sz="4"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Treballadors</w:t>
            </w:r>
          </w:p>
        </w:tc>
        <w:tc>
          <w:tcPr>
            <w:tcW w:w="1144" w:type="dxa"/>
            <w:tcBorders>
              <w:top w:val="nil"/>
              <w:left w:val="single" w:sz="4" w:space="0" w:color="FFFFFF"/>
              <w:right w:val="nil"/>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%total</w:t>
            </w:r>
          </w:p>
        </w:tc>
      </w:tr>
      <w:tr w:rsidR="003D3764" w:rsidRPr="00EA5418" w:rsidTr="003D3764">
        <w:trPr>
          <w:jc w:val="center"/>
        </w:trPr>
        <w:tc>
          <w:tcPr>
            <w:tcW w:w="1468" w:type="dxa"/>
            <w:tcBorders>
              <w:top w:val="single" w:sz="24" w:space="0" w:color="FFFFFF"/>
              <w:left w:val="nil"/>
              <w:bottom w:val="single" w:sz="24" w:space="0" w:color="FFFFFF"/>
              <w:right w:val="single" w:sz="24" w:space="0" w:color="FFFFFF"/>
            </w:tcBorders>
            <w:shd w:val="clear" w:color="auto" w:fill="C00000"/>
          </w:tcPr>
          <w:p w:rsidR="003D3764" w:rsidRPr="003E2B63" w:rsidRDefault="003D3764" w:rsidP="00767611">
            <w:pPr>
              <w:pStyle w:val="TEXTBOLD"/>
              <w:spacing w:line="276" w:lineRule="auto"/>
              <w:jc w:val="center"/>
              <w:rPr>
                <w:color w:val="FFFFFF"/>
                <w:lang w:val="ca-ES"/>
              </w:rPr>
            </w:pPr>
            <w:r w:rsidRPr="003E2B63">
              <w:rPr>
                <w:color w:val="FFFFFF"/>
                <w:lang w:val="ca-ES"/>
              </w:rPr>
              <w:t xml:space="preserve">1 a 49 treballadors </w:t>
            </w:r>
          </w:p>
        </w:tc>
        <w:tc>
          <w:tcPr>
            <w:tcW w:w="139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606</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85,23</w:t>
            </w:r>
          </w:p>
        </w:tc>
        <w:tc>
          <w:tcPr>
            <w:tcW w:w="1373"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563</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86,75</w:t>
            </w:r>
          </w:p>
        </w:tc>
        <w:tc>
          <w:tcPr>
            <w:tcW w:w="1597"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5.773</w:t>
            </w:r>
          </w:p>
        </w:tc>
        <w:tc>
          <w:tcPr>
            <w:tcW w:w="1144"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46,56</w:t>
            </w:r>
          </w:p>
        </w:tc>
      </w:tr>
      <w:tr w:rsidR="003D3764" w:rsidRPr="00EA5418" w:rsidTr="003D3764">
        <w:trPr>
          <w:jc w:val="center"/>
        </w:trPr>
        <w:tc>
          <w:tcPr>
            <w:tcW w:w="1468" w:type="dxa"/>
            <w:tcBorders>
              <w:top w:val="single" w:sz="24" w:space="0" w:color="FFFFFF"/>
              <w:left w:val="nil"/>
              <w:bottom w:val="single" w:sz="24" w:space="0" w:color="FFFFFF"/>
              <w:right w:val="single" w:sz="24" w:space="0" w:color="FFFFFF"/>
            </w:tcBorders>
            <w:shd w:val="clear" w:color="auto" w:fill="C00000"/>
          </w:tcPr>
          <w:p w:rsidR="003D3764" w:rsidRPr="003E2B63" w:rsidRDefault="003D3764" w:rsidP="00767611">
            <w:pPr>
              <w:pStyle w:val="TEXTBOLD"/>
              <w:spacing w:line="276" w:lineRule="auto"/>
              <w:jc w:val="center"/>
              <w:rPr>
                <w:color w:val="FFFFFF"/>
                <w:lang w:val="ca-ES"/>
              </w:rPr>
            </w:pPr>
            <w:r w:rsidRPr="003E2B63">
              <w:rPr>
                <w:color w:val="FFFFFF"/>
                <w:lang w:val="ca-ES"/>
              </w:rPr>
              <w:t>50 a 249 treballadors</w:t>
            </w:r>
          </w:p>
        </w:tc>
        <w:tc>
          <w:tcPr>
            <w:tcW w:w="139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74</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10,41</w:t>
            </w:r>
          </w:p>
        </w:tc>
        <w:tc>
          <w:tcPr>
            <w:tcW w:w="1373"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57</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8,78</w:t>
            </w:r>
          </w:p>
        </w:tc>
        <w:tc>
          <w:tcPr>
            <w:tcW w:w="1597"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4.058</w:t>
            </w:r>
          </w:p>
        </w:tc>
        <w:tc>
          <w:tcPr>
            <w:tcW w:w="1144"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32,73</w:t>
            </w:r>
          </w:p>
        </w:tc>
      </w:tr>
      <w:tr w:rsidR="003D3764" w:rsidRPr="00EA5418" w:rsidTr="003D3764">
        <w:trPr>
          <w:jc w:val="center"/>
        </w:trPr>
        <w:tc>
          <w:tcPr>
            <w:tcW w:w="1468" w:type="dxa"/>
            <w:tcBorders>
              <w:top w:val="single" w:sz="24" w:space="0" w:color="FFFFFF"/>
              <w:left w:val="nil"/>
              <w:bottom w:val="single" w:sz="24" w:space="0" w:color="FFFFFF"/>
              <w:right w:val="single" w:sz="24" w:space="0" w:color="FFFFFF"/>
            </w:tcBorders>
            <w:shd w:val="clear" w:color="auto" w:fill="C00000"/>
          </w:tcPr>
          <w:p w:rsidR="003D3764" w:rsidRPr="003E2B63" w:rsidRDefault="003D3764" w:rsidP="00767611">
            <w:pPr>
              <w:pStyle w:val="TEXTBOLD"/>
              <w:spacing w:line="276" w:lineRule="auto"/>
              <w:jc w:val="center"/>
              <w:rPr>
                <w:color w:val="FFFFFF"/>
                <w:lang w:val="ca-ES"/>
              </w:rPr>
            </w:pPr>
            <w:r w:rsidRPr="003E2B63">
              <w:rPr>
                <w:color w:val="FFFFFF"/>
                <w:lang w:val="ca-ES"/>
              </w:rPr>
              <w:t>250 o més treballadors</w:t>
            </w:r>
          </w:p>
        </w:tc>
        <w:tc>
          <w:tcPr>
            <w:tcW w:w="139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10</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1,41</w:t>
            </w:r>
          </w:p>
        </w:tc>
        <w:tc>
          <w:tcPr>
            <w:tcW w:w="1373"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8</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1,23</w:t>
            </w:r>
          </w:p>
        </w:tc>
        <w:tc>
          <w:tcPr>
            <w:tcW w:w="1597"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2.392</w:t>
            </w:r>
          </w:p>
        </w:tc>
        <w:tc>
          <w:tcPr>
            <w:tcW w:w="1144"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19,29</w:t>
            </w:r>
          </w:p>
        </w:tc>
      </w:tr>
      <w:tr w:rsidR="003D3764" w:rsidRPr="00EA5418" w:rsidTr="003D3764">
        <w:trPr>
          <w:jc w:val="center"/>
        </w:trPr>
        <w:tc>
          <w:tcPr>
            <w:tcW w:w="1468" w:type="dxa"/>
            <w:tcBorders>
              <w:top w:val="single" w:sz="24" w:space="0" w:color="FFFFFF"/>
              <w:left w:val="nil"/>
              <w:bottom w:val="single" w:sz="24" w:space="0" w:color="FFFFFF"/>
              <w:right w:val="single" w:sz="24" w:space="0" w:color="FFFFFF"/>
            </w:tcBorders>
            <w:shd w:val="clear" w:color="auto" w:fill="C00000"/>
          </w:tcPr>
          <w:p w:rsidR="003D3764" w:rsidRPr="003E2B63" w:rsidRDefault="003D3764" w:rsidP="00767611">
            <w:pPr>
              <w:pStyle w:val="TEXTBOLD"/>
              <w:spacing w:line="276" w:lineRule="auto"/>
              <w:jc w:val="center"/>
              <w:rPr>
                <w:color w:val="FFFFFF"/>
                <w:lang w:val="ca-ES"/>
              </w:rPr>
            </w:pPr>
            <w:r w:rsidRPr="003E2B63">
              <w:rPr>
                <w:color w:val="FFFFFF"/>
                <w:lang w:val="ca-ES"/>
              </w:rPr>
              <w:t>No consta</w:t>
            </w:r>
          </w:p>
        </w:tc>
        <w:tc>
          <w:tcPr>
            <w:tcW w:w="139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21</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2,95</w:t>
            </w:r>
          </w:p>
        </w:tc>
        <w:tc>
          <w:tcPr>
            <w:tcW w:w="1373"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21</w:t>
            </w:r>
          </w:p>
        </w:tc>
        <w:tc>
          <w:tcPr>
            <w:tcW w:w="1251"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3,24</w:t>
            </w:r>
          </w:p>
        </w:tc>
        <w:tc>
          <w:tcPr>
            <w:tcW w:w="1597"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175</w:t>
            </w:r>
          </w:p>
        </w:tc>
        <w:tc>
          <w:tcPr>
            <w:tcW w:w="1144"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1,41</w:t>
            </w:r>
          </w:p>
        </w:tc>
      </w:tr>
      <w:tr w:rsidR="003D3764" w:rsidRPr="00EA5418" w:rsidTr="003D3764">
        <w:trPr>
          <w:jc w:val="center"/>
        </w:trPr>
        <w:tc>
          <w:tcPr>
            <w:tcW w:w="1468" w:type="dxa"/>
            <w:tcBorders>
              <w:top w:val="single" w:sz="24" w:space="0" w:color="FFFFFF"/>
              <w:left w:val="nil"/>
              <w:bottom w:val="nil"/>
              <w:right w:val="single" w:sz="24" w:space="0" w:color="FFFFFF"/>
            </w:tcBorders>
            <w:shd w:val="clear" w:color="auto" w:fill="C00000"/>
          </w:tcPr>
          <w:p w:rsidR="003D3764" w:rsidRPr="003E2B63" w:rsidRDefault="003D3764" w:rsidP="00767611">
            <w:pPr>
              <w:pStyle w:val="TEXTBOLD"/>
              <w:spacing w:line="276" w:lineRule="auto"/>
              <w:jc w:val="center"/>
              <w:rPr>
                <w:b w:val="0"/>
                <w:color w:val="FFFFFF"/>
                <w:lang w:val="ca-ES"/>
              </w:rPr>
            </w:pPr>
            <w:r w:rsidRPr="003E2B63">
              <w:rPr>
                <w:b w:val="0"/>
                <w:color w:val="FFFFFF"/>
                <w:lang w:val="ca-ES"/>
              </w:rPr>
              <w:t>TOTAL</w:t>
            </w:r>
          </w:p>
        </w:tc>
        <w:tc>
          <w:tcPr>
            <w:tcW w:w="1398" w:type="dxa"/>
            <w:tcBorders>
              <w:top w:val="single" w:sz="24" w:space="0" w:color="FFFFFF"/>
              <w:left w:val="single" w:sz="24" w:space="0" w:color="FFFFFF"/>
              <w:bottom w:val="nil"/>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711</w:t>
            </w:r>
          </w:p>
        </w:tc>
        <w:tc>
          <w:tcPr>
            <w:tcW w:w="1251" w:type="dxa"/>
            <w:tcBorders>
              <w:top w:val="single" w:sz="24" w:space="0" w:color="FFFFFF"/>
              <w:left w:val="single" w:sz="24" w:space="0" w:color="FFFFFF"/>
              <w:bottom w:val="nil"/>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100</w:t>
            </w:r>
          </w:p>
        </w:tc>
        <w:tc>
          <w:tcPr>
            <w:tcW w:w="1373" w:type="dxa"/>
            <w:tcBorders>
              <w:top w:val="single" w:sz="24" w:space="0" w:color="FFFFFF"/>
              <w:left w:val="single" w:sz="24" w:space="0" w:color="FFFFFF"/>
              <w:bottom w:val="nil"/>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649</w:t>
            </w:r>
          </w:p>
        </w:tc>
        <w:tc>
          <w:tcPr>
            <w:tcW w:w="1251" w:type="dxa"/>
            <w:tcBorders>
              <w:top w:val="single" w:sz="24" w:space="0" w:color="FFFFFF"/>
              <w:left w:val="single" w:sz="24" w:space="0" w:color="FFFFFF"/>
              <w:bottom w:val="nil"/>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100</w:t>
            </w:r>
          </w:p>
        </w:tc>
        <w:tc>
          <w:tcPr>
            <w:tcW w:w="1597" w:type="dxa"/>
            <w:tcBorders>
              <w:top w:val="single" w:sz="24" w:space="0" w:color="FFFFFF"/>
              <w:left w:val="single" w:sz="24" w:space="0" w:color="FFFFFF"/>
              <w:bottom w:val="nil"/>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12.398</w:t>
            </w:r>
          </w:p>
        </w:tc>
        <w:tc>
          <w:tcPr>
            <w:tcW w:w="1144" w:type="dxa"/>
            <w:tcBorders>
              <w:top w:val="single" w:sz="24" w:space="0" w:color="FFFFFF"/>
              <w:left w:val="single" w:sz="24" w:space="0" w:color="FFFFFF"/>
              <w:bottom w:val="nil"/>
              <w:right w:val="nil"/>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100,00</w:t>
            </w:r>
          </w:p>
        </w:tc>
      </w:tr>
    </w:tbl>
    <w:p w:rsidR="00767611" w:rsidRDefault="00767611" w:rsidP="00767D0B">
      <w:pPr>
        <w:pStyle w:val="TEXTBOLD"/>
        <w:spacing w:line="276" w:lineRule="auto"/>
        <w:jc w:val="center"/>
        <w:rPr>
          <w:b w:val="0"/>
          <w:color w:val="404040"/>
          <w:sz w:val="18"/>
          <w:lang w:val="ca-ES"/>
        </w:rPr>
      </w:pPr>
      <w:r w:rsidRPr="00EA5418">
        <w:rPr>
          <w:b w:val="0"/>
          <w:color w:val="404040"/>
          <w:sz w:val="18"/>
          <w:lang w:val="ca-ES"/>
        </w:rPr>
        <w:t xml:space="preserve">Font: Elaboració pròpia a partir de les dades del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p>
    <w:p w:rsidR="00767D0B" w:rsidRPr="00EA5418" w:rsidRDefault="00767D0B" w:rsidP="003577BF">
      <w:pPr>
        <w:pStyle w:val="TEXTBOLD"/>
        <w:spacing w:line="276" w:lineRule="auto"/>
        <w:ind w:left="720"/>
        <w:jc w:val="center"/>
        <w:rPr>
          <w:b w:val="0"/>
          <w:u w:val="single"/>
          <w:lang w:val="ca-ES"/>
        </w:rPr>
      </w:pPr>
    </w:p>
    <w:p w:rsidR="00767611" w:rsidRPr="00EA5418" w:rsidRDefault="003D3764" w:rsidP="00767611">
      <w:pPr>
        <w:pStyle w:val="TEXTBOLD"/>
        <w:spacing w:line="276" w:lineRule="auto"/>
        <w:jc w:val="center"/>
        <w:rPr>
          <w:b w:val="0"/>
          <w:u w:val="single"/>
          <w:lang w:val="ca-ES"/>
        </w:rPr>
      </w:pPr>
      <w:r>
        <w:rPr>
          <w:noProof/>
          <w:lang w:val="es-ES" w:eastAsia="es-ES"/>
        </w:rPr>
        <w:drawing>
          <wp:inline distT="0" distB="0" distL="0" distR="0" wp14:anchorId="2730B173" wp14:editId="31690379">
            <wp:extent cx="4500000" cy="2700000"/>
            <wp:effectExtent l="0" t="0" r="15240" b="24765"/>
            <wp:docPr id="77" name="Gráfico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67611" w:rsidRPr="00EA5418" w:rsidRDefault="00767611" w:rsidP="00767D0B">
      <w:pPr>
        <w:pStyle w:val="TEXTBOLD"/>
        <w:spacing w:line="276" w:lineRule="auto"/>
        <w:jc w:val="center"/>
        <w:rPr>
          <w:b w:val="0"/>
          <w:color w:val="404040"/>
          <w:sz w:val="18"/>
          <w:lang w:val="ca-ES"/>
        </w:rPr>
      </w:pPr>
      <w:r w:rsidRPr="00EA5418">
        <w:rPr>
          <w:b w:val="0"/>
          <w:color w:val="404040"/>
          <w:sz w:val="18"/>
          <w:lang w:val="ca-ES"/>
        </w:rPr>
        <w:t xml:space="preserve">Font: Elaboració pròpia a partir de les dades del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p>
    <w:p w:rsidR="00767611" w:rsidRDefault="00767611" w:rsidP="00767611">
      <w:pPr>
        <w:rPr>
          <w:rFonts w:ascii="Rotis Sans Serif Std" w:hAnsi="Rotis Sans Serif Std" w:cs="RotisSansSerifStd-Regular"/>
          <w:color w:val="5E6061"/>
          <w:szCs w:val="22"/>
          <w:lang w:eastAsia="es-ES_tradnl"/>
        </w:rPr>
      </w:pPr>
    </w:p>
    <w:p w:rsidR="00767611" w:rsidRDefault="00767611" w:rsidP="00767611">
      <w:pPr>
        <w:pStyle w:val="TEXTBOLD"/>
        <w:spacing w:line="276" w:lineRule="auto"/>
        <w:rPr>
          <w:b w:val="0"/>
          <w:sz w:val="24"/>
          <w:lang w:val="ca-ES"/>
        </w:rPr>
      </w:pPr>
      <w:r w:rsidRPr="00EA5418">
        <w:rPr>
          <w:b w:val="0"/>
          <w:sz w:val="24"/>
          <w:lang w:val="ca-ES"/>
        </w:rPr>
        <w:t xml:space="preserve">Pel que fa a les </w:t>
      </w:r>
      <w:r w:rsidRPr="00D86BFA">
        <w:rPr>
          <w:b w:val="0"/>
          <w:sz w:val="24"/>
          <w:u w:val="single"/>
          <w:lang w:val="ca-ES"/>
        </w:rPr>
        <w:t>condicions de treball inaplicades</w:t>
      </w:r>
      <w:r w:rsidRPr="00EA5418">
        <w:rPr>
          <w:b w:val="0"/>
          <w:sz w:val="24"/>
          <w:lang w:val="ca-ES"/>
        </w:rPr>
        <w:t xml:space="preserve">, el </w:t>
      </w:r>
      <w:r w:rsidR="003D3764">
        <w:rPr>
          <w:b w:val="0"/>
          <w:sz w:val="24"/>
          <w:lang w:val="ca-ES"/>
        </w:rPr>
        <w:t>58</w:t>
      </w:r>
      <w:r w:rsidRPr="00EA5418">
        <w:rPr>
          <w:b w:val="0"/>
          <w:sz w:val="24"/>
          <w:lang w:val="ca-ES"/>
        </w:rPr>
        <w:t>% d’inaplicacions són de quantia salarial exclusivament, encara que e</w:t>
      </w:r>
      <w:r>
        <w:rPr>
          <w:b w:val="0"/>
          <w:sz w:val="24"/>
          <w:lang w:val="ca-ES"/>
        </w:rPr>
        <w:t xml:space="preserve">n la resta, </w:t>
      </w:r>
      <w:proofErr w:type="spellStart"/>
      <w:r w:rsidRPr="00EA5418">
        <w:rPr>
          <w:b w:val="0"/>
          <w:sz w:val="24"/>
          <w:lang w:val="ca-ES"/>
        </w:rPr>
        <w:t>s’inaplica</w:t>
      </w:r>
      <w:proofErr w:type="spellEnd"/>
      <w:r w:rsidRPr="00EA5418">
        <w:rPr>
          <w:b w:val="0"/>
          <w:sz w:val="24"/>
          <w:lang w:val="ca-ES"/>
        </w:rPr>
        <w:t xml:space="preserve"> conjuntament amb d’altres condicions.</w:t>
      </w:r>
    </w:p>
    <w:p w:rsidR="003D3764" w:rsidRDefault="003D3764" w:rsidP="00767611">
      <w:pPr>
        <w:pStyle w:val="TEXTBOLD"/>
        <w:spacing w:line="276" w:lineRule="auto"/>
        <w:rPr>
          <w:b w:val="0"/>
          <w:sz w:val="24"/>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338"/>
        <w:gridCol w:w="2339"/>
        <w:gridCol w:w="2339"/>
      </w:tblGrid>
      <w:tr w:rsidR="00767611" w:rsidRPr="00EA5418" w:rsidTr="00767611">
        <w:tc>
          <w:tcPr>
            <w:tcW w:w="2338" w:type="dxa"/>
            <w:tcBorders>
              <w:top w:val="nil"/>
              <w:left w:val="nil"/>
              <w:bottom w:val="single" w:sz="24" w:space="0" w:color="FFFFFF"/>
              <w:right w:val="single" w:sz="2" w:space="0" w:color="FFFFFF"/>
            </w:tcBorders>
            <w:shd w:val="clear" w:color="auto" w:fill="C00000"/>
          </w:tcPr>
          <w:p w:rsidR="00767611" w:rsidRPr="003E2B63" w:rsidRDefault="00767611" w:rsidP="00767611">
            <w:pPr>
              <w:pStyle w:val="TEXTBOLD"/>
              <w:spacing w:line="276" w:lineRule="auto"/>
              <w:jc w:val="center"/>
              <w:rPr>
                <w:color w:val="FFFFFF"/>
                <w:lang w:val="ca-ES"/>
              </w:rPr>
            </w:pPr>
            <w:r w:rsidRPr="003E2B63">
              <w:rPr>
                <w:color w:val="FFFFFF"/>
                <w:lang w:val="ca-ES"/>
              </w:rPr>
              <w:t>Condicions de treball inaplicades</w:t>
            </w:r>
          </w:p>
        </w:tc>
        <w:tc>
          <w:tcPr>
            <w:tcW w:w="2338" w:type="dxa"/>
            <w:tcBorders>
              <w:top w:val="nil"/>
              <w:left w:val="single" w:sz="2" w:space="0" w:color="FFFFFF"/>
              <w:bottom w:val="single" w:sz="24" w:space="0" w:color="FFFFFF"/>
              <w:right w:val="single" w:sz="2"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I. Convenis</w:t>
            </w:r>
          </w:p>
        </w:tc>
        <w:tc>
          <w:tcPr>
            <w:tcW w:w="2339" w:type="dxa"/>
            <w:tcBorders>
              <w:top w:val="nil"/>
              <w:left w:val="single" w:sz="2" w:space="0" w:color="FFFFFF"/>
              <w:bottom w:val="single" w:sz="24" w:space="0" w:color="FFFFFF"/>
              <w:right w:val="single" w:sz="2" w:space="0" w:color="FFFFFF"/>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 total</w:t>
            </w:r>
          </w:p>
        </w:tc>
        <w:tc>
          <w:tcPr>
            <w:tcW w:w="2339" w:type="dxa"/>
            <w:tcBorders>
              <w:top w:val="nil"/>
              <w:left w:val="single" w:sz="2" w:space="0" w:color="FFFFFF"/>
              <w:bottom w:val="single" w:sz="24" w:space="0" w:color="FFFFFF"/>
              <w:right w:val="nil"/>
            </w:tcBorders>
            <w:shd w:val="clear" w:color="auto" w:fill="C00000"/>
            <w:vAlign w:val="center"/>
          </w:tcPr>
          <w:p w:rsidR="00767611" w:rsidRPr="003E2B63" w:rsidRDefault="00767611" w:rsidP="00767611">
            <w:pPr>
              <w:pStyle w:val="TEXTBOLD"/>
              <w:spacing w:line="276" w:lineRule="auto"/>
              <w:jc w:val="center"/>
              <w:rPr>
                <w:color w:val="FFFFFF"/>
                <w:lang w:val="ca-ES"/>
              </w:rPr>
            </w:pPr>
            <w:r w:rsidRPr="003E2B63">
              <w:rPr>
                <w:color w:val="FFFFFF"/>
                <w:lang w:val="ca-ES"/>
              </w:rPr>
              <w:t>Treballadors</w:t>
            </w:r>
          </w:p>
        </w:tc>
      </w:tr>
      <w:tr w:rsidR="003D3764" w:rsidRPr="00EA5418" w:rsidTr="003D3764">
        <w:trPr>
          <w:trHeight w:val="414"/>
        </w:trPr>
        <w:tc>
          <w:tcPr>
            <w:tcW w:w="2338" w:type="dxa"/>
            <w:tcBorders>
              <w:top w:val="single" w:sz="24" w:space="0" w:color="FFFFFF"/>
              <w:left w:val="nil"/>
              <w:bottom w:val="single" w:sz="24" w:space="0" w:color="FFFFFF"/>
              <w:right w:val="single" w:sz="24" w:space="0" w:color="FFFFFF"/>
            </w:tcBorders>
            <w:shd w:val="clear" w:color="auto" w:fill="C00000"/>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Quantia salarial</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412</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58,0</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6.767</w:t>
            </w:r>
          </w:p>
        </w:tc>
      </w:tr>
      <w:tr w:rsidR="003D3764" w:rsidRPr="00EA5418" w:rsidTr="003D3764">
        <w:tc>
          <w:tcPr>
            <w:tcW w:w="2338" w:type="dxa"/>
            <w:tcBorders>
              <w:top w:val="single" w:sz="24" w:space="0" w:color="FFFFFF"/>
              <w:left w:val="nil"/>
              <w:bottom w:val="single" w:sz="24" w:space="0" w:color="FFFFFF"/>
              <w:right w:val="single" w:sz="24" w:space="0" w:color="FFFFFF"/>
            </w:tcBorders>
            <w:shd w:val="clear" w:color="auto" w:fill="C00000"/>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Quantia salarial i sistema de remuneració</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93</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13,1</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1.105</w:t>
            </w:r>
          </w:p>
        </w:tc>
      </w:tr>
      <w:tr w:rsidR="003D3764" w:rsidRPr="00EA5418" w:rsidTr="003D3764">
        <w:trPr>
          <w:trHeight w:val="415"/>
        </w:trPr>
        <w:tc>
          <w:tcPr>
            <w:tcW w:w="2338" w:type="dxa"/>
            <w:tcBorders>
              <w:top w:val="single" w:sz="24" w:space="0" w:color="FFFFFF"/>
              <w:left w:val="nil"/>
              <w:bottom w:val="single" w:sz="24" w:space="0" w:color="FFFFFF"/>
              <w:right w:val="single" w:sz="24" w:space="0" w:color="FFFFFF"/>
            </w:tcBorders>
            <w:shd w:val="clear" w:color="auto" w:fill="C00000"/>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Sistema de remuneració</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26</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3,7</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415</w:t>
            </w:r>
          </w:p>
        </w:tc>
      </w:tr>
      <w:tr w:rsidR="003D3764" w:rsidRPr="00EA5418" w:rsidTr="003D3764">
        <w:tc>
          <w:tcPr>
            <w:tcW w:w="2338" w:type="dxa"/>
            <w:tcBorders>
              <w:top w:val="single" w:sz="24" w:space="0" w:color="FFFFFF"/>
              <w:left w:val="nil"/>
              <w:bottom w:val="single" w:sz="24" w:space="0" w:color="FFFFFF"/>
              <w:right w:val="single" w:sz="24" w:space="0" w:color="FFFFFF"/>
            </w:tcBorders>
            <w:shd w:val="clear" w:color="auto" w:fill="C00000"/>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Quantia salarial, sistema de remuneració i millores voluntàries de l' acció protectora de la Seguretat Social</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25</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3,5</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379</w:t>
            </w:r>
          </w:p>
        </w:tc>
      </w:tr>
      <w:tr w:rsidR="003D3764" w:rsidRPr="00EA5418" w:rsidTr="003D3764">
        <w:tc>
          <w:tcPr>
            <w:tcW w:w="2338" w:type="dxa"/>
            <w:tcBorders>
              <w:top w:val="single" w:sz="24" w:space="0" w:color="FFFFFF"/>
              <w:left w:val="nil"/>
              <w:bottom w:val="single" w:sz="24" w:space="0" w:color="FFFFFF"/>
              <w:right w:val="single" w:sz="24" w:space="0" w:color="FFFFFF"/>
            </w:tcBorders>
            <w:shd w:val="clear" w:color="auto" w:fill="C00000"/>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Quantia salarial i jornada de treball</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22</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3,1</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475</w:t>
            </w:r>
          </w:p>
        </w:tc>
      </w:tr>
      <w:tr w:rsidR="003D3764" w:rsidRPr="00EA5418" w:rsidTr="003D3764">
        <w:tc>
          <w:tcPr>
            <w:tcW w:w="2338" w:type="dxa"/>
            <w:tcBorders>
              <w:top w:val="single" w:sz="24" w:space="0" w:color="FFFFFF"/>
              <w:left w:val="nil"/>
              <w:bottom w:val="single" w:sz="24" w:space="0" w:color="FFFFFF"/>
              <w:right w:val="single" w:sz="24" w:space="0" w:color="FFFFFF"/>
            </w:tcBorders>
            <w:shd w:val="clear" w:color="auto" w:fill="C00000"/>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 xml:space="preserve">Quantia salarial, sistema de remuneració i jornada de treball </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20</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2,8</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151</w:t>
            </w:r>
          </w:p>
        </w:tc>
      </w:tr>
      <w:tr w:rsidR="003D3764" w:rsidRPr="00EA5418" w:rsidTr="003D3764">
        <w:tc>
          <w:tcPr>
            <w:tcW w:w="2338" w:type="dxa"/>
            <w:tcBorders>
              <w:top w:val="single" w:sz="24" w:space="0" w:color="FFFFFF"/>
              <w:left w:val="nil"/>
              <w:bottom w:val="single" w:sz="24" w:space="0" w:color="FFFFFF"/>
              <w:right w:val="single" w:sz="24" w:space="0" w:color="FFFFFF"/>
            </w:tcBorders>
            <w:shd w:val="clear" w:color="auto" w:fill="C00000"/>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Quantia salarial, jornada de treball i horari i distribució del temps de treball</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18</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2,5</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105</w:t>
            </w:r>
          </w:p>
        </w:tc>
      </w:tr>
      <w:tr w:rsidR="003D3764" w:rsidRPr="00EA5418" w:rsidTr="003D3764">
        <w:tc>
          <w:tcPr>
            <w:tcW w:w="2338" w:type="dxa"/>
            <w:tcBorders>
              <w:top w:val="single" w:sz="24" w:space="0" w:color="FFFFFF"/>
              <w:left w:val="nil"/>
              <w:bottom w:val="single" w:sz="24" w:space="0" w:color="FFFFFF"/>
              <w:right w:val="single" w:sz="24" w:space="0" w:color="FFFFFF"/>
            </w:tcBorders>
            <w:shd w:val="clear" w:color="auto" w:fill="C00000"/>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Resta de casos</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95</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13,4</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3.001</w:t>
            </w:r>
          </w:p>
        </w:tc>
      </w:tr>
      <w:tr w:rsidR="003D3764" w:rsidRPr="00EA5418" w:rsidTr="003D3764">
        <w:tc>
          <w:tcPr>
            <w:tcW w:w="2338" w:type="dxa"/>
            <w:tcBorders>
              <w:top w:val="single" w:sz="24" w:space="0" w:color="FFFFFF"/>
              <w:left w:val="nil"/>
              <w:bottom w:val="nil"/>
              <w:right w:val="single" w:sz="24" w:space="0" w:color="FFFFFF"/>
            </w:tcBorders>
            <w:shd w:val="clear" w:color="auto" w:fill="C00000"/>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TOTAL</w:t>
            </w:r>
          </w:p>
        </w:tc>
        <w:tc>
          <w:tcPr>
            <w:tcW w:w="2338" w:type="dxa"/>
            <w:tcBorders>
              <w:top w:val="single" w:sz="24" w:space="0" w:color="FFFFFF"/>
              <w:left w:val="single" w:sz="24" w:space="0" w:color="FFFFFF"/>
              <w:bottom w:val="nil"/>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711</w:t>
            </w:r>
          </w:p>
        </w:tc>
        <w:tc>
          <w:tcPr>
            <w:tcW w:w="2339" w:type="dxa"/>
            <w:tcBorders>
              <w:top w:val="single" w:sz="24" w:space="0" w:color="FFFFFF"/>
              <w:left w:val="single" w:sz="24" w:space="0" w:color="FFFFFF"/>
              <w:bottom w:val="nil"/>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100,0</w:t>
            </w:r>
          </w:p>
        </w:tc>
        <w:tc>
          <w:tcPr>
            <w:tcW w:w="2339" w:type="dxa"/>
            <w:tcBorders>
              <w:top w:val="single" w:sz="24" w:space="0" w:color="FFFFFF"/>
              <w:left w:val="single" w:sz="24" w:space="0" w:color="FFFFFF"/>
              <w:bottom w:val="nil"/>
              <w:right w:val="nil"/>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12.398</w:t>
            </w:r>
          </w:p>
        </w:tc>
      </w:tr>
    </w:tbl>
    <w:p w:rsidR="00767611" w:rsidRDefault="00767611" w:rsidP="003577BF">
      <w:pPr>
        <w:pStyle w:val="TEXTBOLD"/>
        <w:spacing w:line="276" w:lineRule="auto"/>
        <w:ind w:left="720"/>
        <w:jc w:val="center"/>
        <w:rPr>
          <w:b w:val="0"/>
          <w:color w:val="404040"/>
          <w:sz w:val="18"/>
          <w:lang w:val="ca-ES"/>
        </w:rPr>
      </w:pPr>
      <w:r w:rsidRPr="00EA5418">
        <w:rPr>
          <w:b w:val="0"/>
          <w:color w:val="404040"/>
          <w:sz w:val="18"/>
          <w:lang w:val="ca-ES"/>
        </w:rPr>
        <w:t xml:space="preserve">Font: Elaboració pròpia a partir de les dades del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p>
    <w:p w:rsidR="003577BF" w:rsidRPr="00EA5418" w:rsidRDefault="003577BF" w:rsidP="003577BF">
      <w:pPr>
        <w:pStyle w:val="TEXTBOLD"/>
        <w:spacing w:line="276" w:lineRule="auto"/>
        <w:ind w:left="720"/>
        <w:jc w:val="center"/>
        <w:rPr>
          <w:b w:val="0"/>
          <w:sz w:val="24"/>
          <w:lang w:val="ca-ES"/>
        </w:rPr>
      </w:pPr>
    </w:p>
    <w:p w:rsidR="006534D6" w:rsidRDefault="006534D6" w:rsidP="00767611">
      <w:pPr>
        <w:pStyle w:val="TEXTBOLD"/>
        <w:spacing w:line="276" w:lineRule="auto"/>
        <w:rPr>
          <w:b w:val="0"/>
          <w:sz w:val="24"/>
          <w:lang w:val="ca-ES"/>
        </w:rPr>
      </w:pPr>
    </w:p>
    <w:p w:rsidR="00767611" w:rsidRPr="00EA5418" w:rsidRDefault="00767611" w:rsidP="00767611">
      <w:pPr>
        <w:pStyle w:val="TEXTBOLD"/>
        <w:spacing w:line="276" w:lineRule="auto"/>
        <w:rPr>
          <w:b w:val="0"/>
          <w:sz w:val="24"/>
          <w:lang w:val="ca-ES"/>
        </w:rPr>
      </w:pPr>
      <w:r>
        <w:rPr>
          <w:b w:val="0"/>
          <w:sz w:val="24"/>
          <w:lang w:val="ca-ES"/>
        </w:rPr>
        <w:t xml:space="preserve">El </w:t>
      </w:r>
      <w:r w:rsidR="003D3764">
        <w:rPr>
          <w:b w:val="0"/>
          <w:sz w:val="24"/>
          <w:lang w:val="ca-ES"/>
        </w:rPr>
        <w:t>91</w:t>
      </w:r>
      <w:r w:rsidRPr="00EA5418">
        <w:rPr>
          <w:b w:val="0"/>
          <w:sz w:val="24"/>
          <w:lang w:val="ca-ES"/>
        </w:rPr>
        <w:t>%</w:t>
      </w:r>
      <w:r>
        <w:rPr>
          <w:b w:val="0"/>
          <w:sz w:val="24"/>
          <w:lang w:val="ca-ES"/>
        </w:rPr>
        <w:t xml:space="preserve"> de les inaplicacions s’han resolt amb acord entre l’empresa i els representants legals dels treballadors durant el període de consultes</w:t>
      </w:r>
      <w:r w:rsidRPr="00EA5418">
        <w:rPr>
          <w:b w:val="0"/>
          <w:sz w:val="24"/>
          <w:lang w:val="ca-ES"/>
        </w:rPr>
        <w:t>.</w:t>
      </w:r>
    </w:p>
    <w:p w:rsidR="00767611" w:rsidRDefault="00767611" w:rsidP="00767611">
      <w:pPr>
        <w:pStyle w:val="TEXTBOLD"/>
        <w:spacing w:line="276" w:lineRule="auto"/>
        <w:rPr>
          <w:b w:val="0"/>
          <w:lang w:val="ca-ES"/>
        </w:rPr>
      </w:pPr>
    </w:p>
    <w:p w:rsidR="003D3764" w:rsidRPr="00EA5418" w:rsidRDefault="003D3764" w:rsidP="00767611">
      <w:pPr>
        <w:pStyle w:val="TEXTBOLD"/>
        <w:spacing w:line="276" w:lineRule="auto"/>
        <w:rPr>
          <w:b w:val="0"/>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338"/>
        <w:gridCol w:w="2339"/>
        <w:gridCol w:w="2339"/>
      </w:tblGrid>
      <w:tr w:rsidR="00767611" w:rsidRPr="00EA5418" w:rsidTr="00767611">
        <w:tc>
          <w:tcPr>
            <w:tcW w:w="2338" w:type="dxa"/>
            <w:tcBorders>
              <w:top w:val="nil"/>
              <w:left w:val="nil"/>
              <w:bottom w:val="single" w:sz="24" w:space="0" w:color="FFFFFF"/>
              <w:right w:val="single" w:sz="2" w:space="0" w:color="FFFFFF"/>
            </w:tcBorders>
            <w:shd w:val="clear" w:color="auto" w:fill="C00000"/>
            <w:vAlign w:val="center"/>
          </w:tcPr>
          <w:p w:rsidR="00767611" w:rsidRPr="003E2B63" w:rsidRDefault="00767611" w:rsidP="00767611">
            <w:pPr>
              <w:pStyle w:val="TEXTBOLD"/>
              <w:spacing w:line="276" w:lineRule="auto"/>
              <w:jc w:val="center"/>
              <w:rPr>
                <w:color w:val="FFFFFF"/>
                <w:sz w:val="20"/>
                <w:szCs w:val="20"/>
                <w:lang w:val="ca-ES"/>
              </w:rPr>
            </w:pPr>
            <w:r w:rsidRPr="003E2B63">
              <w:rPr>
                <w:color w:val="FFFFFF"/>
                <w:sz w:val="20"/>
                <w:szCs w:val="20"/>
                <w:lang w:val="ca-ES"/>
              </w:rPr>
              <w:t>Procediment d'inaplicació</w:t>
            </w:r>
          </w:p>
        </w:tc>
        <w:tc>
          <w:tcPr>
            <w:tcW w:w="2338" w:type="dxa"/>
            <w:tcBorders>
              <w:top w:val="nil"/>
              <w:left w:val="single" w:sz="2" w:space="0" w:color="FFFFFF"/>
              <w:bottom w:val="single" w:sz="24" w:space="0" w:color="FFFFFF"/>
              <w:right w:val="single" w:sz="2" w:space="0" w:color="FFFFFF"/>
            </w:tcBorders>
            <w:shd w:val="clear" w:color="auto" w:fill="C00000"/>
            <w:vAlign w:val="center"/>
          </w:tcPr>
          <w:p w:rsidR="00767611" w:rsidRPr="003E2B63" w:rsidRDefault="00767611" w:rsidP="00767611">
            <w:pPr>
              <w:pStyle w:val="TEXTBOLD"/>
              <w:spacing w:line="276" w:lineRule="auto"/>
              <w:jc w:val="center"/>
              <w:rPr>
                <w:color w:val="FFFFFF"/>
                <w:sz w:val="20"/>
                <w:szCs w:val="20"/>
                <w:lang w:val="ca-ES"/>
              </w:rPr>
            </w:pPr>
            <w:proofErr w:type="spellStart"/>
            <w:r w:rsidRPr="003E2B63">
              <w:rPr>
                <w:color w:val="FFFFFF"/>
                <w:sz w:val="20"/>
                <w:szCs w:val="20"/>
                <w:lang w:val="ca-ES"/>
              </w:rPr>
              <w:t>I.Convenis</w:t>
            </w:r>
            <w:proofErr w:type="spellEnd"/>
          </w:p>
        </w:tc>
        <w:tc>
          <w:tcPr>
            <w:tcW w:w="2339" w:type="dxa"/>
            <w:tcBorders>
              <w:top w:val="nil"/>
              <w:left w:val="single" w:sz="2" w:space="0" w:color="FFFFFF"/>
              <w:bottom w:val="single" w:sz="24" w:space="0" w:color="FFFFFF"/>
              <w:right w:val="single" w:sz="2" w:space="0" w:color="FFFFFF"/>
            </w:tcBorders>
            <w:shd w:val="clear" w:color="auto" w:fill="C00000"/>
            <w:vAlign w:val="center"/>
          </w:tcPr>
          <w:p w:rsidR="00767611" w:rsidRPr="003E2B63" w:rsidRDefault="00767611" w:rsidP="00767611">
            <w:pPr>
              <w:pStyle w:val="TEXTBOLD"/>
              <w:spacing w:line="276" w:lineRule="auto"/>
              <w:jc w:val="center"/>
              <w:rPr>
                <w:color w:val="FFFFFF"/>
                <w:sz w:val="20"/>
                <w:szCs w:val="20"/>
                <w:lang w:val="ca-ES"/>
              </w:rPr>
            </w:pPr>
            <w:r w:rsidRPr="003E2B63">
              <w:rPr>
                <w:color w:val="FFFFFF"/>
                <w:sz w:val="20"/>
                <w:szCs w:val="20"/>
                <w:lang w:val="ca-ES"/>
              </w:rPr>
              <w:t>% total</w:t>
            </w:r>
          </w:p>
        </w:tc>
        <w:tc>
          <w:tcPr>
            <w:tcW w:w="2339" w:type="dxa"/>
            <w:tcBorders>
              <w:top w:val="nil"/>
              <w:left w:val="single" w:sz="2" w:space="0" w:color="FFFFFF"/>
              <w:bottom w:val="single" w:sz="24" w:space="0" w:color="FFFFFF"/>
              <w:right w:val="nil"/>
            </w:tcBorders>
            <w:shd w:val="clear" w:color="auto" w:fill="C00000"/>
            <w:vAlign w:val="center"/>
          </w:tcPr>
          <w:p w:rsidR="00767611" w:rsidRPr="003E2B63" w:rsidRDefault="00767611" w:rsidP="00767611">
            <w:pPr>
              <w:pStyle w:val="TEXTBOLD"/>
              <w:spacing w:line="276" w:lineRule="auto"/>
              <w:jc w:val="center"/>
              <w:rPr>
                <w:color w:val="FFFFFF"/>
                <w:sz w:val="20"/>
                <w:szCs w:val="20"/>
                <w:lang w:val="ca-ES"/>
              </w:rPr>
            </w:pPr>
            <w:r w:rsidRPr="003E2B63">
              <w:rPr>
                <w:color w:val="FFFFFF"/>
                <w:sz w:val="20"/>
                <w:szCs w:val="20"/>
                <w:lang w:val="ca-ES"/>
              </w:rPr>
              <w:t>Treballadors</w:t>
            </w:r>
          </w:p>
        </w:tc>
      </w:tr>
      <w:tr w:rsidR="003D3764" w:rsidRPr="00EA5418" w:rsidTr="003D3764">
        <w:tc>
          <w:tcPr>
            <w:tcW w:w="2338" w:type="dxa"/>
            <w:tcBorders>
              <w:top w:val="single" w:sz="24" w:space="0" w:color="FFFFFF"/>
              <w:left w:val="nil"/>
              <w:bottom w:val="single" w:sz="24" w:space="0" w:color="FFFFFF"/>
              <w:right w:val="single" w:sz="24" w:space="0" w:color="FFFFFF"/>
            </w:tcBorders>
            <w:shd w:val="clear" w:color="auto" w:fill="C00000"/>
            <w:vAlign w:val="center"/>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Acord en període de consultes</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647</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91,0</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11.224</w:t>
            </w:r>
          </w:p>
        </w:tc>
      </w:tr>
      <w:tr w:rsidR="003D3764" w:rsidRPr="00EA5418" w:rsidTr="003D3764">
        <w:tc>
          <w:tcPr>
            <w:tcW w:w="2338" w:type="dxa"/>
            <w:tcBorders>
              <w:top w:val="single" w:sz="24" w:space="0" w:color="FFFFFF"/>
              <w:left w:val="nil"/>
              <w:bottom w:val="single" w:sz="24" w:space="0" w:color="FFFFFF"/>
              <w:right w:val="single" w:sz="24" w:space="0" w:color="FFFFFF"/>
            </w:tcBorders>
            <w:shd w:val="clear" w:color="auto" w:fill="C00000"/>
            <w:vAlign w:val="center"/>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Acord de la comissió paritària del conveni</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41</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5,8</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873</w:t>
            </w:r>
          </w:p>
        </w:tc>
      </w:tr>
      <w:tr w:rsidR="003D3764" w:rsidRPr="00EA5418" w:rsidTr="003D3764">
        <w:tc>
          <w:tcPr>
            <w:tcW w:w="2338" w:type="dxa"/>
            <w:tcBorders>
              <w:top w:val="single" w:sz="24" w:space="0" w:color="FFFFFF"/>
              <w:left w:val="nil"/>
              <w:bottom w:val="single" w:sz="24" w:space="0" w:color="FFFFFF"/>
              <w:right w:val="single" w:sz="24" w:space="0" w:color="FFFFFF"/>
            </w:tcBorders>
            <w:shd w:val="clear" w:color="auto" w:fill="C00000"/>
            <w:vAlign w:val="center"/>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Acord de mediació en òrgan bipartit</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13</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1,8</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219</w:t>
            </w:r>
          </w:p>
        </w:tc>
      </w:tr>
      <w:tr w:rsidR="003D3764" w:rsidRPr="00EA5418" w:rsidTr="003D3764">
        <w:tc>
          <w:tcPr>
            <w:tcW w:w="2338" w:type="dxa"/>
            <w:tcBorders>
              <w:top w:val="single" w:sz="24" w:space="0" w:color="FFFFFF"/>
              <w:left w:val="nil"/>
              <w:bottom w:val="single" w:sz="24" w:space="0" w:color="FFFFFF"/>
              <w:right w:val="single" w:sz="24" w:space="0" w:color="FFFFFF"/>
            </w:tcBorders>
            <w:shd w:val="clear" w:color="auto" w:fill="C00000"/>
            <w:vAlign w:val="center"/>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Laude en òrgan bipartit</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2</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0,3</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70</w:t>
            </w:r>
          </w:p>
        </w:tc>
      </w:tr>
      <w:tr w:rsidR="003D3764" w:rsidRPr="00EA5418" w:rsidTr="003D3764">
        <w:tc>
          <w:tcPr>
            <w:tcW w:w="2338" w:type="dxa"/>
            <w:tcBorders>
              <w:top w:val="single" w:sz="24" w:space="0" w:color="FFFFFF"/>
              <w:left w:val="nil"/>
              <w:bottom w:val="single" w:sz="24" w:space="0" w:color="FFFFFF"/>
              <w:right w:val="single" w:sz="24" w:space="0" w:color="FFFFFF"/>
            </w:tcBorders>
            <w:shd w:val="clear" w:color="auto" w:fill="C00000"/>
            <w:vAlign w:val="center"/>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Decisió en un òrgan tripartit</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8</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1,1</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12</w:t>
            </w:r>
          </w:p>
        </w:tc>
      </w:tr>
      <w:tr w:rsidR="003D3764" w:rsidRPr="00EA5418" w:rsidTr="003D3764">
        <w:tc>
          <w:tcPr>
            <w:tcW w:w="2338" w:type="dxa"/>
            <w:tcBorders>
              <w:top w:val="single" w:sz="24" w:space="0" w:color="FFFFFF"/>
              <w:left w:val="nil"/>
              <w:bottom w:val="nil"/>
              <w:right w:val="single" w:sz="24" w:space="0" w:color="FFFFFF"/>
            </w:tcBorders>
            <w:shd w:val="clear" w:color="auto" w:fill="C00000"/>
            <w:vAlign w:val="center"/>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TOTAL</w:t>
            </w:r>
          </w:p>
        </w:tc>
        <w:tc>
          <w:tcPr>
            <w:tcW w:w="2338" w:type="dxa"/>
            <w:tcBorders>
              <w:top w:val="single" w:sz="24" w:space="0" w:color="FFFFFF"/>
              <w:left w:val="single" w:sz="24" w:space="0" w:color="FFFFFF"/>
              <w:bottom w:val="nil"/>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711</w:t>
            </w:r>
          </w:p>
        </w:tc>
        <w:tc>
          <w:tcPr>
            <w:tcW w:w="2339" w:type="dxa"/>
            <w:tcBorders>
              <w:top w:val="single" w:sz="24" w:space="0" w:color="FFFFFF"/>
              <w:left w:val="single" w:sz="24" w:space="0" w:color="FFFFFF"/>
              <w:bottom w:val="nil"/>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100,0</w:t>
            </w:r>
          </w:p>
        </w:tc>
        <w:tc>
          <w:tcPr>
            <w:tcW w:w="2339" w:type="dxa"/>
            <w:tcBorders>
              <w:top w:val="single" w:sz="24" w:space="0" w:color="FFFFFF"/>
              <w:left w:val="single" w:sz="24" w:space="0" w:color="FFFFFF"/>
              <w:bottom w:val="nil"/>
              <w:right w:val="nil"/>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12.398</w:t>
            </w:r>
          </w:p>
        </w:tc>
      </w:tr>
    </w:tbl>
    <w:p w:rsidR="00767611" w:rsidRDefault="00767611" w:rsidP="00767611">
      <w:pPr>
        <w:pStyle w:val="TEXTBOLD"/>
        <w:spacing w:line="276" w:lineRule="auto"/>
        <w:ind w:left="720"/>
        <w:jc w:val="center"/>
        <w:rPr>
          <w:b w:val="0"/>
          <w:color w:val="404040"/>
          <w:sz w:val="18"/>
          <w:lang w:val="ca-ES"/>
        </w:rPr>
      </w:pPr>
      <w:r w:rsidRPr="00EA5418">
        <w:rPr>
          <w:b w:val="0"/>
          <w:color w:val="404040"/>
          <w:sz w:val="18"/>
          <w:lang w:val="ca-ES"/>
        </w:rPr>
        <w:t>Font: Elaboració pròpia a partir de les dades del</w:t>
      </w:r>
      <w:r w:rsidR="003577BF" w:rsidRPr="003577BF">
        <w:rPr>
          <w:b w:val="0"/>
          <w:color w:val="404040"/>
          <w:sz w:val="18"/>
          <w:lang w:val="ca-ES"/>
        </w:rPr>
        <w:t xml:space="preserve">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r>
        <w:rPr>
          <w:b w:val="0"/>
          <w:color w:val="404040"/>
          <w:sz w:val="18"/>
          <w:lang w:val="ca-ES"/>
        </w:rPr>
        <w:t>.</w:t>
      </w:r>
    </w:p>
    <w:p w:rsidR="00767611" w:rsidRDefault="00767611" w:rsidP="00767611">
      <w:pPr>
        <w:pStyle w:val="TEXTBOLD"/>
        <w:spacing w:line="276" w:lineRule="auto"/>
        <w:ind w:left="720"/>
        <w:jc w:val="center"/>
        <w:rPr>
          <w:b w:val="0"/>
          <w:color w:val="404040"/>
          <w:sz w:val="18"/>
          <w:lang w:val="ca-ES"/>
        </w:rPr>
      </w:pPr>
    </w:p>
    <w:p w:rsidR="00767611" w:rsidRDefault="00767611" w:rsidP="00767611"/>
    <w:p w:rsidR="00767611" w:rsidRDefault="00767611" w:rsidP="00767611">
      <w:pPr>
        <w:rPr>
          <w:rFonts w:ascii="Rotis Sans Serif Std" w:hAnsi="Rotis Sans Serif Std" w:cs="RotisSansSerifStd-Regular"/>
          <w:color w:val="5E6061"/>
          <w:szCs w:val="22"/>
          <w:lang w:eastAsia="es-ES_tradnl"/>
        </w:rPr>
      </w:pPr>
      <w:r w:rsidRPr="00DC15E0">
        <w:rPr>
          <w:rFonts w:ascii="Rotis Sans Serif Std" w:hAnsi="Rotis Sans Serif Std" w:cs="RotisSansSerifStd-Regular"/>
          <w:color w:val="5E6061"/>
          <w:szCs w:val="22"/>
          <w:lang w:eastAsia="es-ES_tradnl"/>
        </w:rPr>
        <w:t xml:space="preserve">El </w:t>
      </w:r>
      <w:r w:rsidR="003D3764">
        <w:rPr>
          <w:rFonts w:ascii="Rotis Sans Serif Std" w:hAnsi="Rotis Sans Serif Std" w:cs="RotisSansSerifStd-Regular"/>
          <w:color w:val="5E6061"/>
          <w:szCs w:val="22"/>
          <w:lang w:eastAsia="es-ES_tradnl"/>
        </w:rPr>
        <w:t>98,5</w:t>
      </w:r>
      <w:r w:rsidRPr="00DC15E0">
        <w:rPr>
          <w:rFonts w:ascii="Rotis Sans Serif Std" w:hAnsi="Rotis Sans Serif Std" w:cs="RotisSansSerifStd-Regular"/>
          <w:color w:val="5E6061"/>
          <w:szCs w:val="22"/>
          <w:lang w:eastAsia="es-ES_tradnl"/>
        </w:rPr>
        <w:t xml:space="preserve">% de les inaplicacions presentades són en relació a Convenis d’àmbit superior a l’empresa, i la resta, és a dir, el </w:t>
      </w:r>
      <w:r w:rsidR="003D3764">
        <w:rPr>
          <w:rFonts w:ascii="Rotis Sans Serif Std" w:hAnsi="Rotis Sans Serif Std" w:cs="RotisSansSerifStd-Regular"/>
          <w:color w:val="5E6061"/>
          <w:szCs w:val="22"/>
          <w:lang w:eastAsia="es-ES_tradnl"/>
        </w:rPr>
        <w:t>1,6</w:t>
      </w:r>
      <w:r w:rsidRPr="00DC15E0">
        <w:rPr>
          <w:rFonts w:ascii="Rotis Sans Serif Std" w:hAnsi="Rotis Sans Serif Std" w:cs="RotisSansSerifStd-Regular"/>
          <w:color w:val="5E6061"/>
          <w:szCs w:val="22"/>
          <w:lang w:eastAsia="es-ES_tradnl"/>
        </w:rPr>
        <w:t>% de Convenis d’empresa.</w:t>
      </w:r>
    </w:p>
    <w:p w:rsidR="00767611" w:rsidRDefault="00767611" w:rsidP="00767611">
      <w:pPr>
        <w:rPr>
          <w:rFonts w:ascii="Rotis Sans Serif Std" w:hAnsi="Rotis Sans Serif Std" w:cs="RotisSansSerifStd-Regular"/>
          <w:color w:val="5E6061"/>
          <w:szCs w:val="22"/>
          <w:lang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338"/>
        <w:gridCol w:w="2339"/>
        <w:gridCol w:w="2339"/>
      </w:tblGrid>
      <w:tr w:rsidR="00767611" w:rsidRPr="003E2B63" w:rsidTr="00767611">
        <w:tc>
          <w:tcPr>
            <w:tcW w:w="2338" w:type="dxa"/>
            <w:tcBorders>
              <w:top w:val="nil"/>
              <w:left w:val="nil"/>
              <w:bottom w:val="single" w:sz="24" w:space="0" w:color="FFFFFF"/>
              <w:right w:val="single" w:sz="2" w:space="0" w:color="FFFFFF"/>
            </w:tcBorders>
            <w:shd w:val="clear" w:color="auto" w:fill="C00000"/>
            <w:vAlign w:val="center"/>
          </w:tcPr>
          <w:p w:rsidR="00767611" w:rsidRPr="003E2B63" w:rsidRDefault="00767611" w:rsidP="00767611">
            <w:pPr>
              <w:pStyle w:val="TEXTBOLD"/>
              <w:spacing w:line="276" w:lineRule="auto"/>
              <w:jc w:val="center"/>
              <w:rPr>
                <w:color w:val="FFFFFF"/>
                <w:sz w:val="20"/>
                <w:szCs w:val="20"/>
                <w:lang w:val="ca-ES"/>
              </w:rPr>
            </w:pPr>
            <w:r>
              <w:rPr>
                <w:color w:val="FFFFFF"/>
                <w:sz w:val="20"/>
                <w:szCs w:val="20"/>
                <w:lang w:val="ca-ES"/>
              </w:rPr>
              <w:t>Àmbit funcional del Conveni inaplicat</w:t>
            </w:r>
          </w:p>
        </w:tc>
        <w:tc>
          <w:tcPr>
            <w:tcW w:w="2338" w:type="dxa"/>
            <w:tcBorders>
              <w:top w:val="nil"/>
              <w:left w:val="single" w:sz="2" w:space="0" w:color="FFFFFF"/>
              <w:bottom w:val="single" w:sz="24" w:space="0" w:color="FFFFFF"/>
              <w:right w:val="single" w:sz="2" w:space="0" w:color="FFFFFF"/>
            </w:tcBorders>
            <w:shd w:val="clear" w:color="auto" w:fill="C00000"/>
            <w:vAlign w:val="center"/>
          </w:tcPr>
          <w:p w:rsidR="00767611" w:rsidRPr="003E2B63" w:rsidRDefault="00767611" w:rsidP="00767611">
            <w:pPr>
              <w:pStyle w:val="TEXTBOLD"/>
              <w:spacing w:line="276" w:lineRule="auto"/>
              <w:jc w:val="center"/>
              <w:rPr>
                <w:color w:val="FFFFFF"/>
                <w:sz w:val="20"/>
                <w:szCs w:val="20"/>
                <w:lang w:val="ca-ES"/>
              </w:rPr>
            </w:pPr>
            <w:proofErr w:type="spellStart"/>
            <w:r w:rsidRPr="003E2B63">
              <w:rPr>
                <w:color w:val="FFFFFF"/>
                <w:sz w:val="20"/>
                <w:szCs w:val="20"/>
                <w:lang w:val="ca-ES"/>
              </w:rPr>
              <w:t>I.Convenis</w:t>
            </w:r>
            <w:proofErr w:type="spellEnd"/>
          </w:p>
        </w:tc>
        <w:tc>
          <w:tcPr>
            <w:tcW w:w="2339" w:type="dxa"/>
            <w:tcBorders>
              <w:top w:val="nil"/>
              <w:left w:val="single" w:sz="2" w:space="0" w:color="FFFFFF"/>
              <w:bottom w:val="single" w:sz="24" w:space="0" w:color="FFFFFF"/>
              <w:right w:val="single" w:sz="2" w:space="0" w:color="FFFFFF"/>
            </w:tcBorders>
            <w:shd w:val="clear" w:color="auto" w:fill="C00000"/>
            <w:vAlign w:val="center"/>
          </w:tcPr>
          <w:p w:rsidR="00767611" w:rsidRPr="003E2B63" w:rsidRDefault="00767611" w:rsidP="00767611">
            <w:pPr>
              <w:pStyle w:val="TEXTBOLD"/>
              <w:spacing w:line="276" w:lineRule="auto"/>
              <w:jc w:val="center"/>
              <w:rPr>
                <w:color w:val="FFFFFF"/>
                <w:sz w:val="20"/>
                <w:szCs w:val="20"/>
                <w:lang w:val="ca-ES"/>
              </w:rPr>
            </w:pPr>
            <w:r w:rsidRPr="003E2B63">
              <w:rPr>
                <w:color w:val="FFFFFF"/>
                <w:sz w:val="20"/>
                <w:szCs w:val="20"/>
                <w:lang w:val="ca-ES"/>
              </w:rPr>
              <w:t>% total</w:t>
            </w:r>
          </w:p>
        </w:tc>
        <w:tc>
          <w:tcPr>
            <w:tcW w:w="2339" w:type="dxa"/>
            <w:tcBorders>
              <w:top w:val="nil"/>
              <w:left w:val="single" w:sz="2" w:space="0" w:color="FFFFFF"/>
              <w:bottom w:val="single" w:sz="24" w:space="0" w:color="FFFFFF"/>
              <w:right w:val="nil"/>
            </w:tcBorders>
            <w:shd w:val="clear" w:color="auto" w:fill="C00000"/>
            <w:vAlign w:val="center"/>
          </w:tcPr>
          <w:p w:rsidR="00767611" w:rsidRPr="003E2B63" w:rsidRDefault="00767611" w:rsidP="00767611">
            <w:pPr>
              <w:pStyle w:val="TEXTBOLD"/>
              <w:spacing w:line="276" w:lineRule="auto"/>
              <w:jc w:val="center"/>
              <w:rPr>
                <w:color w:val="FFFFFF"/>
                <w:sz w:val="20"/>
                <w:szCs w:val="20"/>
                <w:lang w:val="ca-ES"/>
              </w:rPr>
            </w:pPr>
            <w:r w:rsidRPr="003E2B63">
              <w:rPr>
                <w:color w:val="FFFFFF"/>
                <w:sz w:val="20"/>
                <w:szCs w:val="20"/>
                <w:lang w:val="ca-ES"/>
              </w:rPr>
              <w:t>Treballadors</w:t>
            </w:r>
          </w:p>
        </w:tc>
      </w:tr>
      <w:tr w:rsidR="003D3764" w:rsidRPr="00DC15E0" w:rsidTr="003D3764">
        <w:tc>
          <w:tcPr>
            <w:tcW w:w="2338" w:type="dxa"/>
            <w:tcBorders>
              <w:top w:val="single" w:sz="24" w:space="0" w:color="FFFFFF"/>
              <w:left w:val="nil"/>
              <w:bottom w:val="single" w:sz="24" w:space="0" w:color="FFFFFF"/>
              <w:right w:val="single" w:sz="24" w:space="0" w:color="FFFFFF"/>
            </w:tcBorders>
            <w:shd w:val="clear" w:color="auto" w:fill="C00000"/>
            <w:vAlign w:val="center"/>
          </w:tcPr>
          <w:p w:rsidR="003D3764" w:rsidRPr="003E2B63" w:rsidRDefault="003D3764" w:rsidP="00767611">
            <w:pPr>
              <w:pStyle w:val="TEXTBOLD"/>
              <w:spacing w:line="276" w:lineRule="auto"/>
              <w:jc w:val="center"/>
              <w:rPr>
                <w:color w:val="FFFFFF"/>
                <w:sz w:val="20"/>
                <w:szCs w:val="20"/>
                <w:lang w:val="ca-ES"/>
              </w:rPr>
            </w:pPr>
            <w:r>
              <w:rPr>
                <w:color w:val="FFFFFF"/>
                <w:sz w:val="20"/>
                <w:szCs w:val="20"/>
                <w:lang w:val="ca-ES"/>
              </w:rPr>
              <w:t>Conveni d’empresa</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11</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1,6</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991</w:t>
            </w:r>
          </w:p>
        </w:tc>
      </w:tr>
      <w:tr w:rsidR="003D3764" w:rsidRPr="00DC15E0" w:rsidTr="003D3764">
        <w:tc>
          <w:tcPr>
            <w:tcW w:w="2338" w:type="dxa"/>
            <w:tcBorders>
              <w:top w:val="single" w:sz="24" w:space="0" w:color="FFFFFF"/>
              <w:left w:val="nil"/>
              <w:bottom w:val="single" w:sz="24" w:space="0" w:color="FFFFFF"/>
              <w:right w:val="single" w:sz="24" w:space="0" w:color="FFFFFF"/>
            </w:tcBorders>
            <w:shd w:val="clear" w:color="auto" w:fill="C00000"/>
            <w:vAlign w:val="center"/>
          </w:tcPr>
          <w:p w:rsidR="003D3764" w:rsidRPr="003E2B63" w:rsidRDefault="003D3764" w:rsidP="00767611">
            <w:pPr>
              <w:pStyle w:val="TEXTBOLD"/>
              <w:spacing w:line="276" w:lineRule="auto"/>
              <w:jc w:val="center"/>
              <w:rPr>
                <w:color w:val="FFFFFF"/>
                <w:sz w:val="20"/>
                <w:szCs w:val="20"/>
                <w:lang w:val="ca-ES"/>
              </w:rPr>
            </w:pPr>
            <w:r>
              <w:rPr>
                <w:color w:val="FFFFFF"/>
                <w:sz w:val="20"/>
                <w:szCs w:val="20"/>
                <w:lang w:val="ca-ES"/>
              </w:rPr>
              <w:t>Conveni/s d’àmbit superior a l’empresa</w:t>
            </w:r>
          </w:p>
        </w:tc>
        <w:tc>
          <w:tcPr>
            <w:tcW w:w="2338"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700</w:t>
            </w:r>
          </w:p>
        </w:tc>
        <w:tc>
          <w:tcPr>
            <w:tcW w:w="2339" w:type="dxa"/>
            <w:tcBorders>
              <w:top w:val="single" w:sz="24" w:space="0" w:color="FFFFFF"/>
              <w:left w:val="single" w:sz="24" w:space="0" w:color="FFFFFF"/>
              <w:bottom w:val="single" w:sz="24" w:space="0" w:color="FFFFFF"/>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98,5</w:t>
            </w:r>
          </w:p>
        </w:tc>
        <w:tc>
          <w:tcPr>
            <w:tcW w:w="2339" w:type="dxa"/>
            <w:tcBorders>
              <w:top w:val="single" w:sz="24" w:space="0" w:color="FFFFFF"/>
              <w:left w:val="single" w:sz="24" w:space="0" w:color="FFFFFF"/>
              <w:bottom w:val="single" w:sz="24" w:space="0" w:color="FFFFFF"/>
              <w:right w:val="nil"/>
            </w:tcBorders>
            <w:shd w:val="clear" w:color="auto" w:fill="F2DBDB"/>
            <w:vAlign w:val="center"/>
          </w:tcPr>
          <w:p w:rsidR="003D3764" w:rsidRPr="003D3764" w:rsidRDefault="003D3764" w:rsidP="003D3764">
            <w:pPr>
              <w:jc w:val="center"/>
              <w:rPr>
                <w:rFonts w:ascii="Rotis Sans Serif Std" w:hAnsi="Rotis Sans Serif Std"/>
                <w:sz w:val="22"/>
                <w:szCs w:val="22"/>
                <w:lang w:eastAsia="es-ES_tradnl"/>
              </w:rPr>
            </w:pPr>
            <w:r w:rsidRPr="003D3764">
              <w:rPr>
                <w:rFonts w:ascii="Rotis Sans Serif Std" w:hAnsi="Rotis Sans Serif Std"/>
                <w:sz w:val="22"/>
                <w:szCs w:val="22"/>
                <w:lang w:eastAsia="es-ES_tradnl"/>
              </w:rPr>
              <w:t>11.407</w:t>
            </w:r>
          </w:p>
        </w:tc>
      </w:tr>
      <w:tr w:rsidR="003D3764" w:rsidRPr="00DC15E0" w:rsidTr="003D3764">
        <w:tc>
          <w:tcPr>
            <w:tcW w:w="2338" w:type="dxa"/>
            <w:tcBorders>
              <w:top w:val="single" w:sz="24" w:space="0" w:color="FFFFFF"/>
              <w:left w:val="nil"/>
              <w:bottom w:val="nil"/>
              <w:right w:val="single" w:sz="24" w:space="0" w:color="FFFFFF"/>
            </w:tcBorders>
            <w:shd w:val="clear" w:color="auto" w:fill="C00000"/>
            <w:vAlign w:val="center"/>
          </w:tcPr>
          <w:p w:rsidR="003D3764" w:rsidRPr="003E2B63" w:rsidRDefault="003D3764" w:rsidP="00767611">
            <w:pPr>
              <w:pStyle w:val="TEXTBOLD"/>
              <w:spacing w:line="276" w:lineRule="auto"/>
              <w:jc w:val="center"/>
              <w:rPr>
                <w:color w:val="FFFFFF"/>
                <w:sz w:val="20"/>
                <w:szCs w:val="20"/>
                <w:lang w:val="ca-ES"/>
              </w:rPr>
            </w:pPr>
            <w:r w:rsidRPr="003E2B63">
              <w:rPr>
                <w:color w:val="FFFFFF"/>
                <w:sz w:val="20"/>
                <w:szCs w:val="20"/>
                <w:lang w:val="ca-ES"/>
              </w:rPr>
              <w:t>TOTAL</w:t>
            </w:r>
          </w:p>
        </w:tc>
        <w:tc>
          <w:tcPr>
            <w:tcW w:w="2338" w:type="dxa"/>
            <w:tcBorders>
              <w:top w:val="single" w:sz="24" w:space="0" w:color="FFFFFF"/>
              <w:left w:val="single" w:sz="24" w:space="0" w:color="FFFFFF"/>
              <w:bottom w:val="nil"/>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711</w:t>
            </w:r>
          </w:p>
        </w:tc>
        <w:tc>
          <w:tcPr>
            <w:tcW w:w="2339" w:type="dxa"/>
            <w:tcBorders>
              <w:top w:val="single" w:sz="24" w:space="0" w:color="FFFFFF"/>
              <w:left w:val="single" w:sz="24" w:space="0" w:color="FFFFFF"/>
              <w:bottom w:val="nil"/>
              <w:right w:val="single" w:sz="24" w:space="0" w:color="FFFFFF"/>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100,0</w:t>
            </w:r>
          </w:p>
        </w:tc>
        <w:tc>
          <w:tcPr>
            <w:tcW w:w="2339" w:type="dxa"/>
            <w:tcBorders>
              <w:top w:val="single" w:sz="24" w:space="0" w:color="FFFFFF"/>
              <w:left w:val="single" w:sz="24" w:space="0" w:color="FFFFFF"/>
              <w:bottom w:val="nil"/>
              <w:right w:val="nil"/>
            </w:tcBorders>
            <w:shd w:val="clear" w:color="auto" w:fill="F2DBDB"/>
            <w:vAlign w:val="center"/>
          </w:tcPr>
          <w:p w:rsidR="003D3764" w:rsidRPr="003D3764" w:rsidRDefault="003D3764" w:rsidP="003D3764">
            <w:pPr>
              <w:jc w:val="center"/>
              <w:rPr>
                <w:rFonts w:ascii="Rotis Sans Serif Std" w:hAnsi="Rotis Sans Serif Std" w:cs="RotisSansSerifStd-Regular"/>
                <w:b/>
                <w:color w:val="5E6061"/>
                <w:sz w:val="22"/>
                <w:szCs w:val="22"/>
                <w:lang w:eastAsia="es-ES_tradnl"/>
              </w:rPr>
            </w:pPr>
            <w:r w:rsidRPr="003D3764">
              <w:rPr>
                <w:rFonts w:ascii="Rotis Sans Serif Std" w:hAnsi="Rotis Sans Serif Std" w:cs="RotisSansSerifStd-Regular"/>
                <w:b/>
                <w:color w:val="5E6061"/>
                <w:sz w:val="22"/>
                <w:szCs w:val="22"/>
                <w:lang w:eastAsia="es-ES_tradnl"/>
              </w:rPr>
              <w:t>12.398</w:t>
            </w:r>
          </w:p>
        </w:tc>
      </w:tr>
    </w:tbl>
    <w:p w:rsidR="00D836A3" w:rsidRDefault="00D836A3" w:rsidP="00D836A3">
      <w:pPr>
        <w:pStyle w:val="TEXTBOLD"/>
        <w:spacing w:line="276" w:lineRule="auto"/>
        <w:ind w:left="720"/>
        <w:jc w:val="center"/>
        <w:rPr>
          <w:b w:val="0"/>
          <w:color w:val="404040"/>
          <w:sz w:val="18"/>
          <w:lang w:val="ca-ES"/>
        </w:rPr>
      </w:pPr>
      <w:r w:rsidRPr="00EA5418">
        <w:rPr>
          <w:b w:val="0"/>
          <w:color w:val="404040"/>
          <w:sz w:val="18"/>
          <w:lang w:val="ca-ES"/>
        </w:rPr>
        <w:t>Font: Elaboració pròpia a partir de les dades del</w:t>
      </w:r>
      <w:r w:rsidR="003577BF" w:rsidRPr="003577BF">
        <w:rPr>
          <w:b w:val="0"/>
          <w:color w:val="404040"/>
          <w:sz w:val="18"/>
          <w:lang w:val="ca-ES"/>
        </w:rPr>
        <w:t xml:space="preserve"> </w:t>
      </w:r>
      <w:proofErr w:type="spellStart"/>
      <w:r w:rsidR="003577BF" w:rsidRPr="00EA5418">
        <w:rPr>
          <w:b w:val="0"/>
          <w:color w:val="404040"/>
          <w:sz w:val="18"/>
          <w:lang w:val="ca-ES"/>
        </w:rPr>
        <w:t>Ministerio</w:t>
      </w:r>
      <w:proofErr w:type="spellEnd"/>
      <w:r w:rsidR="003577BF" w:rsidRPr="00EA5418">
        <w:rPr>
          <w:b w:val="0"/>
          <w:color w:val="404040"/>
          <w:sz w:val="18"/>
          <w:lang w:val="ca-ES"/>
        </w:rPr>
        <w:t xml:space="preserve"> de </w:t>
      </w:r>
      <w:r w:rsidR="003577BF">
        <w:rPr>
          <w:b w:val="0"/>
          <w:color w:val="404040"/>
          <w:sz w:val="18"/>
          <w:lang w:val="ca-ES"/>
        </w:rPr>
        <w:t xml:space="preserve">Trabajo, </w:t>
      </w:r>
      <w:proofErr w:type="spellStart"/>
      <w:r w:rsidR="003577BF">
        <w:rPr>
          <w:b w:val="0"/>
          <w:color w:val="404040"/>
          <w:sz w:val="18"/>
          <w:lang w:val="ca-ES"/>
        </w:rPr>
        <w:t>Migraciones</w:t>
      </w:r>
      <w:proofErr w:type="spellEnd"/>
      <w:r w:rsidR="003577BF" w:rsidRPr="00EA5418">
        <w:rPr>
          <w:b w:val="0"/>
          <w:color w:val="404040"/>
          <w:sz w:val="18"/>
          <w:lang w:val="ca-ES"/>
        </w:rPr>
        <w:t xml:space="preserve"> y Seguridad Social</w:t>
      </w:r>
      <w:r>
        <w:rPr>
          <w:b w:val="0"/>
          <w:color w:val="404040"/>
          <w:sz w:val="18"/>
          <w:lang w:val="ca-ES"/>
        </w:rPr>
        <w:t>.</w:t>
      </w:r>
    </w:p>
    <w:p w:rsidR="00617A8C" w:rsidRDefault="00617A8C" w:rsidP="00D836A3">
      <w:pPr>
        <w:pStyle w:val="TEXTBOLD"/>
        <w:spacing w:line="276" w:lineRule="auto"/>
        <w:ind w:left="720"/>
        <w:jc w:val="center"/>
        <w:rPr>
          <w:b w:val="0"/>
          <w:color w:val="404040"/>
          <w:sz w:val="18"/>
          <w:lang w:val="ca-ES"/>
        </w:rPr>
      </w:pPr>
    </w:p>
    <w:p w:rsidR="00617A8C" w:rsidRDefault="00617A8C" w:rsidP="00D836A3">
      <w:pPr>
        <w:pStyle w:val="TEXTBOLD"/>
        <w:spacing w:line="276" w:lineRule="auto"/>
        <w:ind w:left="720"/>
        <w:jc w:val="center"/>
        <w:rPr>
          <w:b w:val="0"/>
          <w:color w:val="404040"/>
          <w:sz w:val="18"/>
          <w:lang w:val="ca-ES"/>
        </w:rPr>
      </w:pPr>
    </w:p>
    <w:p w:rsidR="00767D0B" w:rsidRDefault="00767D0B" w:rsidP="00D836A3">
      <w:pPr>
        <w:pStyle w:val="TEXTBOLD"/>
        <w:spacing w:line="276" w:lineRule="auto"/>
        <w:ind w:left="720"/>
        <w:jc w:val="center"/>
        <w:rPr>
          <w:b w:val="0"/>
          <w:color w:val="404040"/>
          <w:sz w:val="18"/>
          <w:lang w:val="ca-ES"/>
        </w:rPr>
      </w:pPr>
    </w:p>
    <w:p w:rsidR="00767D0B" w:rsidRDefault="00767D0B" w:rsidP="00D836A3">
      <w:pPr>
        <w:pStyle w:val="TEXTBOLD"/>
        <w:spacing w:line="276" w:lineRule="auto"/>
        <w:ind w:left="720"/>
        <w:jc w:val="center"/>
        <w:rPr>
          <w:b w:val="0"/>
          <w:color w:val="404040"/>
          <w:sz w:val="18"/>
          <w:lang w:val="ca-ES"/>
        </w:rPr>
      </w:pPr>
    </w:p>
    <w:p w:rsidR="00767611" w:rsidRPr="00EA5418" w:rsidRDefault="00767611" w:rsidP="00AB0BAA">
      <w:pPr>
        <w:pStyle w:val="Prrafodelista"/>
        <w:numPr>
          <w:ilvl w:val="1"/>
          <w:numId w:val="4"/>
        </w:numPr>
        <w:shd w:val="clear" w:color="auto" w:fill="F2F2F2"/>
        <w:spacing w:line="276" w:lineRule="auto"/>
        <w:ind w:left="284" w:hanging="284"/>
        <w:jc w:val="both"/>
        <w:rPr>
          <w:rFonts w:ascii="Rotis Sans Serif Std" w:hAnsi="Rotis Sans Serif Std"/>
          <w:b/>
          <w:color w:val="C00000"/>
        </w:rPr>
      </w:pPr>
      <w:bookmarkStart w:id="10" w:name="Expedients"/>
      <w:r w:rsidRPr="00EA5418">
        <w:rPr>
          <w:rFonts w:ascii="Rotis Sans Serif Std" w:hAnsi="Rotis Sans Serif Std"/>
          <w:b/>
          <w:color w:val="C00000"/>
        </w:rPr>
        <w:t>EXPEDIENTS DE REGULACIÓ D’OCUPACIÓ</w:t>
      </w:r>
    </w:p>
    <w:bookmarkEnd w:id="10"/>
    <w:p w:rsidR="00767611" w:rsidRPr="00EA5418" w:rsidRDefault="00767611" w:rsidP="00767611">
      <w:pPr>
        <w:pStyle w:val="TEXTBOLD"/>
        <w:spacing w:line="276" w:lineRule="auto"/>
        <w:rPr>
          <w:lang w:val="ca-ES"/>
        </w:rPr>
      </w:pPr>
    </w:p>
    <w:p w:rsidR="008B6DFF" w:rsidRDefault="00767611" w:rsidP="00767611">
      <w:pPr>
        <w:tabs>
          <w:tab w:val="left" w:pos="6135"/>
        </w:tabs>
        <w:spacing w:line="276" w:lineRule="auto"/>
        <w:jc w:val="both"/>
        <w:rPr>
          <w:rFonts w:ascii="Rotis Sans Serif Std" w:hAnsi="Rotis Sans Serif Std" w:cs="RotisSansSerifStd-Regular"/>
          <w:color w:val="5E6061"/>
          <w:lang w:eastAsia="es-ES_tradnl"/>
        </w:rPr>
      </w:pPr>
      <w:r w:rsidRPr="00EA5418">
        <w:rPr>
          <w:rFonts w:ascii="Rotis Sans Serif Std" w:hAnsi="Rotis Sans Serif Std" w:cs="RotisSansSerifStd-Regular"/>
          <w:bCs/>
          <w:color w:val="5E6061"/>
          <w:lang w:eastAsia="es-ES_tradnl"/>
        </w:rPr>
        <w:t>Segons les dades de</w:t>
      </w:r>
      <w:r w:rsidRPr="00A5000D">
        <w:rPr>
          <w:sz w:val="18"/>
          <w:szCs w:val="20"/>
        </w:rPr>
        <w:t xml:space="preserve"> </w:t>
      </w:r>
      <w:r w:rsidRPr="00A5000D">
        <w:rPr>
          <w:rFonts w:ascii="Rotis Sans Serif Std" w:hAnsi="Rotis Sans Serif Std" w:cs="RotisSansSerifStd-Regular"/>
          <w:bCs/>
          <w:color w:val="5E6061"/>
          <w:lang w:eastAsia="es-ES_tradnl"/>
        </w:rPr>
        <w:t>l’Observatori del Treball i Model Productiu</w:t>
      </w:r>
      <w:r w:rsidRPr="00EA5418">
        <w:rPr>
          <w:rFonts w:ascii="Rotis Sans Serif Std" w:hAnsi="Rotis Sans Serif Std" w:cs="RotisSansSerifStd-Regular"/>
          <w:bCs/>
          <w:color w:val="5E6061"/>
          <w:lang w:eastAsia="es-ES_tradnl"/>
        </w:rPr>
        <w:t xml:space="preserve">, </w:t>
      </w:r>
      <w:r w:rsidR="007A079D">
        <w:rPr>
          <w:rFonts w:ascii="Rotis Sans Serif Std" w:hAnsi="Rotis Sans Serif Std" w:cs="RotisSansSerifStd-Regular"/>
          <w:bCs/>
          <w:color w:val="5E6061"/>
          <w:lang w:eastAsia="es-ES_tradnl"/>
        </w:rPr>
        <w:t>fins al mes d</w:t>
      </w:r>
      <w:r w:rsidR="00C02078">
        <w:rPr>
          <w:rFonts w:ascii="Rotis Sans Serif Std" w:hAnsi="Rotis Sans Serif Std" w:cs="RotisSansSerifStd-Regular"/>
          <w:bCs/>
          <w:color w:val="5E6061"/>
          <w:lang w:eastAsia="es-ES_tradnl"/>
        </w:rPr>
        <w:t>’agost</w:t>
      </w:r>
      <w:r w:rsidR="007A079D">
        <w:rPr>
          <w:rFonts w:ascii="Rotis Sans Serif Std" w:hAnsi="Rotis Sans Serif Std" w:cs="RotisSansSerifStd-Regular"/>
          <w:bCs/>
          <w:color w:val="5E6061"/>
          <w:lang w:eastAsia="es-ES_tradnl"/>
        </w:rPr>
        <w:t xml:space="preserve"> de 201</w:t>
      </w:r>
      <w:r w:rsidR="00EA44CA">
        <w:rPr>
          <w:rFonts w:ascii="Rotis Sans Serif Std" w:hAnsi="Rotis Sans Serif Std" w:cs="RotisSansSerifStd-Regular"/>
          <w:bCs/>
          <w:color w:val="5E6061"/>
          <w:lang w:eastAsia="es-ES_tradnl"/>
        </w:rPr>
        <w:t>8</w:t>
      </w:r>
      <w:r w:rsidRPr="00EA5418">
        <w:rPr>
          <w:rFonts w:ascii="Rotis Sans Serif Std" w:hAnsi="Rotis Sans Serif Std" w:cs="RotisSansSerifStd-Regular"/>
          <w:color w:val="5E6061"/>
          <w:lang w:eastAsia="es-ES_tradnl"/>
        </w:rPr>
        <w:t xml:space="preserve">, s’han comunicat o resolt </w:t>
      </w:r>
      <w:r w:rsidR="00C02078">
        <w:rPr>
          <w:rFonts w:ascii="Rotis Sans Serif Std" w:hAnsi="Rotis Sans Serif Std" w:cs="RotisSansSerifStd-Regular"/>
          <w:color w:val="5E6061"/>
          <w:lang w:eastAsia="es-ES_tradnl"/>
        </w:rPr>
        <w:t>185</w:t>
      </w:r>
      <w:r w:rsidRPr="00EA5418">
        <w:rPr>
          <w:rFonts w:ascii="Rotis Sans Serif Std" w:hAnsi="Rotis Sans Serif Std" w:cs="RotisSansSerifStd-Regular"/>
          <w:color w:val="5E6061"/>
          <w:lang w:eastAsia="es-ES_tradnl"/>
        </w:rPr>
        <w:t xml:space="preserve"> expedients</w:t>
      </w:r>
      <w:r>
        <w:rPr>
          <w:rFonts w:ascii="Rotis Sans Serif Std" w:hAnsi="Rotis Sans Serif Std" w:cs="RotisSansSerifStd-Regular"/>
          <w:color w:val="5E6061"/>
          <w:lang w:eastAsia="es-ES_tradnl"/>
        </w:rPr>
        <w:t xml:space="preserve"> (-</w:t>
      </w:r>
      <w:r w:rsidR="00C02078">
        <w:rPr>
          <w:rFonts w:ascii="Rotis Sans Serif Std" w:hAnsi="Rotis Sans Serif Std" w:cs="RotisSansSerifStd-Regular"/>
          <w:color w:val="5E6061"/>
          <w:lang w:eastAsia="es-ES_tradnl"/>
        </w:rPr>
        <w:t>20,60</w:t>
      </w:r>
      <w:r>
        <w:rPr>
          <w:rFonts w:ascii="Rotis Sans Serif Std" w:hAnsi="Rotis Sans Serif Std" w:cs="RotisSansSerifStd-Regular"/>
          <w:color w:val="5E6061"/>
          <w:lang w:eastAsia="es-ES_tradnl"/>
        </w:rPr>
        <w:t xml:space="preserve">% respecte </w:t>
      </w:r>
      <w:r w:rsidR="007A079D">
        <w:rPr>
          <w:rFonts w:ascii="Rotis Sans Serif Std" w:hAnsi="Rotis Sans Serif Std" w:cs="RotisSansSerifStd-Regular"/>
          <w:color w:val="5E6061"/>
          <w:lang w:eastAsia="es-ES_tradnl"/>
        </w:rPr>
        <w:t xml:space="preserve">el mateix període de l’any </w:t>
      </w:r>
      <w:r>
        <w:rPr>
          <w:rFonts w:ascii="Rotis Sans Serif Std" w:hAnsi="Rotis Sans Serif Std" w:cs="RotisSansSerifStd-Regular"/>
          <w:color w:val="5E6061"/>
          <w:lang w:eastAsia="es-ES_tradnl"/>
        </w:rPr>
        <w:t>201</w:t>
      </w:r>
      <w:r w:rsidR="00EA44CA">
        <w:rPr>
          <w:rFonts w:ascii="Rotis Sans Serif Std" w:hAnsi="Rotis Sans Serif Std" w:cs="RotisSansSerifStd-Regular"/>
          <w:color w:val="5E6061"/>
          <w:lang w:eastAsia="es-ES_tradnl"/>
        </w:rPr>
        <w:t>7</w:t>
      </w:r>
      <w:r>
        <w:rPr>
          <w:rFonts w:ascii="Rotis Sans Serif Std" w:hAnsi="Rotis Sans Serif Std" w:cs="RotisSansSerifStd-Regular"/>
          <w:color w:val="5E6061"/>
          <w:lang w:eastAsia="es-ES_tradnl"/>
        </w:rPr>
        <w:t>)</w:t>
      </w:r>
      <w:r w:rsidRPr="00EA5418">
        <w:rPr>
          <w:rFonts w:ascii="Rotis Sans Serif Std" w:hAnsi="Rotis Sans Serif Std" w:cs="RotisSansSerifStd-Regular"/>
          <w:color w:val="5E6061"/>
          <w:lang w:eastAsia="es-ES_tradnl"/>
        </w:rPr>
        <w:t xml:space="preserve"> que han afectat a un total de </w:t>
      </w:r>
      <w:r w:rsidR="00C02078">
        <w:rPr>
          <w:rFonts w:ascii="Rotis Sans Serif Std" w:hAnsi="Rotis Sans Serif Std" w:cs="RotisSansSerifStd-Regular"/>
          <w:color w:val="5E6061"/>
          <w:lang w:eastAsia="es-ES_tradnl"/>
        </w:rPr>
        <w:t>4.132</w:t>
      </w:r>
      <w:r w:rsidR="005F5E4F">
        <w:rPr>
          <w:rFonts w:ascii="Rotis Sans Serif Std" w:hAnsi="Rotis Sans Serif Std" w:cs="RotisSansSerifStd-Regular"/>
          <w:color w:val="5E6061"/>
          <w:lang w:eastAsia="es-ES_tradnl"/>
        </w:rPr>
        <w:t xml:space="preserve"> </w:t>
      </w:r>
      <w:r w:rsidR="00EA44CA">
        <w:rPr>
          <w:rFonts w:ascii="Rotis Sans Serif Std" w:hAnsi="Rotis Sans Serif Std" w:cs="RotisSansSerifStd-Regular"/>
          <w:color w:val="5E6061"/>
          <w:lang w:eastAsia="es-ES_tradnl"/>
        </w:rPr>
        <w:t>treballadors (</w:t>
      </w:r>
      <w:r w:rsidR="00C02078">
        <w:rPr>
          <w:rFonts w:ascii="Rotis Sans Serif Std" w:hAnsi="Rotis Sans Serif Std" w:cs="RotisSansSerifStd-Regular"/>
          <w:color w:val="5E6061"/>
          <w:lang w:eastAsia="es-ES_tradnl"/>
        </w:rPr>
        <w:t>28,24</w:t>
      </w:r>
      <w:r>
        <w:rPr>
          <w:rFonts w:ascii="Rotis Sans Serif Std" w:hAnsi="Rotis Sans Serif Std" w:cs="RotisSansSerifStd-Regular"/>
          <w:color w:val="5E6061"/>
          <w:lang w:eastAsia="es-ES_tradnl"/>
        </w:rPr>
        <w:t>% respecte</w:t>
      </w:r>
      <w:r w:rsidR="007A079D" w:rsidRPr="007A079D">
        <w:rPr>
          <w:rFonts w:ascii="Rotis Sans Serif Std" w:hAnsi="Rotis Sans Serif Std" w:cs="RotisSansSerifStd-Regular"/>
          <w:color w:val="5E6061"/>
          <w:lang w:eastAsia="es-ES_tradnl"/>
        </w:rPr>
        <w:t xml:space="preserve"> </w:t>
      </w:r>
      <w:r w:rsidR="007A079D">
        <w:rPr>
          <w:rFonts w:ascii="Rotis Sans Serif Std" w:hAnsi="Rotis Sans Serif Std" w:cs="RotisSansSerifStd-Regular"/>
          <w:color w:val="5E6061"/>
          <w:lang w:eastAsia="es-ES_tradnl"/>
        </w:rPr>
        <w:t>el mateix període de l’any 201</w:t>
      </w:r>
      <w:r w:rsidR="008B6DFF">
        <w:rPr>
          <w:rFonts w:ascii="Rotis Sans Serif Std" w:hAnsi="Rotis Sans Serif Std" w:cs="RotisSansSerifStd-Regular"/>
          <w:color w:val="5E6061"/>
          <w:lang w:eastAsia="es-ES_tradnl"/>
        </w:rPr>
        <w:t>7).</w:t>
      </w:r>
    </w:p>
    <w:p w:rsidR="00767611" w:rsidRPr="007377B8" w:rsidRDefault="00767611" w:rsidP="00767611">
      <w:pPr>
        <w:tabs>
          <w:tab w:val="left" w:pos="6135"/>
        </w:tabs>
        <w:spacing w:line="276" w:lineRule="auto"/>
        <w:jc w:val="both"/>
        <w:rPr>
          <w:rFonts w:ascii="Rotis Sans Serif Std" w:hAnsi="Rotis Sans Serif Std" w:cs="RotisSansSerifStd-Regular"/>
          <w:bCs/>
          <w:color w:val="5E6061"/>
          <w:lang w:eastAsia="es-ES_tradnl"/>
        </w:rPr>
      </w:pPr>
    </w:p>
    <w:p w:rsidR="00767611" w:rsidRDefault="00767611" w:rsidP="00767611">
      <w:pPr>
        <w:tabs>
          <w:tab w:val="left" w:pos="6135"/>
        </w:tabs>
        <w:spacing w:line="276" w:lineRule="auto"/>
        <w:jc w:val="both"/>
        <w:rPr>
          <w:rFonts w:ascii="Rotis Sans Serif Std" w:hAnsi="Rotis Sans Serif Std" w:cs="RotisSansSerifStd-Regular"/>
          <w:bCs/>
          <w:color w:val="5E6061"/>
          <w:lang w:eastAsia="es-ES_tradnl"/>
        </w:rPr>
      </w:pPr>
      <w:r w:rsidRPr="00EA5418">
        <w:rPr>
          <w:rFonts w:ascii="Rotis Sans Serif Std" w:hAnsi="Rotis Sans Serif Std" w:cs="RotisSansSerifStd-Regular"/>
          <w:bCs/>
          <w:color w:val="5E6061"/>
          <w:lang w:eastAsia="es-ES_tradnl"/>
        </w:rPr>
        <w:t xml:space="preserve">Del total d’aquests </w:t>
      </w:r>
      <w:r w:rsidR="00C02078">
        <w:rPr>
          <w:rFonts w:ascii="Rotis Sans Serif Std" w:hAnsi="Rotis Sans Serif Std" w:cs="RotisSansSerifStd-Regular"/>
          <w:bCs/>
          <w:color w:val="5E6061"/>
          <w:lang w:eastAsia="es-ES_tradnl"/>
        </w:rPr>
        <w:t>185</w:t>
      </w:r>
      <w:r w:rsidRPr="00EA5418">
        <w:rPr>
          <w:rFonts w:ascii="Rotis Sans Serif Std" w:hAnsi="Rotis Sans Serif Std" w:cs="RotisSansSerifStd-Regular"/>
          <w:bCs/>
          <w:color w:val="5E6061"/>
          <w:lang w:eastAsia="es-ES_tradnl"/>
        </w:rPr>
        <w:t xml:space="preserve"> expedients </w:t>
      </w:r>
      <w:r w:rsidR="00C02078">
        <w:rPr>
          <w:rFonts w:ascii="Rotis Sans Serif Std" w:hAnsi="Rotis Sans Serif Std" w:cs="RotisSansSerifStd-Regular"/>
          <w:bCs/>
          <w:color w:val="5E6061"/>
          <w:lang w:eastAsia="es-ES_tradnl"/>
        </w:rPr>
        <w:t>71</w:t>
      </w:r>
      <w:r w:rsidRPr="00EA5418">
        <w:rPr>
          <w:rFonts w:ascii="Rotis Sans Serif Std" w:hAnsi="Rotis Sans Serif Std" w:cs="RotisSansSerifStd-Regular"/>
          <w:bCs/>
          <w:color w:val="5E6061"/>
          <w:lang w:eastAsia="es-ES_tradnl"/>
        </w:rPr>
        <w:t xml:space="preserve"> van ser d’extinció (</w:t>
      </w:r>
      <w:r w:rsidR="00C02078">
        <w:rPr>
          <w:rFonts w:ascii="Rotis Sans Serif Std" w:hAnsi="Rotis Sans Serif Std" w:cs="RotisSansSerifStd-Regular"/>
          <w:bCs/>
          <w:color w:val="5E6061"/>
          <w:lang w:eastAsia="es-ES_tradnl"/>
        </w:rPr>
        <w:t>38,38</w:t>
      </w:r>
      <w:r w:rsidRPr="00EA5418">
        <w:rPr>
          <w:rFonts w:ascii="Rotis Sans Serif Std" w:hAnsi="Rotis Sans Serif Std" w:cs="RotisSansSerifStd-Regular"/>
          <w:bCs/>
          <w:color w:val="5E6061"/>
          <w:lang w:eastAsia="es-ES_tradnl"/>
        </w:rPr>
        <w:t>%) -afectant a</w:t>
      </w:r>
      <w:r>
        <w:rPr>
          <w:rFonts w:ascii="Rotis Sans Serif Std" w:hAnsi="Rotis Sans Serif Std" w:cs="RotisSansSerifStd-Regular"/>
          <w:bCs/>
          <w:color w:val="5E6061"/>
          <w:lang w:eastAsia="es-ES_tradnl"/>
        </w:rPr>
        <w:t xml:space="preserve"> </w:t>
      </w:r>
      <w:r w:rsidR="00C02078">
        <w:rPr>
          <w:rFonts w:ascii="Rotis Sans Serif Std" w:hAnsi="Rotis Sans Serif Std" w:cs="RotisSansSerifStd-Regular"/>
          <w:bCs/>
          <w:color w:val="5E6061"/>
          <w:lang w:eastAsia="es-ES_tradnl"/>
        </w:rPr>
        <w:t>1.715</w:t>
      </w:r>
      <w:r>
        <w:rPr>
          <w:rFonts w:ascii="Rotis Sans Serif Std" w:hAnsi="Rotis Sans Serif Std" w:cs="RotisSansSerifStd-Regular"/>
          <w:bCs/>
          <w:color w:val="5E6061"/>
          <w:lang w:eastAsia="es-ES_tradnl"/>
        </w:rPr>
        <w:t xml:space="preserve"> treballadors-</w:t>
      </w:r>
      <w:r w:rsidRPr="00EA5418">
        <w:rPr>
          <w:rFonts w:ascii="Rotis Sans Serif Std" w:hAnsi="Rotis Sans Serif Std" w:cs="RotisSansSerifStd-Regular"/>
          <w:bCs/>
          <w:color w:val="5E6061"/>
          <w:lang w:eastAsia="es-ES_tradnl"/>
        </w:rPr>
        <w:t xml:space="preserve">, </w:t>
      </w:r>
      <w:r w:rsidR="00C02078">
        <w:rPr>
          <w:rFonts w:ascii="Rotis Sans Serif Std" w:hAnsi="Rotis Sans Serif Std" w:cs="RotisSansSerifStd-Regular"/>
          <w:bCs/>
          <w:color w:val="5E6061"/>
          <w:lang w:eastAsia="es-ES_tradnl"/>
        </w:rPr>
        <w:t>87</w:t>
      </w:r>
      <w:r>
        <w:rPr>
          <w:rFonts w:ascii="Rotis Sans Serif Std" w:hAnsi="Rotis Sans Serif Std" w:cs="RotisSansSerifStd-Regular"/>
          <w:bCs/>
          <w:color w:val="5E6061"/>
          <w:lang w:eastAsia="es-ES_tradnl"/>
        </w:rPr>
        <w:t xml:space="preserve"> </w:t>
      </w:r>
      <w:r w:rsidRPr="00EA5418">
        <w:rPr>
          <w:rFonts w:ascii="Rotis Sans Serif Std" w:hAnsi="Rotis Sans Serif Std" w:cs="RotisSansSerifStd-Regular"/>
          <w:bCs/>
          <w:color w:val="5E6061"/>
          <w:lang w:eastAsia="es-ES_tradnl"/>
        </w:rPr>
        <w:t>de suspensió del contracte de treball (</w:t>
      </w:r>
      <w:r w:rsidR="00C02078">
        <w:rPr>
          <w:rFonts w:ascii="Rotis Sans Serif Std" w:hAnsi="Rotis Sans Serif Std" w:cs="RotisSansSerifStd-Regular"/>
          <w:bCs/>
          <w:color w:val="5E6061"/>
          <w:lang w:eastAsia="es-ES_tradnl"/>
        </w:rPr>
        <w:t>47,03</w:t>
      </w:r>
      <w:r w:rsidRPr="00EA5418">
        <w:rPr>
          <w:rFonts w:ascii="Rotis Sans Serif Std" w:hAnsi="Rotis Sans Serif Std" w:cs="RotisSansSerifStd-Regular"/>
          <w:bCs/>
          <w:color w:val="5E6061"/>
          <w:lang w:eastAsia="es-ES_tradnl"/>
        </w:rPr>
        <w:t xml:space="preserve">%)- afectant a </w:t>
      </w:r>
      <w:r w:rsidR="00C02078">
        <w:rPr>
          <w:rFonts w:ascii="Rotis Sans Serif Std" w:hAnsi="Rotis Sans Serif Std" w:cs="RotisSansSerifStd-Regular"/>
          <w:bCs/>
          <w:color w:val="5E6061"/>
          <w:lang w:eastAsia="es-ES_tradnl"/>
        </w:rPr>
        <w:t>2.260</w:t>
      </w:r>
      <w:r>
        <w:rPr>
          <w:rFonts w:ascii="Rotis Sans Serif Std" w:hAnsi="Rotis Sans Serif Std" w:cs="RotisSansSerifStd-Regular"/>
          <w:bCs/>
          <w:color w:val="5E6061"/>
          <w:lang w:eastAsia="es-ES_tradnl"/>
        </w:rPr>
        <w:t xml:space="preserve"> </w:t>
      </w:r>
      <w:r w:rsidRPr="00EA5418">
        <w:rPr>
          <w:rFonts w:ascii="Rotis Sans Serif Std" w:hAnsi="Rotis Sans Serif Std" w:cs="RotisSansSerifStd-Regular"/>
          <w:bCs/>
          <w:color w:val="5E6061"/>
          <w:lang w:eastAsia="es-ES_tradnl"/>
        </w:rPr>
        <w:t xml:space="preserve">treballadors- i </w:t>
      </w:r>
      <w:r w:rsidR="00C02078">
        <w:rPr>
          <w:rFonts w:ascii="Rotis Sans Serif Std" w:hAnsi="Rotis Sans Serif Std" w:cs="RotisSansSerifStd-Regular"/>
          <w:bCs/>
          <w:color w:val="5E6061"/>
          <w:lang w:eastAsia="es-ES_tradnl"/>
        </w:rPr>
        <w:t>27</w:t>
      </w:r>
      <w:r w:rsidRPr="00EA5418">
        <w:rPr>
          <w:rFonts w:ascii="Rotis Sans Serif Std" w:hAnsi="Rotis Sans Serif Std" w:cs="RotisSansSerifStd-Regular"/>
          <w:bCs/>
          <w:color w:val="5E6061"/>
          <w:lang w:eastAsia="es-ES_tradnl"/>
        </w:rPr>
        <w:t xml:space="preserve"> de reducció de jornada (</w:t>
      </w:r>
      <w:r w:rsidR="00C02078">
        <w:rPr>
          <w:rFonts w:ascii="Rotis Sans Serif Std" w:hAnsi="Rotis Sans Serif Std" w:cs="RotisSansSerifStd-Regular"/>
          <w:bCs/>
          <w:color w:val="5E6061"/>
          <w:lang w:eastAsia="es-ES_tradnl"/>
        </w:rPr>
        <w:t>14,59</w:t>
      </w:r>
      <w:r w:rsidRPr="00EA5418">
        <w:rPr>
          <w:rFonts w:ascii="Rotis Sans Serif Std" w:hAnsi="Rotis Sans Serif Std" w:cs="RotisSansSerifStd-Regular"/>
          <w:bCs/>
          <w:color w:val="5E6061"/>
          <w:lang w:eastAsia="es-ES_tradnl"/>
        </w:rPr>
        <w:t xml:space="preserve">%)- afectant a </w:t>
      </w:r>
      <w:r w:rsidR="00C02078">
        <w:rPr>
          <w:rFonts w:ascii="Rotis Sans Serif Std" w:hAnsi="Rotis Sans Serif Std" w:cs="RotisSansSerifStd-Regular"/>
          <w:bCs/>
          <w:color w:val="5E6061"/>
          <w:lang w:eastAsia="es-ES_tradnl"/>
        </w:rPr>
        <w:t>157</w:t>
      </w:r>
      <w:r>
        <w:rPr>
          <w:rFonts w:ascii="Rotis Sans Serif Std" w:hAnsi="Rotis Sans Serif Std" w:cs="RotisSansSerifStd-Regular"/>
          <w:bCs/>
          <w:color w:val="5E6061"/>
          <w:lang w:eastAsia="es-ES_tradnl"/>
        </w:rPr>
        <w:t xml:space="preserve"> </w:t>
      </w:r>
      <w:r w:rsidRPr="00EA5418">
        <w:rPr>
          <w:rFonts w:ascii="Rotis Sans Serif Std" w:hAnsi="Rotis Sans Serif Std" w:cs="RotisSansSerifStd-Regular"/>
          <w:bCs/>
          <w:color w:val="5E6061"/>
          <w:lang w:eastAsia="es-ES_tradnl"/>
        </w:rPr>
        <w:t xml:space="preserve">treballadors-. </w:t>
      </w:r>
    </w:p>
    <w:p w:rsidR="00767611" w:rsidRPr="00EA5418" w:rsidRDefault="00767611" w:rsidP="00767611">
      <w:pPr>
        <w:tabs>
          <w:tab w:val="left" w:pos="6135"/>
        </w:tabs>
        <w:spacing w:line="276" w:lineRule="auto"/>
        <w:jc w:val="both"/>
        <w:rPr>
          <w:rFonts w:ascii="Rotis Sans Serif Std" w:hAnsi="Rotis Sans Serif Std" w:cs="RotisSansSerifStd-Regular"/>
          <w:bCs/>
          <w:color w:val="5E6061"/>
          <w:lang w:eastAsia="es-ES_tradnl"/>
        </w:rPr>
      </w:pPr>
    </w:p>
    <w:p w:rsidR="00767611" w:rsidRPr="00EA5418" w:rsidRDefault="006534D6" w:rsidP="00767611">
      <w:pPr>
        <w:tabs>
          <w:tab w:val="left" w:pos="6135"/>
        </w:tabs>
        <w:spacing w:line="276" w:lineRule="auto"/>
        <w:jc w:val="center"/>
        <w:rPr>
          <w:rFonts w:ascii="Rotis Sans Serif Std" w:hAnsi="Rotis Sans Serif Std" w:cs="RotisSansSerifStd-Regular"/>
          <w:bCs/>
          <w:color w:val="5E6061"/>
          <w:lang w:eastAsia="es-ES_tradnl"/>
        </w:rPr>
      </w:pPr>
      <w:r>
        <w:rPr>
          <w:noProof/>
          <w:lang w:val="es-ES" w:eastAsia="es-ES"/>
        </w:rPr>
        <w:drawing>
          <wp:inline distT="0" distB="0" distL="0" distR="0" wp14:anchorId="2464C4EC" wp14:editId="5427A02A">
            <wp:extent cx="5560488" cy="2838450"/>
            <wp:effectExtent l="0" t="0" r="21590" b="1905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67611" w:rsidRPr="00EA5418" w:rsidRDefault="00767611" w:rsidP="00767611">
      <w:pPr>
        <w:pStyle w:val="TEXTBOLD"/>
        <w:spacing w:line="276" w:lineRule="auto"/>
        <w:jc w:val="center"/>
        <w:rPr>
          <w:b w:val="0"/>
          <w:color w:val="FF0000"/>
          <w:sz w:val="20"/>
          <w:szCs w:val="20"/>
          <w:lang w:val="ca-ES"/>
        </w:rPr>
      </w:pPr>
      <w:r w:rsidRPr="00EA5418">
        <w:rPr>
          <w:b w:val="0"/>
          <w:sz w:val="20"/>
          <w:szCs w:val="20"/>
          <w:lang w:val="ca-ES"/>
        </w:rPr>
        <w:t xml:space="preserve">Font: Elaboració pròpia a partir de les dades de l’Observatori </w:t>
      </w:r>
      <w:r>
        <w:rPr>
          <w:b w:val="0"/>
          <w:sz w:val="20"/>
          <w:szCs w:val="20"/>
          <w:lang w:val="ca-ES"/>
        </w:rPr>
        <w:t>del Treball i Model Productiu.</w:t>
      </w:r>
    </w:p>
    <w:p w:rsidR="00767611" w:rsidRDefault="00767611" w:rsidP="00767611">
      <w:pPr>
        <w:pStyle w:val="TEXTBOLD"/>
        <w:spacing w:line="276" w:lineRule="auto"/>
        <w:rPr>
          <w:b w:val="0"/>
          <w:sz w:val="24"/>
          <w:szCs w:val="24"/>
          <w:u w:val="single"/>
          <w:lang w:val="ca-ES"/>
        </w:rPr>
      </w:pPr>
    </w:p>
    <w:p w:rsidR="0053548E" w:rsidRPr="00EA5418" w:rsidRDefault="007E25A4" w:rsidP="0053548E">
      <w:pPr>
        <w:tabs>
          <w:tab w:val="left" w:pos="6135"/>
        </w:tabs>
        <w:spacing w:line="276" w:lineRule="auto"/>
        <w:jc w:val="center"/>
        <w:rPr>
          <w:rFonts w:ascii="Rotis Sans Serif Std" w:hAnsi="Rotis Sans Serif Std" w:cs="RotisSansSerifStd-Regular"/>
          <w:bCs/>
          <w:color w:val="5E6061"/>
          <w:lang w:eastAsia="es-ES_tradnl"/>
        </w:rPr>
      </w:pPr>
      <w:r>
        <w:rPr>
          <w:noProof/>
          <w:lang w:val="es-ES" w:eastAsia="es-ES"/>
        </w:rPr>
        <w:drawing>
          <wp:inline distT="0" distB="0" distL="0" distR="0" wp14:anchorId="67DA1101" wp14:editId="33CB52E4">
            <wp:extent cx="4572000" cy="27432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3548E" w:rsidRPr="00EA5418" w:rsidRDefault="0053548E" w:rsidP="0053548E">
      <w:pPr>
        <w:pStyle w:val="TEXTBOLD"/>
        <w:spacing w:line="276" w:lineRule="auto"/>
        <w:jc w:val="center"/>
        <w:rPr>
          <w:b w:val="0"/>
          <w:color w:val="FF0000"/>
          <w:sz w:val="20"/>
          <w:szCs w:val="20"/>
          <w:lang w:val="ca-ES"/>
        </w:rPr>
      </w:pPr>
      <w:r w:rsidRPr="00EA5418">
        <w:rPr>
          <w:b w:val="0"/>
          <w:sz w:val="20"/>
          <w:szCs w:val="20"/>
          <w:lang w:val="ca-ES"/>
        </w:rPr>
        <w:t xml:space="preserve">Font: Elaboració pròpia a partir de les dades de l’Observatori </w:t>
      </w:r>
      <w:r>
        <w:rPr>
          <w:b w:val="0"/>
          <w:sz w:val="20"/>
          <w:szCs w:val="20"/>
          <w:lang w:val="ca-ES"/>
        </w:rPr>
        <w:t>del Treball i Model Productiu.</w:t>
      </w:r>
    </w:p>
    <w:p w:rsidR="00312EC6" w:rsidRDefault="00312EC6" w:rsidP="00767611">
      <w:pPr>
        <w:pStyle w:val="TEXTBOLD"/>
        <w:spacing w:line="276" w:lineRule="auto"/>
        <w:rPr>
          <w:b w:val="0"/>
          <w:sz w:val="24"/>
          <w:szCs w:val="24"/>
          <w:lang w:val="ca-ES"/>
        </w:rPr>
      </w:pPr>
    </w:p>
    <w:p w:rsidR="00A87820" w:rsidRDefault="00382C99" w:rsidP="00767611">
      <w:pPr>
        <w:pStyle w:val="TEXTBOLD"/>
        <w:spacing w:line="276" w:lineRule="auto"/>
        <w:rPr>
          <w:b w:val="0"/>
          <w:sz w:val="24"/>
          <w:szCs w:val="24"/>
          <w:lang w:val="ca-ES"/>
        </w:rPr>
      </w:pPr>
      <w:r w:rsidRPr="00382C99">
        <w:rPr>
          <w:b w:val="0"/>
          <w:sz w:val="24"/>
          <w:szCs w:val="24"/>
          <w:lang w:val="ca-ES"/>
        </w:rPr>
        <w:t>Si comparem e</w:t>
      </w:r>
      <w:r w:rsidR="00ED76C2">
        <w:rPr>
          <w:b w:val="0"/>
          <w:sz w:val="24"/>
          <w:szCs w:val="24"/>
          <w:lang w:val="ca-ES"/>
        </w:rPr>
        <w:t>l</w:t>
      </w:r>
      <w:r w:rsidR="007E25A4">
        <w:rPr>
          <w:b w:val="0"/>
          <w:sz w:val="24"/>
          <w:szCs w:val="24"/>
          <w:lang w:val="ca-ES"/>
        </w:rPr>
        <w:t>s vuit</w:t>
      </w:r>
      <w:r w:rsidR="00ED76C2">
        <w:rPr>
          <w:b w:val="0"/>
          <w:sz w:val="24"/>
          <w:szCs w:val="24"/>
          <w:lang w:val="ca-ES"/>
        </w:rPr>
        <w:t xml:space="preserve"> primer</w:t>
      </w:r>
      <w:r w:rsidR="007E25A4">
        <w:rPr>
          <w:b w:val="0"/>
          <w:sz w:val="24"/>
          <w:szCs w:val="24"/>
          <w:lang w:val="ca-ES"/>
        </w:rPr>
        <w:t>s</w:t>
      </w:r>
      <w:r w:rsidR="00ED76C2">
        <w:rPr>
          <w:b w:val="0"/>
          <w:sz w:val="24"/>
          <w:szCs w:val="24"/>
          <w:lang w:val="ca-ES"/>
        </w:rPr>
        <w:t xml:space="preserve"> </w:t>
      </w:r>
      <w:r w:rsidR="007E25A4">
        <w:rPr>
          <w:b w:val="0"/>
          <w:sz w:val="24"/>
          <w:szCs w:val="24"/>
          <w:lang w:val="ca-ES"/>
        </w:rPr>
        <w:t>mesos</w:t>
      </w:r>
      <w:r w:rsidR="00ED76C2">
        <w:rPr>
          <w:b w:val="0"/>
          <w:sz w:val="24"/>
          <w:szCs w:val="24"/>
          <w:lang w:val="ca-ES"/>
        </w:rPr>
        <w:t xml:space="preserve"> de l’any 2018</w:t>
      </w:r>
      <w:r w:rsidRPr="00382C99">
        <w:rPr>
          <w:b w:val="0"/>
          <w:sz w:val="24"/>
          <w:szCs w:val="24"/>
          <w:lang w:val="ca-ES"/>
        </w:rPr>
        <w:t xml:space="preserve"> i del 201</w:t>
      </w:r>
      <w:r w:rsidR="00ED76C2">
        <w:rPr>
          <w:b w:val="0"/>
          <w:sz w:val="24"/>
          <w:szCs w:val="24"/>
          <w:lang w:val="ca-ES"/>
        </w:rPr>
        <w:t>7</w:t>
      </w:r>
      <w:r w:rsidRPr="00382C99">
        <w:rPr>
          <w:b w:val="0"/>
          <w:sz w:val="24"/>
          <w:szCs w:val="24"/>
          <w:lang w:val="ca-ES"/>
        </w:rPr>
        <w:t xml:space="preserve">, podem observar que hi hagut una reducció del nombre </w:t>
      </w:r>
      <w:r w:rsidR="007E25A4">
        <w:rPr>
          <w:b w:val="0"/>
          <w:sz w:val="24"/>
          <w:szCs w:val="24"/>
          <w:lang w:val="ca-ES"/>
        </w:rPr>
        <w:t xml:space="preserve">total </w:t>
      </w:r>
      <w:r w:rsidRPr="00382C99">
        <w:rPr>
          <w:b w:val="0"/>
          <w:sz w:val="24"/>
          <w:szCs w:val="24"/>
          <w:lang w:val="ca-ES"/>
        </w:rPr>
        <w:t>d’expedients</w:t>
      </w:r>
      <w:r w:rsidR="00A87820">
        <w:rPr>
          <w:b w:val="0"/>
          <w:sz w:val="24"/>
          <w:szCs w:val="24"/>
          <w:lang w:val="ca-ES"/>
        </w:rPr>
        <w:t>, però en canvi els treballadors afectats s’han incrementat com a conseqüència de l’augment del nombre de treballadors afectats en els expedients d’extinció</w:t>
      </w:r>
      <w:r w:rsidR="007E25A4">
        <w:rPr>
          <w:b w:val="0"/>
          <w:sz w:val="24"/>
          <w:szCs w:val="24"/>
          <w:lang w:val="ca-ES"/>
        </w:rPr>
        <w:t xml:space="preserve"> i suspensió de contracte</w:t>
      </w:r>
      <w:r w:rsidR="00A87820">
        <w:rPr>
          <w:b w:val="0"/>
          <w:sz w:val="24"/>
          <w:szCs w:val="24"/>
          <w:lang w:val="ca-ES"/>
        </w:rPr>
        <w:t xml:space="preserve">. </w:t>
      </w:r>
      <w:r>
        <w:rPr>
          <w:b w:val="0"/>
          <w:sz w:val="24"/>
          <w:szCs w:val="24"/>
          <w:lang w:val="ca-ES"/>
        </w:rPr>
        <w:t xml:space="preserve">Així doncs, </w:t>
      </w:r>
      <w:r w:rsidR="00767611" w:rsidRPr="00EA5418">
        <w:rPr>
          <w:b w:val="0"/>
          <w:sz w:val="24"/>
          <w:szCs w:val="24"/>
          <w:lang w:val="ca-ES"/>
        </w:rPr>
        <w:t xml:space="preserve">el total d’expedients de regulació d’ocupació ha disminuït en un </w:t>
      </w:r>
      <w:r w:rsidR="007E25A4">
        <w:rPr>
          <w:b w:val="0"/>
          <w:sz w:val="24"/>
          <w:szCs w:val="24"/>
          <w:lang w:val="ca-ES"/>
        </w:rPr>
        <w:t>20,60</w:t>
      </w:r>
      <w:r w:rsidR="00767611" w:rsidRPr="00EA5418">
        <w:rPr>
          <w:b w:val="0"/>
          <w:sz w:val="24"/>
          <w:szCs w:val="24"/>
          <w:lang w:val="ca-ES"/>
        </w:rPr>
        <w:t>%, registrant-se un decreixement pels expedients de suspensió -</w:t>
      </w:r>
      <w:r w:rsidR="00A87820">
        <w:rPr>
          <w:b w:val="0"/>
          <w:sz w:val="24"/>
          <w:szCs w:val="24"/>
          <w:lang w:val="ca-ES"/>
        </w:rPr>
        <w:t>2</w:t>
      </w:r>
      <w:r w:rsidR="007E25A4">
        <w:rPr>
          <w:b w:val="0"/>
          <w:sz w:val="24"/>
          <w:szCs w:val="24"/>
          <w:lang w:val="ca-ES"/>
        </w:rPr>
        <w:t>1,62</w:t>
      </w:r>
      <w:r w:rsidR="00A87820">
        <w:rPr>
          <w:b w:val="0"/>
          <w:sz w:val="24"/>
          <w:szCs w:val="24"/>
          <w:lang w:val="ca-ES"/>
        </w:rPr>
        <w:t xml:space="preserve">% i en els de reducció </w:t>
      </w:r>
      <w:r>
        <w:rPr>
          <w:b w:val="0"/>
          <w:sz w:val="24"/>
          <w:szCs w:val="24"/>
          <w:lang w:val="ca-ES"/>
        </w:rPr>
        <w:t xml:space="preserve">en  </w:t>
      </w:r>
      <w:r w:rsidR="00767611" w:rsidRPr="00EA5418">
        <w:rPr>
          <w:b w:val="0"/>
          <w:sz w:val="24"/>
          <w:szCs w:val="24"/>
          <w:lang w:val="ca-ES"/>
        </w:rPr>
        <w:t xml:space="preserve">un </w:t>
      </w:r>
      <w:r w:rsidR="00767611">
        <w:rPr>
          <w:b w:val="0"/>
          <w:sz w:val="24"/>
          <w:szCs w:val="24"/>
          <w:lang w:val="ca-ES"/>
        </w:rPr>
        <w:t>–</w:t>
      </w:r>
      <w:r w:rsidR="007E25A4">
        <w:rPr>
          <w:b w:val="0"/>
          <w:sz w:val="24"/>
          <w:szCs w:val="24"/>
          <w:lang w:val="ca-ES"/>
        </w:rPr>
        <w:t>48,08</w:t>
      </w:r>
      <w:r w:rsidR="00767611" w:rsidRPr="00EA5418">
        <w:rPr>
          <w:b w:val="0"/>
          <w:sz w:val="24"/>
          <w:szCs w:val="24"/>
          <w:lang w:val="ca-ES"/>
        </w:rPr>
        <w:t>%</w:t>
      </w:r>
      <w:r w:rsidR="00565C09">
        <w:rPr>
          <w:b w:val="0"/>
          <w:sz w:val="24"/>
          <w:szCs w:val="24"/>
          <w:lang w:val="ca-ES"/>
        </w:rPr>
        <w:t>. E</w:t>
      </w:r>
      <w:r w:rsidR="00767611">
        <w:rPr>
          <w:b w:val="0"/>
          <w:sz w:val="24"/>
          <w:szCs w:val="24"/>
          <w:lang w:val="ca-ES"/>
        </w:rPr>
        <w:t>ls</w:t>
      </w:r>
      <w:r w:rsidR="00767611" w:rsidRPr="00EA5418">
        <w:rPr>
          <w:b w:val="0"/>
          <w:sz w:val="24"/>
          <w:szCs w:val="24"/>
          <w:lang w:val="ca-ES"/>
        </w:rPr>
        <w:t xml:space="preserve"> d’extinció</w:t>
      </w:r>
      <w:r w:rsidR="00A87820">
        <w:rPr>
          <w:b w:val="0"/>
          <w:sz w:val="24"/>
          <w:szCs w:val="24"/>
          <w:lang w:val="ca-ES"/>
        </w:rPr>
        <w:t xml:space="preserve"> en canvi s’han incrementat en un </w:t>
      </w:r>
      <w:r w:rsidR="007E25A4">
        <w:rPr>
          <w:b w:val="0"/>
          <w:sz w:val="24"/>
          <w:szCs w:val="24"/>
          <w:lang w:val="ca-ES"/>
        </w:rPr>
        <w:t>1,43</w:t>
      </w:r>
      <w:r w:rsidR="00A87820">
        <w:rPr>
          <w:b w:val="0"/>
          <w:sz w:val="24"/>
          <w:szCs w:val="24"/>
          <w:lang w:val="ca-ES"/>
        </w:rPr>
        <w:t>%.</w:t>
      </w:r>
      <w:r w:rsidRPr="00382C99">
        <w:rPr>
          <w:b w:val="0"/>
          <w:sz w:val="24"/>
          <w:szCs w:val="24"/>
          <w:lang w:val="ca-ES"/>
        </w:rPr>
        <w:t xml:space="preserve"> Pel que fa al nombre de treballadors afectats, en el període comparat</w:t>
      </w:r>
      <w:r>
        <w:rPr>
          <w:b w:val="0"/>
          <w:sz w:val="24"/>
          <w:szCs w:val="24"/>
          <w:lang w:val="ca-ES"/>
        </w:rPr>
        <w:t xml:space="preserve"> </w:t>
      </w:r>
      <w:r w:rsidR="00767611">
        <w:rPr>
          <w:b w:val="0"/>
          <w:sz w:val="24"/>
          <w:szCs w:val="24"/>
          <w:lang w:val="ca-ES"/>
        </w:rPr>
        <w:t xml:space="preserve">els treballadors afectats per expedients de regulació d’ocupació </w:t>
      </w:r>
      <w:r w:rsidR="00A87820">
        <w:rPr>
          <w:b w:val="0"/>
          <w:sz w:val="24"/>
          <w:szCs w:val="24"/>
          <w:lang w:val="ca-ES"/>
        </w:rPr>
        <w:t>s’</w:t>
      </w:r>
      <w:r w:rsidR="00767611">
        <w:rPr>
          <w:b w:val="0"/>
          <w:sz w:val="24"/>
          <w:szCs w:val="24"/>
          <w:lang w:val="ca-ES"/>
        </w:rPr>
        <w:t xml:space="preserve">ha </w:t>
      </w:r>
      <w:r w:rsidR="00A87820">
        <w:rPr>
          <w:b w:val="0"/>
          <w:sz w:val="24"/>
          <w:szCs w:val="24"/>
          <w:lang w:val="ca-ES"/>
        </w:rPr>
        <w:t xml:space="preserve">incrementat, tal i com s’ha exposat anteriorment, en un </w:t>
      </w:r>
      <w:r w:rsidR="007E25A4">
        <w:rPr>
          <w:b w:val="0"/>
          <w:sz w:val="24"/>
          <w:szCs w:val="24"/>
          <w:lang w:val="ca-ES"/>
        </w:rPr>
        <w:t>28,24</w:t>
      </w:r>
      <w:r w:rsidR="00A87820">
        <w:rPr>
          <w:b w:val="0"/>
          <w:sz w:val="24"/>
          <w:szCs w:val="24"/>
          <w:lang w:val="ca-ES"/>
        </w:rPr>
        <w:t>%</w:t>
      </w:r>
      <w:r w:rsidR="00767611">
        <w:rPr>
          <w:b w:val="0"/>
          <w:sz w:val="24"/>
          <w:szCs w:val="24"/>
          <w:lang w:val="ca-ES"/>
        </w:rPr>
        <w:t xml:space="preserve">. En aquest sentit, i tenint en compte el tipus d’expedient, els treballadors afectats per expedients d’extinció </w:t>
      </w:r>
      <w:r w:rsidR="00A87820">
        <w:rPr>
          <w:b w:val="0"/>
          <w:sz w:val="24"/>
          <w:szCs w:val="24"/>
          <w:lang w:val="ca-ES"/>
        </w:rPr>
        <w:t xml:space="preserve">han augmentat en un </w:t>
      </w:r>
      <w:r w:rsidR="007E25A4">
        <w:rPr>
          <w:b w:val="0"/>
          <w:sz w:val="24"/>
          <w:szCs w:val="24"/>
          <w:lang w:val="ca-ES"/>
        </w:rPr>
        <w:t>54,37</w:t>
      </w:r>
      <w:r w:rsidR="00A87820">
        <w:rPr>
          <w:b w:val="0"/>
          <w:sz w:val="24"/>
          <w:szCs w:val="24"/>
          <w:lang w:val="ca-ES"/>
        </w:rPr>
        <w:t>% r</w:t>
      </w:r>
      <w:r w:rsidR="00767611">
        <w:rPr>
          <w:b w:val="0"/>
          <w:sz w:val="24"/>
          <w:szCs w:val="24"/>
          <w:lang w:val="ca-ES"/>
        </w:rPr>
        <w:t xml:space="preserve">especte el mateix període de l’any anterior, </w:t>
      </w:r>
      <w:r w:rsidR="00A87820">
        <w:rPr>
          <w:b w:val="0"/>
          <w:sz w:val="24"/>
          <w:szCs w:val="24"/>
          <w:lang w:val="ca-ES"/>
        </w:rPr>
        <w:t>els de suspensió s’ha</w:t>
      </w:r>
      <w:r w:rsidR="007E25A4">
        <w:rPr>
          <w:b w:val="0"/>
          <w:sz w:val="24"/>
          <w:szCs w:val="24"/>
          <w:lang w:val="ca-ES"/>
        </w:rPr>
        <w:t>n incrementat</w:t>
      </w:r>
      <w:r w:rsidR="00A87820">
        <w:rPr>
          <w:b w:val="0"/>
          <w:sz w:val="24"/>
          <w:szCs w:val="24"/>
          <w:lang w:val="ca-ES"/>
        </w:rPr>
        <w:t xml:space="preserve"> en un </w:t>
      </w:r>
      <w:r w:rsidR="007E25A4">
        <w:rPr>
          <w:b w:val="0"/>
          <w:sz w:val="24"/>
          <w:szCs w:val="24"/>
          <w:lang w:val="ca-ES"/>
        </w:rPr>
        <w:t>43,04</w:t>
      </w:r>
      <w:r w:rsidR="00A87820">
        <w:rPr>
          <w:b w:val="0"/>
          <w:sz w:val="24"/>
          <w:szCs w:val="24"/>
          <w:lang w:val="ca-ES"/>
        </w:rPr>
        <w:t xml:space="preserve">% i els de reducció </w:t>
      </w:r>
      <w:r w:rsidR="007E25A4">
        <w:rPr>
          <w:b w:val="0"/>
          <w:sz w:val="24"/>
          <w:szCs w:val="24"/>
          <w:lang w:val="ca-ES"/>
        </w:rPr>
        <w:t xml:space="preserve">han disminuït </w:t>
      </w:r>
      <w:r w:rsidR="00A87820">
        <w:rPr>
          <w:b w:val="0"/>
          <w:sz w:val="24"/>
          <w:szCs w:val="24"/>
          <w:lang w:val="ca-ES"/>
        </w:rPr>
        <w:t xml:space="preserve">en un </w:t>
      </w:r>
      <w:r w:rsidR="00A756F0">
        <w:rPr>
          <w:b w:val="0"/>
          <w:sz w:val="24"/>
          <w:szCs w:val="24"/>
          <w:lang w:val="ca-ES"/>
        </w:rPr>
        <w:t>-</w:t>
      </w:r>
      <w:r w:rsidR="007E25A4">
        <w:rPr>
          <w:b w:val="0"/>
          <w:sz w:val="24"/>
          <w:szCs w:val="24"/>
          <w:lang w:val="ca-ES"/>
        </w:rPr>
        <w:t>70,43</w:t>
      </w:r>
      <w:r w:rsidR="00A87820">
        <w:rPr>
          <w:b w:val="0"/>
          <w:sz w:val="24"/>
          <w:szCs w:val="24"/>
          <w:lang w:val="ca-ES"/>
        </w:rPr>
        <w:t>%.</w:t>
      </w:r>
    </w:p>
    <w:p w:rsidR="00A87820" w:rsidRDefault="00A87820" w:rsidP="00767611">
      <w:pPr>
        <w:pStyle w:val="TEXTBOLD"/>
        <w:spacing w:line="276" w:lineRule="auto"/>
        <w:rPr>
          <w:b w:val="0"/>
          <w:sz w:val="24"/>
          <w:szCs w:val="24"/>
          <w:lang w:val="ca-ES"/>
        </w:rPr>
      </w:pPr>
    </w:p>
    <w:p w:rsidR="00767611" w:rsidRPr="00767D0B" w:rsidRDefault="00767611" w:rsidP="000C7235">
      <w:pPr>
        <w:pStyle w:val="TEXTBOLD"/>
        <w:spacing w:line="276" w:lineRule="auto"/>
        <w:jc w:val="center"/>
        <w:rPr>
          <w:bCs/>
          <w:sz w:val="28"/>
          <w:szCs w:val="32"/>
        </w:rPr>
      </w:pPr>
      <w:r w:rsidRPr="00767D0B">
        <w:rPr>
          <w:bCs/>
          <w:sz w:val="28"/>
          <w:szCs w:val="32"/>
        </w:rPr>
        <w:t xml:space="preserve">Expedients i </w:t>
      </w:r>
      <w:proofErr w:type="spellStart"/>
      <w:r w:rsidRPr="00767D0B">
        <w:rPr>
          <w:bCs/>
          <w:sz w:val="28"/>
          <w:szCs w:val="32"/>
        </w:rPr>
        <w:t>treballadors</w:t>
      </w:r>
      <w:proofErr w:type="spellEnd"/>
      <w:r w:rsidRPr="00767D0B">
        <w:rPr>
          <w:bCs/>
          <w:sz w:val="28"/>
          <w:szCs w:val="32"/>
        </w:rPr>
        <w:t xml:space="preserve"> </w:t>
      </w:r>
      <w:proofErr w:type="spellStart"/>
      <w:r w:rsidRPr="00767D0B">
        <w:rPr>
          <w:bCs/>
          <w:sz w:val="28"/>
          <w:szCs w:val="32"/>
        </w:rPr>
        <w:t>afectats</w:t>
      </w:r>
      <w:proofErr w:type="spellEnd"/>
      <w:r w:rsidRPr="00767D0B">
        <w:rPr>
          <w:bCs/>
          <w:sz w:val="28"/>
          <w:szCs w:val="32"/>
        </w:rPr>
        <w:t xml:space="preserve">. </w:t>
      </w:r>
      <w:proofErr w:type="spellStart"/>
      <w:r w:rsidR="00D977AA" w:rsidRPr="00767D0B">
        <w:rPr>
          <w:bCs/>
          <w:sz w:val="28"/>
          <w:szCs w:val="32"/>
        </w:rPr>
        <w:t>Gener-agost</w:t>
      </w:r>
      <w:proofErr w:type="spellEnd"/>
      <w:r w:rsidR="000B076C" w:rsidRPr="00767D0B">
        <w:rPr>
          <w:bCs/>
          <w:sz w:val="28"/>
          <w:szCs w:val="32"/>
        </w:rPr>
        <w:t xml:space="preserve"> 201</w:t>
      </w:r>
      <w:r w:rsidR="00FB2F3D" w:rsidRPr="00767D0B">
        <w:rPr>
          <w:bCs/>
          <w:sz w:val="28"/>
          <w:szCs w:val="32"/>
        </w:rPr>
        <w:t>8</w:t>
      </w:r>
    </w:p>
    <w:tbl>
      <w:tblPr>
        <w:tblW w:w="0" w:type="auto"/>
        <w:jc w:val="center"/>
        <w:tblCellMar>
          <w:left w:w="0" w:type="dxa"/>
          <w:right w:w="0" w:type="dxa"/>
        </w:tblCellMar>
        <w:tblLook w:val="00A0" w:firstRow="1" w:lastRow="0" w:firstColumn="1" w:lastColumn="0" w:noHBand="0" w:noVBand="0"/>
      </w:tblPr>
      <w:tblGrid>
        <w:gridCol w:w="1479"/>
        <w:gridCol w:w="762"/>
        <w:gridCol w:w="762"/>
        <w:gridCol w:w="1865"/>
        <w:gridCol w:w="805"/>
        <w:gridCol w:w="805"/>
        <w:gridCol w:w="1916"/>
      </w:tblGrid>
      <w:tr w:rsidR="00767611" w:rsidRPr="00EA5418" w:rsidTr="00767611">
        <w:trPr>
          <w:jc w:val="center"/>
        </w:trPr>
        <w:tc>
          <w:tcPr>
            <w:tcW w:w="0" w:type="auto"/>
            <w:tcBorders>
              <w:top w:val="single" w:sz="36" w:space="0" w:color="FFFFFF"/>
              <w:left w:val="nil"/>
              <w:bottom w:val="nil"/>
              <w:right w:val="single" w:sz="8" w:space="0" w:color="FFFFFF"/>
            </w:tcBorders>
            <w:tcMar>
              <w:top w:w="0" w:type="dxa"/>
              <w:left w:w="108" w:type="dxa"/>
              <w:bottom w:w="0" w:type="dxa"/>
              <w:right w:w="108" w:type="dxa"/>
            </w:tcMar>
          </w:tcPr>
          <w:p w:rsidR="00767611" w:rsidRPr="00EA5418" w:rsidRDefault="00767611" w:rsidP="00767611">
            <w:pPr>
              <w:spacing w:line="276" w:lineRule="auto"/>
              <w:jc w:val="both"/>
              <w:rPr>
                <w:rFonts w:ascii="Rotis Sans Serif Std" w:hAnsi="Rotis Sans Serif Std"/>
                <w:color w:val="5E6061"/>
                <w:sz w:val="36"/>
                <w:szCs w:val="36"/>
                <w:lang w:eastAsia="es-ES_tradnl"/>
              </w:rPr>
            </w:pPr>
          </w:p>
        </w:tc>
        <w:tc>
          <w:tcPr>
            <w:tcW w:w="0" w:type="auto"/>
            <w:gridSpan w:val="2"/>
            <w:tcBorders>
              <w:top w:val="single" w:sz="36" w:space="0" w:color="FFFFFF"/>
              <w:left w:val="nil"/>
              <w:bottom w:val="nil"/>
              <w:right w:val="single" w:sz="8" w:space="0" w:color="FFFFFF"/>
            </w:tcBorders>
            <w:shd w:val="clear" w:color="auto" w:fill="C1002B"/>
            <w:tcMar>
              <w:top w:w="0" w:type="dxa"/>
              <w:left w:w="108" w:type="dxa"/>
              <w:bottom w:w="0" w:type="dxa"/>
              <w:right w:w="108" w:type="dxa"/>
            </w:tcMar>
            <w:vAlign w:val="center"/>
          </w:tcPr>
          <w:p w:rsidR="00767611" w:rsidRPr="00EA5418" w:rsidRDefault="00767611" w:rsidP="00767611">
            <w:pPr>
              <w:spacing w:line="276" w:lineRule="auto"/>
              <w:jc w:val="center"/>
              <w:rPr>
                <w:rFonts w:ascii="Rotis Sans Serif Std" w:hAnsi="Rotis Sans Serif Std"/>
                <w:color w:val="5E6061"/>
                <w:sz w:val="20"/>
                <w:szCs w:val="20"/>
                <w:lang w:eastAsia="es-ES_tradnl"/>
              </w:rPr>
            </w:pPr>
            <w:r w:rsidRPr="00EA5418">
              <w:rPr>
                <w:rFonts w:ascii="Rotis Sans Serif Std" w:hAnsi="Rotis Sans Serif Std"/>
                <w:color w:val="FFFFFF"/>
                <w:sz w:val="20"/>
                <w:szCs w:val="20"/>
                <w:lang w:eastAsia="es-ES"/>
              </w:rPr>
              <w:t>Núm. Expedients</w:t>
            </w:r>
          </w:p>
        </w:tc>
        <w:tc>
          <w:tcPr>
            <w:tcW w:w="0" w:type="auto"/>
            <w:tcBorders>
              <w:top w:val="single" w:sz="36" w:space="0" w:color="FFFFFF"/>
              <w:left w:val="nil"/>
              <w:bottom w:val="nil"/>
              <w:right w:val="single" w:sz="8" w:space="0" w:color="FFFFFF"/>
            </w:tcBorders>
            <w:shd w:val="clear" w:color="auto" w:fill="C1002B"/>
            <w:tcMar>
              <w:top w:w="0" w:type="dxa"/>
              <w:left w:w="108" w:type="dxa"/>
              <w:bottom w:w="0" w:type="dxa"/>
              <w:right w:w="108" w:type="dxa"/>
            </w:tcMar>
            <w:vAlign w:val="center"/>
          </w:tcPr>
          <w:p w:rsidR="00767611" w:rsidRPr="00EA5418" w:rsidRDefault="00767611" w:rsidP="00767611">
            <w:pPr>
              <w:spacing w:line="276" w:lineRule="auto"/>
              <w:jc w:val="center"/>
              <w:rPr>
                <w:rFonts w:ascii="Rotis Sans Serif Std" w:hAnsi="Rotis Sans Serif Std"/>
                <w:color w:val="FFFFFF"/>
                <w:sz w:val="20"/>
                <w:szCs w:val="20"/>
              </w:rPr>
            </w:pPr>
            <w:r w:rsidRPr="00EA5418">
              <w:rPr>
                <w:rFonts w:ascii="Rotis Sans Serif Std" w:hAnsi="Rotis Sans Serif Std"/>
                <w:color w:val="FFFFFF"/>
                <w:sz w:val="20"/>
                <w:szCs w:val="20"/>
                <w:lang w:eastAsia="es-ES"/>
              </w:rPr>
              <w:t>%Variació Interanual</w:t>
            </w:r>
          </w:p>
        </w:tc>
        <w:tc>
          <w:tcPr>
            <w:tcW w:w="0" w:type="auto"/>
            <w:gridSpan w:val="2"/>
            <w:tcBorders>
              <w:top w:val="single" w:sz="36" w:space="0" w:color="FFFFFF"/>
              <w:left w:val="nil"/>
              <w:bottom w:val="nil"/>
              <w:right w:val="single" w:sz="8" w:space="0" w:color="FFFFFF"/>
            </w:tcBorders>
            <w:shd w:val="clear" w:color="auto" w:fill="C1002B"/>
            <w:tcMar>
              <w:top w:w="0" w:type="dxa"/>
              <w:left w:w="108" w:type="dxa"/>
              <w:bottom w:w="0" w:type="dxa"/>
              <w:right w:w="108" w:type="dxa"/>
            </w:tcMar>
            <w:vAlign w:val="center"/>
          </w:tcPr>
          <w:p w:rsidR="00767611" w:rsidRPr="00EA5418" w:rsidRDefault="00767611" w:rsidP="00767611">
            <w:pPr>
              <w:spacing w:line="276" w:lineRule="auto"/>
              <w:jc w:val="center"/>
              <w:rPr>
                <w:rFonts w:ascii="Rotis Sans Serif Std" w:hAnsi="Rotis Sans Serif Std"/>
                <w:color w:val="FFFFFF"/>
                <w:sz w:val="20"/>
                <w:szCs w:val="20"/>
              </w:rPr>
            </w:pPr>
            <w:r w:rsidRPr="00EA5418">
              <w:rPr>
                <w:rFonts w:ascii="Rotis Sans Serif Std" w:hAnsi="Rotis Sans Serif Std"/>
                <w:color w:val="FFFFFF"/>
                <w:sz w:val="20"/>
                <w:szCs w:val="20"/>
                <w:lang w:eastAsia="es-ES"/>
              </w:rPr>
              <w:t>Núm. treballadors</w:t>
            </w:r>
          </w:p>
        </w:tc>
        <w:tc>
          <w:tcPr>
            <w:tcW w:w="0" w:type="auto"/>
            <w:tcBorders>
              <w:top w:val="single" w:sz="36" w:space="0" w:color="FFFFFF"/>
              <w:left w:val="nil"/>
              <w:bottom w:val="nil"/>
              <w:right w:val="nil"/>
            </w:tcBorders>
            <w:shd w:val="clear" w:color="auto" w:fill="C1002B"/>
            <w:tcMar>
              <w:top w:w="0" w:type="dxa"/>
              <w:left w:w="108" w:type="dxa"/>
              <w:bottom w:w="0" w:type="dxa"/>
              <w:right w:w="108" w:type="dxa"/>
            </w:tcMar>
            <w:vAlign w:val="center"/>
          </w:tcPr>
          <w:p w:rsidR="00767611" w:rsidRPr="00EA5418" w:rsidRDefault="00767611" w:rsidP="00767611">
            <w:pPr>
              <w:spacing w:line="276" w:lineRule="auto"/>
              <w:jc w:val="center"/>
              <w:rPr>
                <w:rFonts w:ascii="Rotis Sans Serif Std" w:hAnsi="Rotis Sans Serif Std"/>
                <w:color w:val="FFFFFF"/>
                <w:sz w:val="20"/>
                <w:szCs w:val="20"/>
              </w:rPr>
            </w:pPr>
            <w:r w:rsidRPr="00EA5418">
              <w:rPr>
                <w:rFonts w:ascii="Rotis Sans Serif Std" w:hAnsi="Rotis Sans Serif Std"/>
                <w:color w:val="FFFFFF"/>
                <w:sz w:val="20"/>
                <w:szCs w:val="20"/>
                <w:lang w:eastAsia="es-ES"/>
              </w:rPr>
              <w:t>% Variació Interanual</w:t>
            </w:r>
          </w:p>
        </w:tc>
      </w:tr>
      <w:tr w:rsidR="00767611" w:rsidRPr="00EA5418" w:rsidTr="00767611">
        <w:trPr>
          <w:jc w:val="center"/>
        </w:trPr>
        <w:tc>
          <w:tcPr>
            <w:tcW w:w="0" w:type="auto"/>
            <w:tcBorders>
              <w:top w:val="nil"/>
              <w:left w:val="nil"/>
              <w:bottom w:val="single" w:sz="24" w:space="0" w:color="FFFFFF"/>
              <w:right w:val="nil"/>
            </w:tcBorders>
            <w:tcMar>
              <w:top w:w="0" w:type="dxa"/>
              <w:left w:w="108" w:type="dxa"/>
              <w:bottom w:w="0" w:type="dxa"/>
              <w:right w:w="108" w:type="dxa"/>
            </w:tcMar>
          </w:tcPr>
          <w:p w:rsidR="00767611" w:rsidRPr="00EA5418" w:rsidRDefault="00767611" w:rsidP="00767611">
            <w:pPr>
              <w:spacing w:line="276" w:lineRule="auto"/>
              <w:jc w:val="both"/>
              <w:rPr>
                <w:rFonts w:ascii="Rotis Sans Serif Std" w:hAnsi="Rotis Sans Serif Std"/>
                <w:color w:val="5E6061"/>
                <w:sz w:val="36"/>
                <w:szCs w:val="36"/>
                <w:lang w:eastAsia="es-ES_tradnl"/>
              </w:rPr>
            </w:pPr>
          </w:p>
        </w:tc>
        <w:tc>
          <w:tcPr>
            <w:tcW w:w="0" w:type="auto"/>
            <w:tcBorders>
              <w:top w:val="nil"/>
              <w:left w:val="nil"/>
              <w:bottom w:val="single" w:sz="24" w:space="0" w:color="FFFFFF"/>
              <w:right w:val="single" w:sz="8" w:space="0" w:color="FFFFFF"/>
            </w:tcBorders>
            <w:shd w:val="clear" w:color="auto" w:fill="C1002B"/>
            <w:tcMar>
              <w:top w:w="0" w:type="dxa"/>
              <w:left w:w="108" w:type="dxa"/>
              <w:bottom w:w="0" w:type="dxa"/>
              <w:right w:w="108" w:type="dxa"/>
            </w:tcMar>
          </w:tcPr>
          <w:p w:rsidR="00767611" w:rsidRPr="00EA5418" w:rsidRDefault="00767611" w:rsidP="000B076C">
            <w:pPr>
              <w:spacing w:line="276" w:lineRule="auto"/>
              <w:jc w:val="center"/>
              <w:rPr>
                <w:rFonts w:ascii="Rotis Sans Serif Std" w:hAnsi="Rotis Sans Serif Std"/>
                <w:color w:val="FFFFFF"/>
                <w:sz w:val="20"/>
                <w:szCs w:val="20"/>
              </w:rPr>
            </w:pPr>
            <w:r>
              <w:rPr>
                <w:rFonts w:ascii="Rotis Sans Serif Std" w:hAnsi="Rotis Sans Serif Std"/>
                <w:color w:val="FFFFFF"/>
                <w:sz w:val="20"/>
                <w:szCs w:val="20"/>
                <w:lang w:eastAsia="es-ES"/>
              </w:rPr>
              <w:t>201</w:t>
            </w:r>
            <w:r w:rsidR="00FB2F3D">
              <w:rPr>
                <w:rFonts w:ascii="Rotis Sans Serif Std" w:hAnsi="Rotis Sans Serif Std"/>
                <w:color w:val="FFFFFF"/>
                <w:sz w:val="20"/>
                <w:szCs w:val="20"/>
                <w:lang w:eastAsia="es-ES"/>
              </w:rPr>
              <w:t>8</w:t>
            </w:r>
          </w:p>
        </w:tc>
        <w:tc>
          <w:tcPr>
            <w:tcW w:w="0" w:type="auto"/>
            <w:tcBorders>
              <w:top w:val="nil"/>
              <w:left w:val="nil"/>
              <w:bottom w:val="single" w:sz="24" w:space="0" w:color="FFFFFF"/>
              <w:right w:val="single" w:sz="8" w:space="0" w:color="FFFFFF"/>
            </w:tcBorders>
            <w:shd w:val="clear" w:color="auto" w:fill="C1002B"/>
            <w:tcMar>
              <w:top w:w="0" w:type="dxa"/>
              <w:left w:w="108" w:type="dxa"/>
              <w:bottom w:w="0" w:type="dxa"/>
              <w:right w:w="108" w:type="dxa"/>
            </w:tcMar>
          </w:tcPr>
          <w:p w:rsidR="00767611" w:rsidRPr="00EA5418" w:rsidRDefault="00767611" w:rsidP="00FB2F3D">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201</w:t>
            </w:r>
            <w:r w:rsidR="00FB2F3D">
              <w:rPr>
                <w:rFonts w:ascii="Rotis Sans Serif Std" w:hAnsi="Rotis Sans Serif Std"/>
                <w:color w:val="FFFFFF"/>
                <w:sz w:val="20"/>
                <w:szCs w:val="20"/>
                <w:lang w:eastAsia="es-ES"/>
              </w:rPr>
              <w:t>7</w:t>
            </w:r>
          </w:p>
        </w:tc>
        <w:tc>
          <w:tcPr>
            <w:tcW w:w="0" w:type="auto"/>
            <w:tcBorders>
              <w:top w:val="nil"/>
              <w:left w:val="nil"/>
              <w:bottom w:val="single" w:sz="24" w:space="0" w:color="FFFFFF"/>
              <w:right w:val="single" w:sz="8" w:space="0" w:color="FFFFFF"/>
            </w:tcBorders>
            <w:shd w:val="clear" w:color="auto" w:fill="C1002B"/>
            <w:tcMar>
              <w:top w:w="0" w:type="dxa"/>
              <w:left w:w="108" w:type="dxa"/>
              <w:bottom w:w="0" w:type="dxa"/>
              <w:right w:w="108" w:type="dxa"/>
            </w:tcMar>
          </w:tcPr>
          <w:p w:rsidR="00767611" w:rsidRPr="00EA5418" w:rsidRDefault="00767611" w:rsidP="00767611">
            <w:pPr>
              <w:spacing w:line="276" w:lineRule="auto"/>
              <w:jc w:val="center"/>
              <w:rPr>
                <w:rFonts w:ascii="Rotis Sans Serif Std" w:hAnsi="Rotis Sans Serif Std"/>
                <w:color w:val="FFFFFF"/>
                <w:sz w:val="20"/>
                <w:szCs w:val="20"/>
                <w:lang w:eastAsia="es-ES"/>
              </w:rPr>
            </w:pPr>
          </w:p>
        </w:tc>
        <w:tc>
          <w:tcPr>
            <w:tcW w:w="0" w:type="auto"/>
            <w:tcBorders>
              <w:top w:val="nil"/>
              <w:left w:val="nil"/>
              <w:bottom w:val="single" w:sz="24" w:space="0" w:color="FFFFFF"/>
              <w:right w:val="single" w:sz="8" w:space="0" w:color="FFFFFF"/>
            </w:tcBorders>
            <w:shd w:val="clear" w:color="auto" w:fill="C1002B"/>
            <w:tcMar>
              <w:top w:w="0" w:type="dxa"/>
              <w:left w:w="108" w:type="dxa"/>
              <w:bottom w:w="0" w:type="dxa"/>
              <w:right w:w="108" w:type="dxa"/>
            </w:tcMar>
          </w:tcPr>
          <w:p w:rsidR="00767611" w:rsidRPr="00EA5418" w:rsidRDefault="00767611" w:rsidP="00FB2F3D">
            <w:pPr>
              <w:spacing w:line="276" w:lineRule="auto"/>
              <w:jc w:val="center"/>
              <w:rPr>
                <w:rFonts w:ascii="Rotis Sans Serif Std" w:hAnsi="Rotis Sans Serif Std"/>
                <w:color w:val="FFFFFF"/>
                <w:sz w:val="20"/>
                <w:szCs w:val="20"/>
                <w:lang w:eastAsia="es-ES"/>
              </w:rPr>
            </w:pPr>
            <w:r>
              <w:rPr>
                <w:rFonts w:ascii="Rotis Sans Serif Std" w:hAnsi="Rotis Sans Serif Std"/>
                <w:color w:val="FFFFFF"/>
                <w:sz w:val="20"/>
                <w:szCs w:val="20"/>
                <w:lang w:eastAsia="es-ES"/>
              </w:rPr>
              <w:t>201</w:t>
            </w:r>
            <w:r w:rsidR="00FB2F3D">
              <w:rPr>
                <w:rFonts w:ascii="Rotis Sans Serif Std" w:hAnsi="Rotis Sans Serif Std"/>
                <w:color w:val="FFFFFF"/>
                <w:sz w:val="20"/>
                <w:szCs w:val="20"/>
                <w:lang w:eastAsia="es-ES"/>
              </w:rPr>
              <w:t>8</w:t>
            </w:r>
          </w:p>
        </w:tc>
        <w:tc>
          <w:tcPr>
            <w:tcW w:w="0" w:type="auto"/>
            <w:tcBorders>
              <w:top w:val="nil"/>
              <w:left w:val="nil"/>
              <w:bottom w:val="single" w:sz="24" w:space="0" w:color="FFFFFF"/>
              <w:right w:val="single" w:sz="8" w:space="0" w:color="FFFFFF"/>
            </w:tcBorders>
            <w:shd w:val="clear" w:color="auto" w:fill="C1002B"/>
            <w:tcMar>
              <w:top w:w="0" w:type="dxa"/>
              <w:left w:w="108" w:type="dxa"/>
              <w:bottom w:w="0" w:type="dxa"/>
              <w:right w:w="108" w:type="dxa"/>
            </w:tcMar>
          </w:tcPr>
          <w:p w:rsidR="00767611" w:rsidRPr="00EA5418" w:rsidRDefault="00767611" w:rsidP="00FB2F3D">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201</w:t>
            </w:r>
            <w:r w:rsidR="00FB2F3D">
              <w:rPr>
                <w:rFonts w:ascii="Rotis Sans Serif Std" w:hAnsi="Rotis Sans Serif Std"/>
                <w:color w:val="FFFFFF"/>
                <w:sz w:val="20"/>
                <w:szCs w:val="20"/>
                <w:lang w:eastAsia="es-ES"/>
              </w:rPr>
              <w:t>7</w:t>
            </w:r>
          </w:p>
        </w:tc>
        <w:tc>
          <w:tcPr>
            <w:tcW w:w="0" w:type="auto"/>
            <w:tcBorders>
              <w:top w:val="nil"/>
              <w:left w:val="nil"/>
              <w:bottom w:val="single" w:sz="24" w:space="0" w:color="FFFFFF"/>
              <w:right w:val="nil"/>
            </w:tcBorders>
            <w:shd w:val="clear" w:color="auto" w:fill="C1002B"/>
            <w:tcMar>
              <w:top w:w="0" w:type="dxa"/>
              <w:left w:w="108" w:type="dxa"/>
              <w:bottom w:w="0" w:type="dxa"/>
              <w:right w:w="108" w:type="dxa"/>
            </w:tcMar>
          </w:tcPr>
          <w:p w:rsidR="00767611" w:rsidRPr="00EA5418" w:rsidRDefault="00767611" w:rsidP="00767611">
            <w:pPr>
              <w:spacing w:line="276" w:lineRule="auto"/>
              <w:jc w:val="center"/>
              <w:rPr>
                <w:rFonts w:ascii="Rotis Sans Serif Std" w:hAnsi="Rotis Sans Serif Std"/>
                <w:color w:val="FFFFFF"/>
                <w:sz w:val="20"/>
                <w:szCs w:val="20"/>
                <w:lang w:eastAsia="es-ES"/>
              </w:rPr>
            </w:pPr>
          </w:p>
        </w:tc>
      </w:tr>
      <w:tr w:rsidR="00767611" w:rsidRPr="00EA5418" w:rsidTr="00767611">
        <w:trPr>
          <w:jc w:val="center"/>
        </w:trPr>
        <w:tc>
          <w:tcPr>
            <w:tcW w:w="0" w:type="auto"/>
            <w:tcBorders>
              <w:top w:val="nil"/>
              <w:left w:val="single" w:sz="24" w:space="0" w:color="FFFFFF"/>
              <w:bottom w:val="single" w:sz="24" w:space="0" w:color="FFFFFF"/>
              <w:right w:val="single" w:sz="24" w:space="0" w:color="FFFFFF"/>
            </w:tcBorders>
            <w:shd w:val="clear" w:color="auto" w:fill="C1002B"/>
            <w:tcMar>
              <w:top w:w="0" w:type="dxa"/>
              <w:left w:w="108" w:type="dxa"/>
              <w:bottom w:w="0" w:type="dxa"/>
              <w:right w:w="108" w:type="dxa"/>
            </w:tcMar>
            <w:vAlign w:val="center"/>
          </w:tcPr>
          <w:p w:rsidR="00767611" w:rsidRPr="00EA5418" w:rsidRDefault="00767611" w:rsidP="00767611">
            <w:pPr>
              <w:spacing w:line="276" w:lineRule="auto"/>
              <w:jc w:val="center"/>
              <w:rPr>
                <w:rFonts w:ascii="Rotis Sans Serif Std" w:hAnsi="Rotis Sans Serif Std"/>
                <w:color w:val="FFFFFF"/>
                <w:sz w:val="20"/>
                <w:szCs w:val="20"/>
              </w:rPr>
            </w:pPr>
            <w:r w:rsidRPr="00EA5418">
              <w:rPr>
                <w:rFonts w:ascii="Rotis Sans Serif Std" w:hAnsi="Rotis Sans Serif Std"/>
                <w:color w:val="FFFFFF"/>
                <w:sz w:val="20"/>
                <w:szCs w:val="20"/>
                <w:lang w:eastAsia="es-ES"/>
              </w:rPr>
              <w:t>ERO EXTINCIÓ</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FB2F3D">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71</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70</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tcPr>
          <w:p w:rsidR="00767611" w:rsidRPr="00EA5418" w:rsidRDefault="00D977AA" w:rsidP="00767611">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1,43</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1.715</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1.111</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54,37</w:t>
            </w:r>
          </w:p>
        </w:tc>
      </w:tr>
      <w:tr w:rsidR="00767611" w:rsidRPr="00EA5418" w:rsidTr="00767611">
        <w:trPr>
          <w:jc w:val="center"/>
        </w:trPr>
        <w:tc>
          <w:tcPr>
            <w:tcW w:w="0" w:type="auto"/>
            <w:tcBorders>
              <w:top w:val="nil"/>
              <w:left w:val="single" w:sz="24" w:space="0" w:color="FFFFFF"/>
              <w:bottom w:val="single" w:sz="24" w:space="0" w:color="FFFFFF"/>
              <w:right w:val="single" w:sz="24" w:space="0" w:color="FFFFFF"/>
            </w:tcBorders>
            <w:shd w:val="clear" w:color="auto" w:fill="C1002B"/>
            <w:tcMar>
              <w:top w:w="0" w:type="dxa"/>
              <w:left w:w="108" w:type="dxa"/>
              <w:bottom w:w="0" w:type="dxa"/>
              <w:right w:w="108" w:type="dxa"/>
            </w:tcMar>
            <w:vAlign w:val="center"/>
          </w:tcPr>
          <w:p w:rsidR="00767611" w:rsidRPr="00EA5418" w:rsidRDefault="00767611" w:rsidP="00767611">
            <w:pPr>
              <w:spacing w:line="276" w:lineRule="auto"/>
              <w:jc w:val="center"/>
              <w:rPr>
                <w:rFonts w:ascii="Rotis Sans Serif Std" w:hAnsi="Rotis Sans Serif Std"/>
                <w:color w:val="FFFFFF"/>
                <w:sz w:val="20"/>
                <w:szCs w:val="20"/>
              </w:rPr>
            </w:pPr>
            <w:r w:rsidRPr="00EA5418">
              <w:rPr>
                <w:rFonts w:ascii="Rotis Sans Serif Std" w:hAnsi="Rotis Sans Serif Std"/>
                <w:color w:val="FFFFFF"/>
                <w:sz w:val="20"/>
                <w:szCs w:val="20"/>
                <w:lang w:eastAsia="es-ES"/>
              </w:rPr>
              <w:t>ERO SUSPENSIÓ</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FB2F3D">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87</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111</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tcPr>
          <w:p w:rsidR="00767611" w:rsidRPr="00EA5418" w:rsidRDefault="00FB2F3D" w:rsidP="00D977AA">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w:t>
            </w:r>
            <w:r w:rsidR="00D977AA">
              <w:rPr>
                <w:rFonts w:ascii="Rotis Sans Serif Std" w:hAnsi="Rotis Sans Serif Std"/>
                <w:sz w:val="20"/>
                <w:szCs w:val="20"/>
                <w:lang w:eastAsia="es-ES_tradnl"/>
              </w:rPr>
              <w:t>21,62</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2.260</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1.580</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43,04</w:t>
            </w:r>
          </w:p>
        </w:tc>
      </w:tr>
      <w:tr w:rsidR="00767611" w:rsidRPr="00EA5418" w:rsidTr="00767611">
        <w:trPr>
          <w:jc w:val="center"/>
        </w:trPr>
        <w:tc>
          <w:tcPr>
            <w:tcW w:w="0" w:type="auto"/>
            <w:tcBorders>
              <w:top w:val="nil"/>
              <w:left w:val="single" w:sz="24" w:space="0" w:color="FFFFFF"/>
              <w:bottom w:val="single" w:sz="24" w:space="0" w:color="FFFFFF"/>
              <w:right w:val="single" w:sz="24" w:space="0" w:color="FFFFFF"/>
            </w:tcBorders>
            <w:shd w:val="clear" w:color="auto" w:fill="C1002B"/>
            <w:tcMar>
              <w:top w:w="0" w:type="dxa"/>
              <w:left w:w="108" w:type="dxa"/>
              <w:bottom w:w="0" w:type="dxa"/>
              <w:right w:w="108" w:type="dxa"/>
            </w:tcMar>
            <w:vAlign w:val="center"/>
          </w:tcPr>
          <w:p w:rsidR="00767611" w:rsidRPr="00EA5418" w:rsidRDefault="00767611" w:rsidP="00767611">
            <w:pPr>
              <w:spacing w:line="276" w:lineRule="auto"/>
              <w:jc w:val="center"/>
              <w:rPr>
                <w:rFonts w:ascii="Rotis Sans Serif Std" w:hAnsi="Rotis Sans Serif Std"/>
                <w:color w:val="FFFFFF"/>
                <w:sz w:val="20"/>
                <w:szCs w:val="20"/>
              </w:rPr>
            </w:pPr>
            <w:r w:rsidRPr="00EA5418">
              <w:rPr>
                <w:rFonts w:ascii="Rotis Sans Serif Std" w:hAnsi="Rotis Sans Serif Std"/>
                <w:color w:val="FFFFFF"/>
                <w:sz w:val="20"/>
                <w:szCs w:val="20"/>
                <w:lang w:eastAsia="es-ES"/>
              </w:rPr>
              <w:t>ERO REDUCCIÓ</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FB2F3D">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27</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52</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tcPr>
          <w:p w:rsidR="00767611" w:rsidRPr="00EA5418" w:rsidRDefault="00FB2F3D" w:rsidP="00D977AA">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w:t>
            </w:r>
            <w:r w:rsidR="00D977AA">
              <w:rPr>
                <w:rFonts w:ascii="Rotis Sans Serif Std" w:hAnsi="Rotis Sans Serif Std"/>
                <w:sz w:val="20"/>
                <w:szCs w:val="20"/>
                <w:lang w:eastAsia="es-ES_tradnl"/>
              </w:rPr>
              <w:t>48,08</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157</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531</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FB2F3D" w:rsidP="00D977AA">
            <w:pPr>
              <w:spacing w:line="276" w:lineRule="auto"/>
              <w:jc w:val="center"/>
              <w:rPr>
                <w:rFonts w:ascii="Rotis Sans Serif Std" w:hAnsi="Rotis Sans Serif Std"/>
                <w:sz w:val="20"/>
                <w:szCs w:val="20"/>
                <w:lang w:eastAsia="es-ES_tradnl"/>
              </w:rPr>
            </w:pPr>
            <w:r>
              <w:rPr>
                <w:rFonts w:ascii="Rotis Sans Serif Std" w:hAnsi="Rotis Sans Serif Std"/>
                <w:sz w:val="20"/>
                <w:szCs w:val="20"/>
                <w:lang w:eastAsia="es-ES_tradnl"/>
              </w:rPr>
              <w:t>-</w:t>
            </w:r>
            <w:r w:rsidR="00D977AA">
              <w:rPr>
                <w:rFonts w:ascii="Rotis Sans Serif Std" w:hAnsi="Rotis Sans Serif Std"/>
                <w:sz w:val="20"/>
                <w:szCs w:val="20"/>
                <w:lang w:eastAsia="es-ES_tradnl"/>
              </w:rPr>
              <w:t>70,43</w:t>
            </w:r>
          </w:p>
        </w:tc>
      </w:tr>
      <w:tr w:rsidR="00767611" w:rsidRPr="00EA5418" w:rsidTr="00767611">
        <w:trPr>
          <w:jc w:val="center"/>
        </w:trPr>
        <w:tc>
          <w:tcPr>
            <w:tcW w:w="0" w:type="auto"/>
            <w:tcBorders>
              <w:top w:val="nil"/>
              <w:left w:val="single" w:sz="24" w:space="0" w:color="FFFFFF"/>
              <w:bottom w:val="single" w:sz="24" w:space="0" w:color="FFFFFF"/>
              <w:right w:val="single" w:sz="24" w:space="0" w:color="FFFFFF"/>
            </w:tcBorders>
            <w:shd w:val="clear" w:color="auto" w:fill="C1002B"/>
            <w:tcMar>
              <w:top w:w="0" w:type="dxa"/>
              <w:left w:w="108" w:type="dxa"/>
              <w:bottom w:w="0" w:type="dxa"/>
              <w:right w:w="108" w:type="dxa"/>
            </w:tcMar>
            <w:vAlign w:val="center"/>
          </w:tcPr>
          <w:p w:rsidR="00767611" w:rsidRPr="00EA5418" w:rsidRDefault="00767611" w:rsidP="00767611">
            <w:pPr>
              <w:spacing w:line="276" w:lineRule="auto"/>
              <w:jc w:val="center"/>
              <w:rPr>
                <w:rFonts w:ascii="Rotis Sans Serif Std" w:hAnsi="Rotis Sans Serif Std"/>
                <w:b/>
                <w:color w:val="FFFFFF"/>
                <w:sz w:val="20"/>
                <w:szCs w:val="20"/>
              </w:rPr>
            </w:pPr>
            <w:r w:rsidRPr="00EA5418">
              <w:rPr>
                <w:rFonts w:ascii="Rotis Sans Serif Std" w:hAnsi="Rotis Sans Serif Std"/>
                <w:b/>
                <w:color w:val="FFFFFF"/>
                <w:sz w:val="20"/>
                <w:szCs w:val="20"/>
                <w:lang w:eastAsia="es-ES"/>
              </w:rPr>
              <w:t>ERO TOTAL</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FB2F3D">
            <w:pPr>
              <w:spacing w:line="276" w:lineRule="auto"/>
              <w:jc w:val="center"/>
              <w:rPr>
                <w:rFonts w:ascii="Rotis Sans Serif Std" w:hAnsi="Rotis Sans Serif Std"/>
                <w:b/>
                <w:sz w:val="20"/>
                <w:szCs w:val="20"/>
                <w:lang w:eastAsia="es-ES_tradnl"/>
              </w:rPr>
            </w:pPr>
            <w:r>
              <w:rPr>
                <w:rFonts w:ascii="Rotis Sans Serif Std" w:hAnsi="Rotis Sans Serif Std"/>
                <w:b/>
                <w:sz w:val="20"/>
                <w:szCs w:val="20"/>
                <w:lang w:eastAsia="es-ES_tradnl"/>
              </w:rPr>
              <w:t>185</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b/>
                <w:sz w:val="20"/>
                <w:szCs w:val="20"/>
                <w:lang w:eastAsia="es-ES_tradnl"/>
              </w:rPr>
            </w:pPr>
            <w:r>
              <w:rPr>
                <w:rFonts w:ascii="Rotis Sans Serif Std" w:hAnsi="Rotis Sans Serif Std"/>
                <w:b/>
                <w:sz w:val="20"/>
                <w:szCs w:val="20"/>
                <w:lang w:eastAsia="es-ES_tradnl"/>
              </w:rPr>
              <w:t>233</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tcPr>
          <w:p w:rsidR="00767611" w:rsidRPr="00EA5418" w:rsidRDefault="00FB2F3D" w:rsidP="00D977AA">
            <w:pPr>
              <w:spacing w:line="276" w:lineRule="auto"/>
              <w:jc w:val="center"/>
              <w:rPr>
                <w:rFonts w:ascii="Rotis Sans Serif Std" w:hAnsi="Rotis Sans Serif Std"/>
                <w:b/>
                <w:sz w:val="20"/>
                <w:szCs w:val="20"/>
                <w:lang w:eastAsia="es-ES_tradnl"/>
              </w:rPr>
            </w:pPr>
            <w:r>
              <w:rPr>
                <w:rFonts w:ascii="Rotis Sans Serif Std" w:hAnsi="Rotis Sans Serif Std"/>
                <w:b/>
                <w:sz w:val="20"/>
                <w:szCs w:val="20"/>
                <w:lang w:eastAsia="es-ES_tradnl"/>
              </w:rPr>
              <w:t>-</w:t>
            </w:r>
            <w:r w:rsidR="00D977AA">
              <w:rPr>
                <w:rFonts w:ascii="Rotis Sans Serif Std" w:hAnsi="Rotis Sans Serif Std"/>
                <w:b/>
                <w:sz w:val="20"/>
                <w:szCs w:val="20"/>
                <w:lang w:eastAsia="es-ES_tradnl"/>
              </w:rPr>
              <w:t>20,60</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0B076C">
            <w:pPr>
              <w:spacing w:line="276" w:lineRule="auto"/>
              <w:jc w:val="center"/>
              <w:rPr>
                <w:rFonts w:ascii="Rotis Sans Serif Std" w:hAnsi="Rotis Sans Serif Std"/>
                <w:b/>
                <w:sz w:val="20"/>
                <w:szCs w:val="20"/>
                <w:lang w:eastAsia="es-ES_tradnl"/>
              </w:rPr>
            </w:pPr>
            <w:r>
              <w:rPr>
                <w:rFonts w:ascii="Rotis Sans Serif Std" w:hAnsi="Rotis Sans Serif Std"/>
                <w:b/>
                <w:sz w:val="20"/>
                <w:szCs w:val="20"/>
                <w:lang w:eastAsia="es-ES_tradnl"/>
              </w:rPr>
              <w:t>4.132</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b/>
                <w:sz w:val="20"/>
                <w:szCs w:val="20"/>
                <w:lang w:eastAsia="es-ES_tradnl"/>
              </w:rPr>
            </w:pPr>
            <w:r>
              <w:rPr>
                <w:rFonts w:ascii="Rotis Sans Serif Std" w:hAnsi="Rotis Sans Serif Std"/>
                <w:b/>
                <w:sz w:val="20"/>
                <w:szCs w:val="20"/>
                <w:lang w:eastAsia="es-ES_tradnl"/>
              </w:rPr>
              <w:t>3.222</w:t>
            </w:r>
          </w:p>
        </w:tc>
        <w:tc>
          <w:tcPr>
            <w:tcW w:w="0" w:type="auto"/>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767611" w:rsidRPr="00EA5418" w:rsidRDefault="00D977AA" w:rsidP="00767611">
            <w:pPr>
              <w:spacing w:line="276" w:lineRule="auto"/>
              <w:jc w:val="center"/>
              <w:rPr>
                <w:rFonts w:ascii="Rotis Sans Serif Std" w:hAnsi="Rotis Sans Serif Std"/>
                <w:b/>
                <w:sz w:val="20"/>
                <w:szCs w:val="20"/>
                <w:lang w:eastAsia="es-ES_tradnl"/>
              </w:rPr>
            </w:pPr>
            <w:r>
              <w:rPr>
                <w:rFonts w:ascii="Rotis Sans Serif Std" w:hAnsi="Rotis Sans Serif Std"/>
                <w:b/>
                <w:sz w:val="20"/>
                <w:szCs w:val="20"/>
                <w:lang w:eastAsia="es-ES_tradnl"/>
              </w:rPr>
              <w:t>28,24</w:t>
            </w:r>
          </w:p>
        </w:tc>
      </w:tr>
    </w:tbl>
    <w:p w:rsidR="00767611" w:rsidRPr="00767D0B" w:rsidRDefault="00767611" w:rsidP="00767611">
      <w:pPr>
        <w:pStyle w:val="TEXTBOLD"/>
        <w:spacing w:line="276" w:lineRule="auto"/>
        <w:jc w:val="center"/>
        <w:rPr>
          <w:b w:val="0"/>
          <w:color w:val="FF0000"/>
          <w:sz w:val="18"/>
          <w:szCs w:val="20"/>
          <w:lang w:val="ca-ES"/>
        </w:rPr>
      </w:pPr>
      <w:r w:rsidRPr="00767D0B">
        <w:rPr>
          <w:b w:val="0"/>
          <w:sz w:val="18"/>
          <w:szCs w:val="20"/>
          <w:lang w:val="ca-ES"/>
        </w:rPr>
        <w:t>Font: Elaboració pròpia a partir de les dades de l’Observatori del Treball i Model Productiu.</w:t>
      </w:r>
    </w:p>
    <w:p w:rsidR="00767611" w:rsidRPr="00EA5418" w:rsidRDefault="00767611" w:rsidP="00767611">
      <w:pPr>
        <w:tabs>
          <w:tab w:val="left" w:pos="6135"/>
        </w:tabs>
        <w:spacing w:line="276" w:lineRule="auto"/>
        <w:jc w:val="both"/>
        <w:rPr>
          <w:rFonts w:ascii="Rotis Sans Serif Std" w:hAnsi="Rotis Sans Serif Std" w:cs="RotisSansSerifStd-Regular"/>
          <w:bCs/>
          <w:color w:val="5E6061"/>
          <w:sz w:val="22"/>
          <w:szCs w:val="22"/>
          <w:lang w:eastAsia="es-ES_tradnl"/>
        </w:rPr>
      </w:pPr>
    </w:p>
    <w:p w:rsidR="00767611" w:rsidRPr="00B83CCA" w:rsidRDefault="00767611" w:rsidP="00767611">
      <w:pPr>
        <w:pStyle w:val="TEXTBOLD"/>
        <w:spacing w:line="276" w:lineRule="auto"/>
        <w:rPr>
          <w:b w:val="0"/>
          <w:sz w:val="24"/>
          <w:szCs w:val="24"/>
          <w:lang w:val="ca-ES"/>
        </w:rPr>
      </w:pPr>
      <w:r w:rsidRPr="00EA5418">
        <w:rPr>
          <w:b w:val="0"/>
          <w:sz w:val="24"/>
          <w:szCs w:val="24"/>
          <w:lang w:val="ca-ES"/>
        </w:rPr>
        <w:t xml:space="preserve">En el següent gràfic, es pot observar </w:t>
      </w:r>
      <w:r>
        <w:rPr>
          <w:b w:val="0"/>
          <w:sz w:val="24"/>
          <w:szCs w:val="24"/>
          <w:lang w:val="ca-ES"/>
        </w:rPr>
        <w:t>com</w:t>
      </w:r>
      <w:r w:rsidR="00A171D5">
        <w:rPr>
          <w:b w:val="0"/>
          <w:sz w:val="24"/>
          <w:szCs w:val="24"/>
          <w:lang w:val="ca-ES"/>
        </w:rPr>
        <w:t xml:space="preserve"> des d’agost</w:t>
      </w:r>
      <w:r w:rsidR="008D2F8D">
        <w:rPr>
          <w:b w:val="0"/>
          <w:sz w:val="24"/>
          <w:szCs w:val="24"/>
          <w:lang w:val="ca-ES"/>
        </w:rPr>
        <w:t xml:space="preserve"> de 2012</w:t>
      </w:r>
      <w:r w:rsidRPr="00EA5418">
        <w:rPr>
          <w:b w:val="0"/>
          <w:sz w:val="24"/>
          <w:szCs w:val="24"/>
          <w:lang w:val="ca-ES"/>
        </w:rPr>
        <w:t xml:space="preserve">, amb caràcter general, ha </w:t>
      </w:r>
      <w:r>
        <w:rPr>
          <w:b w:val="0"/>
          <w:sz w:val="24"/>
          <w:szCs w:val="24"/>
          <w:lang w:val="ca-ES"/>
        </w:rPr>
        <w:t xml:space="preserve">disminuït </w:t>
      </w:r>
      <w:r w:rsidRPr="00EA5418">
        <w:rPr>
          <w:b w:val="0"/>
          <w:sz w:val="24"/>
          <w:szCs w:val="24"/>
          <w:lang w:val="ca-ES"/>
        </w:rPr>
        <w:t xml:space="preserve">el volum d’expedients de regulació d’ocupació, passant de </w:t>
      </w:r>
      <w:r w:rsidR="00D977AA">
        <w:rPr>
          <w:b w:val="0"/>
          <w:sz w:val="24"/>
          <w:szCs w:val="24"/>
          <w:lang w:val="ca-ES"/>
        </w:rPr>
        <w:t>201</w:t>
      </w:r>
      <w:r w:rsidRPr="00EA5418">
        <w:rPr>
          <w:b w:val="0"/>
          <w:sz w:val="24"/>
          <w:szCs w:val="24"/>
          <w:lang w:val="ca-ES"/>
        </w:rPr>
        <w:t xml:space="preserve"> a</w:t>
      </w:r>
      <w:r w:rsidR="00D977AA">
        <w:rPr>
          <w:b w:val="0"/>
          <w:sz w:val="24"/>
          <w:szCs w:val="24"/>
          <w:lang w:val="ca-ES"/>
        </w:rPr>
        <w:t xml:space="preserve"> </w:t>
      </w:r>
      <w:r w:rsidRPr="00EA5418">
        <w:rPr>
          <w:b w:val="0"/>
          <w:sz w:val="24"/>
          <w:szCs w:val="24"/>
          <w:lang w:val="ca-ES"/>
        </w:rPr>
        <w:t>l</w:t>
      </w:r>
      <w:r w:rsidR="00D977AA">
        <w:rPr>
          <w:b w:val="0"/>
          <w:sz w:val="24"/>
          <w:szCs w:val="24"/>
          <w:lang w:val="ca-ES"/>
        </w:rPr>
        <w:t>’agost</w:t>
      </w:r>
      <w:r w:rsidRPr="00EA5418">
        <w:rPr>
          <w:b w:val="0"/>
          <w:sz w:val="24"/>
          <w:szCs w:val="24"/>
          <w:lang w:val="ca-ES"/>
        </w:rPr>
        <w:t xml:space="preserve"> </w:t>
      </w:r>
      <w:r w:rsidR="00B83CCA" w:rsidRPr="00B83CCA">
        <w:rPr>
          <w:b w:val="0"/>
          <w:sz w:val="24"/>
          <w:szCs w:val="24"/>
          <w:lang w:val="ca-ES"/>
        </w:rPr>
        <w:t>2012</w:t>
      </w:r>
      <w:r w:rsidRPr="00B83CCA">
        <w:rPr>
          <w:b w:val="0"/>
          <w:sz w:val="24"/>
          <w:szCs w:val="24"/>
          <w:lang w:val="ca-ES"/>
        </w:rPr>
        <w:t xml:space="preserve"> </w:t>
      </w:r>
      <w:r w:rsidRPr="00EA5418">
        <w:rPr>
          <w:b w:val="0"/>
          <w:sz w:val="24"/>
          <w:szCs w:val="24"/>
          <w:lang w:val="ca-ES"/>
        </w:rPr>
        <w:t xml:space="preserve">a </w:t>
      </w:r>
      <w:r w:rsidR="00A171D5">
        <w:rPr>
          <w:b w:val="0"/>
          <w:sz w:val="24"/>
          <w:szCs w:val="24"/>
          <w:lang w:val="ca-ES"/>
        </w:rPr>
        <w:t xml:space="preserve">10 </w:t>
      </w:r>
      <w:r w:rsidRPr="00EA5418">
        <w:rPr>
          <w:b w:val="0"/>
          <w:sz w:val="24"/>
          <w:szCs w:val="24"/>
          <w:lang w:val="ca-ES"/>
        </w:rPr>
        <w:t xml:space="preserve">en aquest mes </w:t>
      </w:r>
      <w:r>
        <w:rPr>
          <w:b w:val="0"/>
          <w:sz w:val="24"/>
          <w:szCs w:val="24"/>
          <w:lang w:val="ca-ES"/>
        </w:rPr>
        <w:t>d</w:t>
      </w:r>
      <w:r w:rsidR="00D977AA">
        <w:rPr>
          <w:b w:val="0"/>
          <w:sz w:val="24"/>
          <w:szCs w:val="24"/>
          <w:lang w:val="ca-ES"/>
        </w:rPr>
        <w:t xml:space="preserve">’agost </w:t>
      </w:r>
      <w:r>
        <w:rPr>
          <w:b w:val="0"/>
          <w:sz w:val="24"/>
          <w:szCs w:val="24"/>
          <w:lang w:val="ca-ES"/>
        </w:rPr>
        <w:t>de 201</w:t>
      </w:r>
      <w:r w:rsidR="008A6C34">
        <w:rPr>
          <w:b w:val="0"/>
          <w:sz w:val="24"/>
          <w:szCs w:val="24"/>
          <w:lang w:val="ca-ES"/>
        </w:rPr>
        <w:t>8</w:t>
      </w:r>
      <w:r w:rsidRPr="00B83CCA">
        <w:rPr>
          <w:b w:val="0"/>
          <w:sz w:val="24"/>
          <w:szCs w:val="24"/>
          <w:lang w:val="ca-ES"/>
        </w:rPr>
        <w:t>.</w:t>
      </w:r>
    </w:p>
    <w:p w:rsidR="00767611" w:rsidRPr="00EA5418" w:rsidRDefault="00767611" w:rsidP="00767611">
      <w:pPr>
        <w:pStyle w:val="TEXTBOLD"/>
        <w:spacing w:line="276" w:lineRule="auto"/>
        <w:rPr>
          <w:b w:val="0"/>
          <w:lang w:val="ca-ES"/>
        </w:rPr>
      </w:pPr>
    </w:p>
    <w:p w:rsidR="00767611" w:rsidRPr="00EC45F4" w:rsidRDefault="00A171D5" w:rsidP="00767611">
      <w:pPr>
        <w:tabs>
          <w:tab w:val="left" w:pos="6135"/>
        </w:tabs>
        <w:spacing w:line="276" w:lineRule="auto"/>
        <w:jc w:val="center"/>
        <w:rPr>
          <w:rFonts w:ascii="Rotis Sans Serif Std" w:hAnsi="Rotis Sans Serif Std" w:cs="RotisSansSerifStd-Regular"/>
          <w:bCs/>
          <w:color w:val="5E6061"/>
          <w:sz w:val="22"/>
          <w:szCs w:val="22"/>
          <w:lang w:eastAsia="es-ES_tradnl"/>
        </w:rPr>
      </w:pPr>
      <w:r>
        <w:rPr>
          <w:noProof/>
          <w:lang w:val="es-ES" w:eastAsia="es-ES"/>
        </w:rPr>
        <w:drawing>
          <wp:inline distT="0" distB="0" distL="0" distR="0" wp14:anchorId="4A442F7D" wp14:editId="4AEEAF32">
            <wp:extent cx="5612130" cy="2555240"/>
            <wp:effectExtent l="0" t="0" r="26670" b="1651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67611" w:rsidRPr="00767D0B" w:rsidRDefault="00767611" w:rsidP="00767611">
      <w:pPr>
        <w:pStyle w:val="TEXTBOLD"/>
        <w:spacing w:line="276" w:lineRule="auto"/>
        <w:jc w:val="center"/>
        <w:rPr>
          <w:b w:val="0"/>
          <w:color w:val="FF0000"/>
          <w:sz w:val="18"/>
          <w:szCs w:val="20"/>
          <w:lang w:val="ca-ES"/>
        </w:rPr>
      </w:pPr>
      <w:r w:rsidRPr="00767D0B">
        <w:rPr>
          <w:b w:val="0"/>
          <w:sz w:val="18"/>
          <w:szCs w:val="20"/>
          <w:lang w:val="ca-ES"/>
        </w:rPr>
        <w:t>Font: Elaboració pròpia a partir de les dades de l’Observatori del Treball i Model Productiu.</w:t>
      </w:r>
    </w:p>
    <w:p w:rsidR="00767611" w:rsidRDefault="00767611" w:rsidP="00767611">
      <w:pPr>
        <w:tabs>
          <w:tab w:val="left" w:pos="6135"/>
        </w:tabs>
        <w:spacing w:line="276" w:lineRule="auto"/>
        <w:jc w:val="both"/>
        <w:rPr>
          <w:rFonts w:ascii="Rotis Sans Serif Std" w:hAnsi="Rotis Sans Serif Std" w:cs="RotisSansSerifStd-Regular"/>
          <w:bCs/>
          <w:color w:val="5E6061"/>
          <w:szCs w:val="22"/>
          <w:lang w:eastAsia="es-ES_tradnl"/>
        </w:rPr>
      </w:pPr>
    </w:p>
    <w:p w:rsidR="00767611" w:rsidRDefault="00767611" w:rsidP="00767611">
      <w:pPr>
        <w:tabs>
          <w:tab w:val="left" w:pos="6135"/>
        </w:tabs>
        <w:spacing w:line="276" w:lineRule="auto"/>
        <w:jc w:val="both"/>
        <w:rPr>
          <w:rFonts w:ascii="Rotis Sans Serif Std" w:hAnsi="Rotis Sans Serif Std" w:cs="RotisSansSerifStd-Regular"/>
          <w:bCs/>
          <w:color w:val="5E6061"/>
          <w:szCs w:val="22"/>
          <w:lang w:eastAsia="es-ES_tradnl"/>
        </w:rPr>
      </w:pPr>
      <w:r w:rsidRPr="00EA5418">
        <w:rPr>
          <w:rFonts w:ascii="Rotis Sans Serif Std" w:hAnsi="Rotis Sans Serif Std" w:cs="RotisSansSerifStd-Regular"/>
          <w:bCs/>
          <w:color w:val="5E6061"/>
          <w:szCs w:val="22"/>
          <w:lang w:eastAsia="es-ES_tradnl"/>
        </w:rPr>
        <w:t xml:space="preserve">Així mateix, en el gràfic següent es pot observar el pes dels expedients d’extinció en relació amb els de suspensió del contracte de treball i reducció de jornada, com a mecanismes de flexibilitat interna per a les empreses. </w:t>
      </w:r>
    </w:p>
    <w:p w:rsidR="00767611" w:rsidRPr="00EA5418" w:rsidRDefault="00767611" w:rsidP="00767611">
      <w:pPr>
        <w:tabs>
          <w:tab w:val="left" w:pos="6135"/>
        </w:tabs>
        <w:spacing w:line="276" w:lineRule="auto"/>
        <w:jc w:val="both"/>
        <w:rPr>
          <w:rFonts w:ascii="Rotis Sans Serif Std" w:hAnsi="Rotis Sans Serif Std" w:cs="RotisSansSerifStd-Regular"/>
          <w:bCs/>
          <w:color w:val="5E6061"/>
          <w:szCs w:val="22"/>
          <w:lang w:eastAsia="es-ES_tradnl"/>
        </w:rPr>
      </w:pPr>
    </w:p>
    <w:p w:rsidR="00767611" w:rsidRPr="003715EA" w:rsidRDefault="00A171D5" w:rsidP="00151CBE">
      <w:pPr>
        <w:tabs>
          <w:tab w:val="left" w:pos="6135"/>
        </w:tabs>
        <w:spacing w:line="276" w:lineRule="auto"/>
        <w:jc w:val="center"/>
        <w:rPr>
          <w:rFonts w:ascii="Rotis Sans Serif Std" w:hAnsi="Rotis Sans Serif Std" w:cs="RotisSansSerifStd-Regular"/>
          <w:bCs/>
          <w:color w:val="5E6061"/>
          <w:szCs w:val="22"/>
          <w:lang w:eastAsia="es-ES_tradnl"/>
        </w:rPr>
      </w:pPr>
      <w:r>
        <w:rPr>
          <w:noProof/>
          <w:lang w:val="es-ES" w:eastAsia="es-ES"/>
        </w:rPr>
        <w:drawing>
          <wp:inline distT="0" distB="0" distL="0" distR="0" wp14:anchorId="07CAAC87" wp14:editId="616232DB">
            <wp:extent cx="5612130" cy="2574925"/>
            <wp:effectExtent l="0" t="0" r="26670" b="1587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67611" w:rsidRPr="00767D0B" w:rsidRDefault="00767611" w:rsidP="00767611">
      <w:pPr>
        <w:pStyle w:val="TEXTBOLD"/>
        <w:spacing w:line="276" w:lineRule="auto"/>
        <w:jc w:val="center"/>
        <w:rPr>
          <w:b w:val="0"/>
          <w:color w:val="FF0000"/>
          <w:sz w:val="18"/>
          <w:szCs w:val="20"/>
          <w:lang w:val="ca-ES"/>
        </w:rPr>
      </w:pPr>
      <w:r w:rsidRPr="00767D0B">
        <w:rPr>
          <w:b w:val="0"/>
          <w:sz w:val="18"/>
          <w:szCs w:val="20"/>
          <w:lang w:val="ca-ES"/>
        </w:rPr>
        <w:t>Font: Elaboració pròpia a partir de les dades de l’Observatori del Treball i Model Productiu.</w:t>
      </w:r>
    </w:p>
    <w:p w:rsidR="00767611" w:rsidRPr="00EA5418" w:rsidRDefault="00767611" w:rsidP="00767611">
      <w:pPr>
        <w:tabs>
          <w:tab w:val="left" w:pos="6135"/>
        </w:tabs>
        <w:spacing w:line="276" w:lineRule="auto"/>
        <w:jc w:val="both"/>
        <w:rPr>
          <w:rFonts w:ascii="Rotis Sans Serif Std" w:hAnsi="Rotis Sans Serif Std" w:cs="RotisSansSerifStd-Regular"/>
          <w:bCs/>
          <w:color w:val="5E6061"/>
          <w:sz w:val="22"/>
          <w:szCs w:val="22"/>
          <w:lang w:eastAsia="es-ES_tradnl"/>
        </w:rPr>
      </w:pPr>
    </w:p>
    <w:p w:rsidR="00151CBE" w:rsidRPr="00FC76E1" w:rsidRDefault="00767611" w:rsidP="00767611">
      <w:pPr>
        <w:tabs>
          <w:tab w:val="left" w:pos="6135"/>
        </w:tabs>
        <w:spacing w:line="276" w:lineRule="auto"/>
        <w:jc w:val="both"/>
        <w:rPr>
          <w:rFonts w:ascii="Rotis Sans Serif Std" w:hAnsi="Rotis Sans Serif Std" w:cs="RotisSansSerifStd-Regular"/>
          <w:bCs/>
          <w:color w:val="5E6061"/>
          <w:lang w:eastAsia="es-ES_tradnl"/>
        </w:rPr>
      </w:pPr>
      <w:r w:rsidRPr="00EA5418">
        <w:rPr>
          <w:rFonts w:ascii="Rotis Sans Serif Std" w:hAnsi="Rotis Sans Serif Std" w:cs="RotisSansSerifStd-Regular"/>
          <w:bCs/>
          <w:color w:val="5E6061"/>
          <w:lang w:eastAsia="es-ES_tradnl"/>
        </w:rPr>
        <w:t>Així mateix, tal i com s’observa en el següent gràfic, els expedients que suposen l’adopció de mesures de flexibilitat interna (suspensió de contracte de treball i reducció de la jornada de treballador) han anat guanyant major pes</w:t>
      </w:r>
      <w:r w:rsidR="0014223B">
        <w:rPr>
          <w:rFonts w:ascii="Rotis Sans Serif Std" w:hAnsi="Rotis Sans Serif Std" w:cs="RotisSansSerifStd-Regular"/>
          <w:bCs/>
          <w:color w:val="5E6061"/>
          <w:lang w:eastAsia="es-ES_tradnl"/>
        </w:rPr>
        <w:t>, amb caràcter general,</w:t>
      </w:r>
      <w:r w:rsidRPr="00EA5418">
        <w:rPr>
          <w:rFonts w:ascii="Rotis Sans Serif Std" w:hAnsi="Rotis Sans Serif Std" w:cs="RotisSansSerifStd-Regular"/>
          <w:bCs/>
          <w:color w:val="5E6061"/>
          <w:lang w:eastAsia="es-ES_tradnl"/>
        </w:rPr>
        <w:t xml:space="preserve"> vers els que suposen l’extinció de la relació de treball. Per tant, del total d’expedients que es van presentar</w:t>
      </w:r>
      <w:r w:rsidRPr="00EA5418">
        <w:rPr>
          <w:rStyle w:val="Refdenotaalpie"/>
          <w:rFonts w:ascii="Rotis Sans Serif Std" w:hAnsi="Rotis Sans Serif Std" w:cs="RotisSansSerifStd-Regular"/>
          <w:bCs/>
          <w:color w:val="5E6061"/>
          <w:lang w:eastAsia="es-ES_tradnl"/>
        </w:rPr>
        <w:footnoteReference w:id="6"/>
      </w:r>
      <w:r w:rsidRPr="00EA5418">
        <w:rPr>
          <w:rFonts w:ascii="Rotis Sans Serif Std" w:hAnsi="Rotis Sans Serif Std" w:cs="RotisSansSerifStd-Regular"/>
          <w:bCs/>
          <w:color w:val="5E6061"/>
          <w:lang w:eastAsia="es-ES_tradnl"/>
        </w:rPr>
        <w:t xml:space="preserve"> en l’any 2003 els expedients d’extinció suposaven el </w:t>
      </w:r>
      <w:r>
        <w:rPr>
          <w:rFonts w:ascii="Rotis Sans Serif Std" w:hAnsi="Rotis Sans Serif Std" w:cs="RotisSansSerifStd-Regular"/>
          <w:bCs/>
          <w:color w:val="5E6061"/>
          <w:lang w:eastAsia="es-ES_tradnl"/>
        </w:rPr>
        <w:t>68,74</w:t>
      </w:r>
      <w:r w:rsidRPr="00EA5418">
        <w:rPr>
          <w:rFonts w:ascii="Rotis Sans Serif Std" w:hAnsi="Rotis Sans Serif Std" w:cs="RotisSansSerifStd-Regular"/>
          <w:bCs/>
          <w:color w:val="5E6061"/>
          <w:lang w:eastAsia="es-ES_tradnl"/>
        </w:rPr>
        <w:t>%, l‘any 2007</w:t>
      </w:r>
      <w:r w:rsidR="000C34CB">
        <w:rPr>
          <w:rFonts w:ascii="Rotis Sans Serif Std" w:hAnsi="Rotis Sans Serif Std" w:cs="RotisSansSerifStd-Regular"/>
          <w:bCs/>
          <w:color w:val="5E6061"/>
          <w:lang w:eastAsia="es-ES_tradnl"/>
        </w:rPr>
        <w:t xml:space="preserve"> comportaven</w:t>
      </w:r>
      <w:r w:rsidRPr="00EA5418">
        <w:rPr>
          <w:rFonts w:ascii="Rotis Sans Serif Std" w:hAnsi="Rotis Sans Serif Std" w:cs="RotisSansSerifStd-Regular"/>
          <w:bCs/>
          <w:color w:val="5E6061"/>
          <w:lang w:eastAsia="es-ES_tradnl"/>
        </w:rPr>
        <w:t xml:space="preserve"> el </w:t>
      </w:r>
      <w:r>
        <w:rPr>
          <w:rFonts w:ascii="Rotis Sans Serif Std" w:hAnsi="Rotis Sans Serif Std" w:cs="RotisSansSerifStd-Regular"/>
          <w:bCs/>
          <w:color w:val="5E6061"/>
          <w:lang w:eastAsia="es-ES_tradnl"/>
        </w:rPr>
        <w:t>60,41</w:t>
      </w:r>
      <w:r w:rsidRPr="00EA5418">
        <w:rPr>
          <w:rFonts w:ascii="Rotis Sans Serif Std" w:hAnsi="Rotis Sans Serif Std" w:cs="RotisSansSerifStd-Regular"/>
          <w:bCs/>
          <w:color w:val="5E6061"/>
          <w:lang w:eastAsia="es-ES_tradnl"/>
        </w:rPr>
        <w:t>%</w:t>
      </w:r>
      <w:r>
        <w:rPr>
          <w:rFonts w:ascii="Rotis Sans Serif Std" w:hAnsi="Rotis Sans Serif Std" w:cs="RotisSansSerifStd-Regular"/>
          <w:bCs/>
          <w:color w:val="5E6061"/>
          <w:lang w:eastAsia="es-ES_tradnl"/>
        </w:rPr>
        <w:t>, el 20,03% en 2015</w:t>
      </w:r>
      <w:r w:rsidR="00B83CCA">
        <w:rPr>
          <w:rFonts w:ascii="Rotis Sans Serif Std" w:hAnsi="Rotis Sans Serif Std" w:cs="RotisSansSerifStd-Regular"/>
          <w:bCs/>
          <w:color w:val="5E6061"/>
          <w:lang w:eastAsia="es-ES_tradnl"/>
        </w:rPr>
        <w:t>, en 2016 el 28,43%</w:t>
      </w:r>
      <w:r w:rsidR="00ED76C2">
        <w:rPr>
          <w:rFonts w:ascii="Rotis Sans Serif Std" w:hAnsi="Rotis Sans Serif Std" w:cs="RotisSansSerifStd-Regular"/>
          <w:bCs/>
          <w:color w:val="5E6061"/>
          <w:lang w:eastAsia="es-ES_tradnl"/>
        </w:rPr>
        <w:t>, en 2017 el 32,29%</w:t>
      </w:r>
      <w:r w:rsidR="00B83CCA">
        <w:rPr>
          <w:rFonts w:ascii="Rotis Sans Serif Std" w:hAnsi="Rotis Sans Serif Std" w:cs="RotisSansSerifStd-Regular"/>
          <w:bCs/>
          <w:color w:val="5E6061"/>
          <w:lang w:eastAsia="es-ES_tradnl"/>
        </w:rPr>
        <w:t xml:space="preserve"> </w:t>
      </w:r>
      <w:r w:rsidRPr="00EA5418">
        <w:rPr>
          <w:rFonts w:ascii="Rotis Sans Serif Std" w:hAnsi="Rotis Sans Serif Std" w:cs="RotisSansSerifStd-Regular"/>
          <w:bCs/>
          <w:color w:val="5E6061"/>
          <w:lang w:eastAsia="es-ES_tradnl"/>
        </w:rPr>
        <w:t>i actualment</w:t>
      </w:r>
      <w:r>
        <w:rPr>
          <w:rFonts w:ascii="Rotis Sans Serif Std" w:hAnsi="Rotis Sans Serif Std" w:cs="RotisSansSerifStd-Regular"/>
          <w:bCs/>
          <w:color w:val="5E6061"/>
          <w:lang w:eastAsia="es-ES_tradnl"/>
        </w:rPr>
        <w:t xml:space="preserve">, </w:t>
      </w:r>
      <w:r w:rsidR="000B076C">
        <w:rPr>
          <w:rFonts w:ascii="Rotis Sans Serif Std" w:hAnsi="Rotis Sans Serif Std" w:cs="RotisSansSerifStd-Regular"/>
          <w:bCs/>
          <w:color w:val="5E6061"/>
          <w:lang w:eastAsia="es-ES_tradnl"/>
        </w:rPr>
        <w:t>i fins a</w:t>
      </w:r>
      <w:r w:rsidR="00A86203">
        <w:rPr>
          <w:rFonts w:ascii="Rotis Sans Serif Std" w:hAnsi="Rotis Sans Serif Std" w:cs="RotisSansSerifStd-Regular"/>
          <w:bCs/>
          <w:color w:val="5E6061"/>
          <w:lang w:eastAsia="es-ES_tradnl"/>
        </w:rPr>
        <w:t xml:space="preserve"> </w:t>
      </w:r>
      <w:r w:rsidR="000B076C">
        <w:rPr>
          <w:rFonts w:ascii="Rotis Sans Serif Std" w:hAnsi="Rotis Sans Serif Std" w:cs="RotisSansSerifStd-Regular"/>
          <w:bCs/>
          <w:color w:val="5E6061"/>
          <w:lang w:eastAsia="es-ES_tradnl"/>
        </w:rPr>
        <w:t>l</w:t>
      </w:r>
      <w:r w:rsidR="00A86203">
        <w:rPr>
          <w:rFonts w:ascii="Rotis Sans Serif Std" w:hAnsi="Rotis Sans Serif Std" w:cs="RotisSansSerifStd-Regular"/>
          <w:bCs/>
          <w:color w:val="5E6061"/>
          <w:lang w:eastAsia="es-ES_tradnl"/>
        </w:rPr>
        <w:t>’agost</w:t>
      </w:r>
      <w:r w:rsidR="000B076C">
        <w:rPr>
          <w:rFonts w:ascii="Rotis Sans Serif Std" w:hAnsi="Rotis Sans Serif Std" w:cs="RotisSansSerifStd-Regular"/>
          <w:bCs/>
          <w:color w:val="5E6061"/>
          <w:lang w:eastAsia="es-ES_tradnl"/>
        </w:rPr>
        <w:t xml:space="preserve"> </w:t>
      </w:r>
      <w:r w:rsidR="00A86203">
        <w:rPr>
          <w:rFonts w:ascii="Rotis Sans Serif Std" w:hAnsi="Rotis Sans Serif Std" w:cs="RotisSansSerifStd-Regular"/>
          <w:bCs/>
          <w:color w:val="5E6061"/>
          <w:lang w:eastAsia="es-ES_tradnl"/>
        </w:rPr>
        <w:t>d</w:t>
      </w:r>
      <w:r w:rsidR="000B076C">
        <w:rPr>
          <w:rFonts w:ascii="Rotis Sans Serif Std" w:hAnsi="Rotis Sans Serif Std" w:cs="RotisSansSerifStd-Regular"/>
          <w:bCs/>
          <w:color w:val="5E6061"/>
          <w:lang w:eastAsia="es-ES_tradnl"/>
        </w:rPr>
        <w:t>e</w:t>
      </w:r>
      <w:r>
        <w:rPr>
          <w:rFonts w:ascii="Rotis Sans Serif Std" w:hAnsi="Rotis Sans Serif Std" w:cs="RotisSansSerifStd-Regular"/>
          <w:bCs/>
          <w:color w:val="5E6061"/>
          <w:lang w:eastAsia="es-ES_tradnl"/>
        </w:rPr>
        <w:t xml:space="preserve"> 201</w:t>
      </w:r>
      <w:r w:rsidR="008A6C34">
        <w:rPr>
          <w:rFonts w:ascii="Rotis Sans Serif Std" w:hAnsi="Rotis Sans Serif Std" w:cs="RotisSansSerifStd-Regular"/>
          <w:bCs/>
          <w:color w:val="5E6061"/>
          <w:lang w:eastAsia="es-ES_tradnl"/>
        </w:rPr>
        <w:t>8</w:t>
      </w:r>
      <w:r>
        <w:rPr>
          <w:rFonts w:ascii="Rotis Sans Serif Std" w:hAnsi="Rotis Sans Serif Std" w:cs="RotisSansSerifStd-Regular"/>
          <w:bCs/>
          <w:color w:val="5E6061"/>
          <w:lang w:eastAsia="es-ES_tradnl"/>
        </w:rPr>
        <w:t xml:space="preserve"> suposen </w:t>
      </w:r>
      <w:r w:rsidRPr="00EA5418">
        <w:rPr>
          <w:rFonts w:ascii="Rotis Sans Serif Std" w:hAnsi="Rotis Sans Serif Std" w:cs="RotisSansSerifStd-Regular"/>
          <w:bCs/>
          <w:color w:val="5E6061"/>
          <w:lang w:eastAsia="es-ES_tradnl"/>
        </w:rPr>
        <w:t xml:space="preserve">el </w:t>
      </w:r>
      <w:r w:rsidR="00A86203">
        <w:rPr>
          <w:rFonts w:ascii="Rotis Sans Serif Std" w:hAnsi="Rotis Sans Serif Std" w:cs="RotisSansSerifStd-Regular"/>
          <w:bCs/>
          <w:color w:val="5E6061"/>
          <w:lang w:eastAsia="es-ES_tradnl"/>
        </w:rPr>
        <w:t>38,38</w:t>
      </w:r>
      <w:r>
        <w:rPr>
          <w:rFonts w:ascii="Rotis Sans Serif Std" w:hAnsi="Rotis Sans Serif Std" w:cs="RotisSansSerifStd-Regular"/>
          <w:bCs/>
          <w:color w:val="5E6061"/>
          <w:lang w:eastAsia="es-ES_tradnl"/>
        </w:rPr>
        <w:t>%</w:t>
      </w:r>
      <w:r w:rsidR="00BE3D60">
        <w:rPr>
          <w:rFonts w:ascii="Rotis Sans Serif Std" w:hAnsi="Rotis Sans Serif Std" w:cs="RotisSansSerifStd-Regular"/>
          <w:bCs/>
          <w:color w:val="5E6061"/>
          <w:lang w:eastAsia="es-ES_tradnl"/>
        </w:rPr>
        <w:t>.</w:t>
      </w:r>
    </w:p>
    <w:p w:rsidR="00767611" w:rsidRPr="00EA5418" w:rsidRDefault="00A86203" w:rsidP="00151CBE">
      <w:pPr>
        <w:tabs>
          <w:tab w:val="left" w:pos="6135"/>
        </w:tabs>
        <w:spacing w:line="276" w:lineRule="auto"/>
        <w:jc w:val="center"/>
        <w:rPr>
          <w:rFonts w:ascii="Rotis Sans Serif Std" w:hAnsi="Rotis Sans Serif Std" w:cs="RotisSansSerifStd-Regular"/>
          <w:bCs/>
          <w:color w:val="5E6061"/>
          <w:lang w:eastAsia="es-ES_tradnl"/>
        </w:rPr>
      </w:pPr>
      <w:r>
        <w:rPr>
          <w:noProof/>
          <w:lang w:val="es-ES" w:eastAsia="es-ES"/>
        </w:rPr>
        <w:drawing>
          <wp:inline distT="0" distB="0" distL="0" distR="0" wp14:anchorId="33EF53F5" wp14:editId="7F74A9E7">
            <wp:extent cx="5883215" cy="3165894"/>
            <wp:effectExtent l="0" t="0" r="22860" b="15875"/>
            <wp:docPr id="69" name="Gráfico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67611" w:rsidRPr="00767D0B" w:rsidRDefault="00767611" w:rsidP="00767611">
      <w:pPr>
        <w:pStyle w:val="TEXTBOLD"/>
        <w:spacing w:line="276" w:lineRule="auto"/>
        <w:jc w:val="center"/>
        <w:rPr>
          <w:b w:val="0"/>
          <w:color w:val="FF0000"/>
          <w:sz w:val="18"/>
          <w:szCs w:val="20"/>
          <w:lang w:val="ca-ES"/>
        </w:rPr>
      </w:pPr>
      <w:r w:rsidRPr="00767D0B">
        <w:rPr>
          <w:b w:val="0"/>
          <w:sz w:val="18"/>
          <w:szCs w:val="20"/>
          <w:lang w:val="ca-ES"/>
        </w:rPr>
        <w:t>Font: Elaboració pròpia a partir de les dades de l’Observatori del Treball i Model Productiu.</w:t>
      </w:r>
    </w:p>
    <w:p w:rsidR="007E4D50" w:rsidRDefault="007E4D50" w:rsidP="00767611">
      <w:pPr>
        <w:tabs>
          <w:tab w:val="left" w:pos="6135"/>
        </w:tabs>
        <w:spacing w:line="276" w:lineRule="auto"/>
        <w:jc w:val="both"/>
        <w:rPr>
          <w:rFonts w:ascii="Rotis Sans Serif Std" w:hAnsi="Rotis Sans Serif Std" w:cs="RotisSansSerifStd-Regular"/>
          <w:bCs/>
          <w:color w:val="5E6061"/>
          <w:lang w:eastAsia="es-ES_tradnl"/>
        </w:rPr>
      </w:pPr>
    </w:p>
    <w:p w:rsidR="00767611" w:rsidRPr="00EA5418" w:rsidRDefault="00767611" w:rsidP="00767611">
      <w:pPr>
        <w:tabs>
          <w:tab w:val="left" w:pos="6135"/>
        </w:tabs>
        <w:spacing w:line="276" w:lineRule="auto"/>
        <w:jc w:val="both"/>
        <w:rPr>
          <w:rFonts w:ascii="Rotis Sans Serif Std" w:hAnsi="Rotis Sans Serif Std" w:cs="RotisSansSerifStd-Regular"/>
          <w:bCs/>
          <w:color w:val="5E6061"/>
          <w:lang w:eastAsia="es-ES_tradnl"/>
        </w:rPr>
      </w:pPr>
      <w:r w:rsidRPr="00EA5418">
        <w:rPr>
          <w:rFonts w:ascii="Rotis Sans Serif Std" w:hAnsi="Rotis Sans Serif Std" w:cs="RotisSansSerifStd-Regular"/>
          <w:bCs/>
          <w:color w:val="5E6061"/>
          <w:lang w:eastAsia="es-ES_tradnl"/>
        </w:rPr>
        <w:t xml:space="preserve">En el gràfic següent observem que des de l’any 2008 els expedients de regulació d’ocupació es van anar incrementant exponencialment, fins arribar al seu punt màxim l’any 2012 amb un total de </w:t>
      </w:r>
      <w:r>
        <w:rPr>
          <w:rFonts w:ascii="Rotis Sans Serif Std" w:hAnsi="Rotis Sans Serif Std" w:cs="RotisSansSerifStd-Regular"/>
          <w:bCs/>
          <w:color w:val="5E6061"/>
          <w:lang w:eastAsia="es-ES_tradnl"/>
        </w:rPr>
        <w:t>5.669 expedients, per progressivament</w:t>
      </w:r>
      <w:r w:rsidRPr="00EA5418">
        <w:rPr>
          <w:rFonts w:ascii="Rotis Sans Serif Std" w:hAnsi="Rotis Sans Serif Std" w:cs="RotisSansSerifStd-Regular"/>
          <w:bCs/>
          <w:color w:val="5E6061"/>
          <w:lang w:eastAsia="es-ES_tradnl"/>
        </w:rPr>
        <w:t xml:space="preserve"> anant disminuint a partir de l’a</w:t>
      </w:r>
      <w:r>
        <w:rPr>
          <w:rFonts w:ascii="Rotis Sans Serif Std" w:hAnsi="Rotis Sans Serif Std" w:cs="RotisSansSerifStd-Regular"/>
          <w:bCs/>
          <w:color w:val="5E6061"/>
          <w:lang w:eastAsia="es-ES_tradnl"/>
        </w:rPr>
        <w:t>ny 2013</w:t>
      </w:r>
      <w:r w:rsidRPr="00EA5418">
        <w:rPr>
          <w:rFonts w:ascii="Rotis Sans Serif Std" w:hAnsi="Rotis Sans Serif Std" w:cs="RotisSansSerifStd-Regular"/>
          <w:bCs/>
          <w:color w:val="5E6061"/>
          <w:lang w:eastAsia="es-ES_tradnl"/>
        </w:rPr>
        <w:t>.</w:t>
      </w:r>
    </w:p>
    <w:p w:rsidR="00767611" w:rsidRPr="003715EA" w:rsidRDefault="00A171D5" w:rsidP="00151CBE">
      <w:pPr>
        <w:tabs>
          <w:tab w:val="left" w:pos="-2835"/>
        </w:tabs>
        <w:spacing w:line="276" w:lineRule="auto"/>
        <w:jc w:val="center"/>
        <w:rPr>
          <w:rFonts w:ascii="Rotis Sans Serif Std" w:hAnsi="Rotis Sans Serif Std" w:cs="RotisSansSerifStd-Regular"/>
          <w:bCs/>
          <w:color w:val="5E6061"/>
          <w:lang w:eastAsia="es-ES_tradnl"/>
        </w:rPr>
      </w:pPr>
      <w:r>
        <w:rPr>
          <w:noProof/>
          <w:lang w:val="es-ES" w:eastAsia="es-ES"/>
        </w:rPr>
        <w:drawing>
          <wp:inline distT="0" distB="0" distL="0" distR="0" wp14:anchorId="1A0DAE0F" wp14:editId="6892ADC1">
            <wp:extent cx="6012611" cy="3105509"/>
            <wp:effectExtent l="0" t="0" r="26670" b="1905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67611" w:rsidRPr="00767D0B" w:rsidRDefault="00767611" w:rsidP="00767611">
      <w:pPr>
        <w:pStyle w:val="TEXTBOLD"/>
        <w:spacing w:line="276" w:lineRule="auto"/>
        <w:jc w:val="center"/>
        <w:rPr>
          <w:b w:val="0"/>
          <w:color w:val="FF0000"/>
          <w:sz w:val="18"/>
          <w:szCs w:val="20"/>
          <w:lang w:val="ca-ES"/>
        </w:rPr>
      </w:pPr>
      <w:r w:rsidRPr="00767D0B">
        <w:rPr>
          <w:b w:val="0"/>
          <w:sz w:val="18"/>
          <w:szCs w:val="20"/>
          <w:lang w:val="ca-ES"/>
        </w:rPr>
        <w:t>Font: Elaboració pròpia a partir de les dades de l’Observatori del Treball i Model Productiu.</w:t>
      </w:r>
    </w:p>
    <w:p w:rsidR="00767611" w:rsidRDefault="00767611" w:rsidP="00767611">
      <w:pPr>
        <w:tabs>
          <w:tab w:val="left" w:pos="6135"/>
        </w:tabs>
        <w:spacing w:line="276" w:lineRule="auto"/>
        <w:jc w:val="center"/>
        <w:rPr>
          <w:rFonts w:ascii="Rotis Sans Serif Std" w:hAnsi="Rotis Sans Serif Std" w:cs="RotisSansSerifStd-Regular"/>
          <w:bCs/>
          <w:color w:val="5E6061"/>
          <w:sz w:val="22"/>
          <w:szCs w:val="22"/>
          <w:lang w:eastAsia="es-ES_tradnl"/>
        </w:rPr>
      </w:pPr>
    </w:p>
    <w:p w:rsidR="00643E83" w:rsidRPr="00EA5418" w:rsidRDefault="00643E83" w:rsidP="00643E83">
      <w:pPr>
        <w:pStyle w:val="TEXTBOLD"/>
        <w:spacing w:line="276" w:lineRule="auto"/>
        <w:rPr>
          <w:b w:val="0"/>
          <w:sz w:val="24"/>
          <w:szCs w:val="24"/>
          <w:lang w:val="ca-ES"/>
        </w:rPr>
      </w:pPr>
      <w:r w:rsidRPr="00EA5418">
        <w:rPr>
          <w:b w:val="0"/>
          <w:sz w:val="24"/>
          <w:szCs w:val="24"/>
          <w:u w:val="single"/>
          <w:lang w:val="ca-ES"/>
        </w:rPr>
        <w:t>Per sexe</w:t>
      </w:r>
      <w:r w:rsidRPr="00EA5418">
        <w:rPr>
          <w:b w:val="0"/>
          <w:sz w:val="24"/>
          <w:szCs w:val="24"/>
          <w:lang w:val="ca-ES"/>
        </w:rPr>
        <w:t xml:space="preserve">, </w:t>
      </w:r>
      <w:r>
        <w:rPr>
          <w:b w:val="0"/>
          <w:sz w:val="24"/>
          <w:szCs w:val="24"/>
          <w:lang w:val="ca-ES"/>
        </w:rPr>
        <w:t xml:space="preserve">pel que fa </w:t>
      </w:r>
      <w:r w:rsidRPr="009517D0">
        <w:rPr>
          <w:b w:val="0"/>
          <w:sz w:val="24"/>
          <w:szCs w:val="24"/>
          <w:lang w:val="ca-ES"/>
        </w:rPr>
        <w:t>a les dades acumulades fins el mes d</w:t>
      </w:r>
      <w:r w:rsidR="00A86203">
        <w:rPr>
          <w:b w:val="0"/>
          <w:sz w:val="24"/>
          <w:szCs w:val="24"/>
          <w:lang w:val="ca-ES"/>
        </w:rPr>
        <w:t>’agost</w:t>
      </w:r>
      <w:r w:rsidRPr="009517D0">
        <w:rPr>
          <w:b w:val="0"/>
          <w:sz w:val="24"/>
          <w:szCs w:val="24"/>
          <w:lang w:val="ca-ES"/>
        </w:rPr>
        <w:t xml:space="preserve">, els expedients de regulació d’ocupació </w:t>
      </w:r>
      <w:r w:rsidR="00C03DCA">
        <w:rPr>
          <w:b w:val="0"/>
          <w:sz w:val="24"/>
          <w:szCs w:val="24"/>
          <w:lang w:val="ca-ES"/>
        </w:rPr>
        <w:t>s’han incrementat</w:t>
      </w:r>
      <w:r w:rsidR="00A86203">
        <w:rPr>
          <w:b w:val="0"/>
          <w:sz w:val="24"/>
          <w:szCs w:val="24"/>
          <w:lang w:val="ca-ES"/>
        </w:rPr>
        <w:t xml:space="preserve"> respecte el mateix període de l’any anterior</w:t>
      </w:r>
      <w:r w:rsidR="00C03DCA">
        <w:rPr>
          <w:b w:val="0"/>
          <w:sz w:val="24"/>
          <w:szCs w:val="24"/>
          <w:lang w:val="ca-ES"/>
        </w:rPr>
        <w:t xml:space="preserve"> tant en homes </w:t>
      </w:r>
      <w:r w:rsidRPr="009517D0">
        <w:rPr>
          <w:b w:val="0"/>
          <w:sz w:val="24"/>
          <w:szCs w:val="24"/>
          <w:lang w:val="ca-ES"/>
        </w:rPr>
        <w:t xml:space="preserve"> (</w:t>
      </w:r>
      <w:r w:rsidR="00A86203">
        <w:rPr>
          <w:b w:val="0"/>
          <w:sz w:val="24"/>
          <w:szCs w:val="24"/>
          <w:lang w:val="ca-ES"/>
        </w:rPr>
        <w:t>29,88</w:t>
      </w:r>
      <w:r w:rsidRPr="009517D0">
        <w:rPr>
          <w:b w:val="0"/>
          <w:sz w:val="24"/>
          <w:szCs w:val="24"/>
          <w:lang w:val="ca-ES"/>
        </w:rPr>
        <w:t>%)</w:t>
      </w:r>
      <w:r w:rsidR="00C03DCA">
        <w:rPr>
          <w:b w:val="0"/>
          <w:sz w:val="24"/>
          <w:szCs w:val="24"/>
          <w:lang w:val="ca-ES"/>
        </w:rPr>
        <w:t xml:space="preserve"> com en dones (</w:t>
      </w:r>
      <w:r w:rsidR="00A86203">
        <w:rPr>
          <w:b w:val="0"/>
          <w:sz w:val="24"/>
          <w:szCs w:val="24"/>
          <w:lang w:val="ca-ES"/>
        </w:rPr>
        <w:t>25,11</w:t>
      </w:r>
      <w:r w:rsidR="00C03DCA">
        <w:rPr>
          <w:b w:val="0"/>
          <w:sz w:val="24"/>
          <w:szCs w:val="24"/>
          <w:lang w:val="ca-ES"/>
        </w:rPr>
        <w:t xml:space="preserve">%). </w:t>
      </w:r>
    </w:p>
    <w:p w:rsidR="00C9238B" w:rsidRDefault="00C9238B" w:rsidP="00767611">
      <w:pPr>
        <w:pStyle w:val="TEXTBOLD"/>
        <w:spacing w:line="276" w:lineRule="auto"/>
        <w:rPr>
          <w:b w:val="0"/>
          <w:sz w:val="24"/>
          <w:szCs w:val="24"/>
          <w:lang w:val="ca-ES"/>
        </w:rPr>
      </w:pPr>
    </w:p>
    <w:p w:rsidR="00767611" w:rsidRPr="007E5C82" w:rsidRDefault="00767611" w:rsidP="00767611">
      <w:pPr>
        <w:pStyle w:val="TEXTBOLD"/>
        <w:spacing w:line="276" w:lineRule="auto"/>
        <w:rPr>
          <w:b w:val="0"/>
          <w:sz w:val="24"/>
          <w:szCs w:val="24"/>
          <w:lang w:val="ca-ES"/>
        </w:rPr>
      </w:pPr>
      <w:r w:rsidRPr="007E5C82">
        <w:rPr>
          <w:b w:val="0"/>
          <w:sz w:val="24"/>
          <w:szCs w:val="24"/>
          <w:lang w:val="ca-ES"/>
        </w:rPr>
        <w:t xml:space="preserve">En atenció a la </w:t>
      </w:r>
      <w:r w:rsidRPr="003616C4">
        <w:rPr>
          <w:b w:val="0"/>
          <w:sz w:val="24"/>
          <w:szCs w:val="24"/>
          <w:u w:val="single"/>
          <w:lang w:val="ca-ES"/>
        </w:rPr>
        <w:t>causa al·legada</w:t>
      </w:r>
      <w:r w:rsidRPr="007E5C82">
        <w:rPr>
          <w:b w:val="0"/>
          <w:sz w:val="24"/>
          <w:szCs w:val="24"/>
          <w:lang w:val="ca-ES"/>
        </w:rPr>
        <w:t xml:space="preserve"> i treballadors afectats,</w:t>
      </w:r>
      <w:r w:rsidR="00643E83">
        <w:rPr>
          <w:b w:val="0"/>
          <w:sz w:val="24"/>
          <w:szCs w:val="24"/>
          <w:lang w:val="ca-ES"/>
        </w:rPr>
        <w:t xml:space="preserve"> pel que fa a les dades acumulades fins el mes d</w:t>
      </w:r>
      <w:r w:rsidR="0034001C">
        <w:rPr>
          <w:b w:val="0"/>
          <w:sz w:val="24"/>
          <w:szCs w:val="24"/>
          <w:lang w:val="ca-ES"/>
        </w:rPr>
        <w:t>’agost</w:t>
      </w:r>
      <w:r w:rsidR="004D4529">
        <w:rPr>
          <w:b w:val="0"/>
          <w:sz w:val="24"/>
          <w:szCs w:val="24"/>
          <w:lang w:val="ca-ES"/>
        </w:rPr>
        <w:t xml:space="preserve"> </w:t>
      </w:r>
      <w:r w:rsidRPr="007E5C82">
        <w:rPr>
          <w:b w:val="0"/>
          <w:sz w:val="24"/>
          <w:szCs w:val="24"/>
          <w:lang w:val="ca-ES"/>
        </w:rPr>
        <w:t>són majoritaris els expedients on s’han al·legat motius de caire econòmic (</w:t>
      </w:r>
      <w:r w:rsidR="00AF4454">
        <w:rPr>
          <w:b w:val="0"/>
          <w:sz w:val="24"/>
          <w:szCs w:val="24"/>
          <w:lang w:val="ca-ES"/>
        </w:rPr>
        <w:t>44,92</w:t>
      </w:r>
      <w:r w:rsidR="00C32619">
        <w:rPr>
          <w:b w:val="0"/>
          <w:sz w:val="24"/>
          <w:szCs w:val="24"/>
          <w:lang w:val="ca-ES"/>
        </w:rPr>
        <w:t>%) –</w:t>
      </w:r>
      <w:r w:rsidR="00AF4454">
        <w:rPr>
          <w:b w:val="0"/>
          <w:sz w:val="24"/>
          <w:szCs w:val="24"/>
          <w:lang w:val="ca-ES"/>
        </w:rPr>
        <w:t xml:space="preserve">1.856 </w:t>
      </w:r>
      <w:r w:rsidR="00C32619">
        <w:rPr>
          <w:b w:val="0"/>
          <w:sz w:val="24"/>
          <w:szCs w:val="24"/>
          <w:lang w:val="ca-ES"/>
        </w:rPr>
        <w:t>treballadors afectats</w:t>
      </w:r>
      <w:r w:rsidRPr="007E5C82">
        <w:rPr>
          <w:b w:val="0"/>
          <w:sz w:val="24"/>
          <w:szCs w:val="24"/>
          <w:lang w:val="ca-ES"/>
        </w:rPr>
        <w:t>-, seg</w:t>
      </w:r>
      <w:r w:rsidR="009517D0">
        <w:rPr>
          <w:b w:val="0"/>
          <w:sz w:val="24"/>
          <w:szCs w:val="24"/>
          <w:lang w:val="ca-ES"/>
        </w:rPr>
        <w:t xml:space="preserve">uits per causes </w:t>
      </w:r>
      <w:r w:rsidR="00AF4454">
        <w:rPr>
          <w:b w:val="0"/>
          <w:sz w:val="24"/>
          <w:szCs w:val="24"/>
          <w:lang w:val="ca-ES"/>
        </w:rPr>
        <w:t>organitzatives</w:t>
      </w:r>
      <w:r w:rsidR="009517D0">
        <w:rPr>
          <w:b w:val="0"/>
          <w:sz w:val="24"/>
          <w:szCs w:val="24"/>
          <w:lang w:val="ca-ES"/>
        </w:rPr>
        <w:t xml:space="preserve"> (</w:t>
      </w:r>
      <w:r w:rsidR="00AF4454">
        <w:rPr>
          <w:b w:val="0"/>
          <w:sz w:val="24"/>
          <w:szCs w:val="24"/>
          <w:lang w:val="ca-ES"/>
        </w:rPr>
        <w:t>32,74</w:t>
      </w:r>
      <w:r w:rsidR="00C32619">
        <w:rPr>
          <w:b w:val="0"/>
          <w:sz w:val="24"/>
          <w:szCs w:val="24"/>
          <w:lang w:val="ca-ES"/>
        </w:rPr>
        <w:t>%) –</w:t>
      </w:r>
      <w:r w:rsidR="00AF4454">
        <w:rPr>
          <w:b w:val="0"/>
          <w:sz w:val="24"/>
          <w:szCs w:val="24"/>
          <w:lang w:val="ca-ES"/>
        </w:rPr>
        <w:t>1.353</w:t>
      </w:r>
      <w:r w:rsidRPr="007E5C82">
        <w:rPr>
          <w:b w:val="0"/>
          <w:sz w:val="24"/>
          <w:szCs w:val="24"/>
          <w:lang w:val="ca-ES"/>
        </w:rPr>
        <w:t xml:space="preserve"> treballadors-, les </w:t>
      </w:r>
      <w:r w:rsidR="00AF4454">
        <w:rPr>
          <w:b w:val="0"/>
          <w:sz w:val="24"/>
          <w:szCs w:val="24"/>
          <w:lang w:val="ca-ES"/>
        </w:rPr>
        <w:t>de producció</w:t>
      </w:r>
      <w:r w:rsidRPr="007E5C82">
        <w:rPr>
          <w:b w:val="0"/>
          <w:sz w:val="24"/>
          <w:szCs w:val="24"/>
          <w:lang w:val="ca-ES"/>
        </w:rPr>
        <w:t xml:space="preserve"> (</w:t>
      </w:r>
      <w:r w:rsidR="00AF4454">
        <w:rPr>
          <w:b w:val="0"/>
          <w:sz w:val="24"/>
          <w:szCs w:val="24"/>
          <w:lang w:val="ca-ES"/>
        </w:rPr>
        <w:t>26,31</w:t>
      </w:r>
      <w:r w:rsidR="009517D0">
        <w:rPr>
          <w:b w:val="0"/>
          <w:sz w:val="24"/>
          <w:szCs w:val="24"/>
          <w:lang w:val="ca-ES"/>
        </w:rPr>
        <w:t>%) –</w:t>
      </w:r>
      <w:r w:rsidR="00AF4454">
        <w:rPr>
          <w:b w:val="0"/>
          <w:sz w:val="24"/>
          <w:szCs w:val="24"/>
          <w:lang w:val="ca-ES"/>
        </w:rPr>
        <w:t>1.087</w:t>
      </w:r>
      <w:r w:rsidRPr="007E5C82">
        <w:rPr>
          <w:b w:val="0"/>
          <w:sz w:val="24"/>
          <w:szCs w:val="24"/>
          <w:lang w:val="ca-ES"/>
        </w:rPr>
        <w:t xml:space="preserve"> treballadors-, per causes </w:t>
      </w:r>
      <w:r w:rsidR="009517D0">
        <w:rPr>
          <w:b w:val="0"/>
          <w:sz w:val="24"/>
          <w:szCs w:val="24"/>
          <w:lang w:val="ca-ES"/>
        </w:rPr>
        <w:t>tècniques i/o tecnològiques (</w:t>
      </w:r>
      <w:r w:rsidR="00AF4454">
        <w:rPr>
          <w:b w:val="0"/>
          <w:sz w:val="24"/>
          <w:szCs w:val="24"/>
          <w:lang w:val="ca-ES"/>
        </w:rPr>
        <w:t>1,65</w:t>
      </w:r>
      <w:r w:rsidRPr="007E5C82">
        <w:rPr>
          <w:b w:val="0"/>
          <w:sz w:val="24"/>
          <w:szCs w:val="24"/>
          <w:lang w:val="ca-ES"/>
        </w:rPr>
        <w:t xml:space="preserve">%)- </w:t>
      </w:r>
      <w:r w:rsidR="00044D0E">
        <w:rPr>
          <w:b w:val="0"/>
          <w:sz w:val="24"/>
          <w:szCs w:val="24"/>
          <w:lang w:val="ca-ES"/>
        </w:rPr>
        <w:t xml:space="preserve">68 </w:t>
      </w:r>
      <w:r w:rsidRPr="007E5C82">
        <w:rPr>
          <w:b w:val="0"/>
          <w:sz w:val="24"/>
          <w:szCs w:val="24"/>
          <w:lang w:val="ca-ES"/>
        </w:rPr>
        <w:t>treballadors-, i per últim les de força major (</w:t>
      </w:r>
      <w:r w:rsidR="00AF4454">
        <w:rPr>
          <w:b w:val="0"/>
          <w:sz w:val="24"/>
          <w:szCs w:val="24"/>
          <w:lang w:val="ca-ES"/>
        </w:rPr>
        <w:t>0,22</w:t>
      </w:r>
      <w:r w:rsidRPr="007E5C82">
        <w:rPr>
          <w:b w:val="0"/>
          <w:sz w:val="24"/>
          <w:szCs w:val="24"/>
          <w:lang w:val="ca-ES"/>
        </w:rPr>
        <w:t xml:space="preserve">%)- </w:t>
      </w:r>
      <w:r w:rsidR="00AF4454">
        <w:rPr>
          <w:b w:val="0"/>
          <w:sz w:val="24"/>
          <w:szCs w:val="24"/>
          <w:lang w:val="ca-ES"/>
        </w:rPr>
        <w:t>9</w:t>
      </w:r>
      <w:r w:rsidRPr="007E5C82">
        <w:rPr>
          <w:b w:val="0"/>
          <w:sz w:val="24"/>
          <w:szCs w:val="24"/>
          <w:lang w:val="ca-ES"/>
        </w:rPr>
        <w:t xml:space="preserve"> treballadors afectats-.</w:t>
      </w:r>
    </w:p>
    <w:p w:rsidR="00767611" w:rsidRDefault="00767611" w:rsidP="00767611">
      <w:pPr>
        <w:pStyle w:val="TEXTBOLD"/>
        <w:spacing w:line="276" w:lineRule="auto"/>
        <w:rPr>
          <w:b w:val="0"/>
          <w:sz w:val="24"/>
          <w:szCs w:val="24"/>
          <w:lang w:val="ca-ES"/>
        </w:rPr>
      </w:pPr>
    </w:p>
    <w:p w:rsidR="00767611" w:rsidRPr="004D4529" w:rsidRDefault="00D8060F" w:rsidP="00767611">
      <w:pPr>
        <w:pStyle w:val="TEXTBOLD"/>
        <w:spacing w:line="276" w:lineRule="auto"/>
        <w:jc w:val="center"/>
        <w:rPr>
          <w:b w:val="0"/>
          <w:sz w:val="24"/>
          <w:szCs w:val="24"/>
          <w:lang w:val="ca-ES"/>
        </w:rPr>
      </w:pPr>
      <w:r>
        <w:rPr>
          <w:noProof/>
          <w:lang w:val="es-ES" w:eastAsia="es-ES"/>
        </w:rPr>
        <w:drawing>
          <wp:inline distT="0" distB="0" distL="0" distR="0" wp14:anchorId="44AB4D1B" wp14:editId="7AB9D368">
            <wp:extent cx="4699221" cy="2862469"/>
            <wp:effectExtent l="0" t="0" r="25400" b="14605"/>
            <wp:docPr id="71" name="Gráfico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67611" w:rsidRPr="00767D0B" w:rsidRDefault="00767611" w:rsidP="00767611">
      <w:pPr>
        <w:pStyle w:val="TEXTBOLD"/>
        <w:spacing w:line="276" w:lineRule="auto"/>
        <w:jc w:val="center"/>
        <w:rPr>
          <w:b w:val="0"/>
          <w:color w:val="FF0000"/>
          <w:sz w:val="18"/>
          <w:szCs w:val="20"/>
          <w:lang w:val="ca-ES"/>
        </w:rPr>
      </w:pPr>
      <w:r w:rsidRPr="00767D0B">
        <w:rPr>
          <w:b w:val="0"/>
          <w:sz w:val="18"/>
          <w:szCs w:val="20"/>
          <w:lang w:val="ca-ES"/>
        </w:rPr>
        <w:t>Font: Elaboració pròpia a partir de les dades de l’Observatori del Treball i Model Productiu.</w:t>
      </w:r>
    </w:p>
    <w:p w:rsidR="00733001" w:rsidRDefault="00733001" w:rsidP="00767611">
      <w:pPr>
        <w:pStyle w:val="TEXTBOLD"/>
        <w:spacing w:line="276" w:lineRule="auto"/>
        <w:rPr>
          <w:b w:val="0"/>
          <w:sz w:val="24"/>
          <w:szCs w:val="24"/>
          <w:lang w:val="ca-ES"/>
        </w:rPr>
      </w:pPr>
    </w:p>
    <w:p w:rsidR="00767611" w:rsidRDefault="00767611" w:rsidP="00767611">
      <w:pPr>
        <w:pStyle w:val="TEXTBOLD"/>
        <w:spacing w:line="276" w:lineRule="auto"/>
        <w:rPr>
          <w:b w:val="0"/>
          <w:sz w:val="24"/>
          <w:szCs w:val="24"/>
          <w:lang w:val="ca-ES"/>
        </w:rPr>
      </w:pPr>
      <w:r w:rsidRPr="003616C4">
        <w:rPr>
          <w:b w:val="0"/>
          <w:sz w:val="24"/>
          <w:szCs w:val="24"/>
          <w:lang w:val="ca-ES"/>
        </w:rPr>
        <w:t>Si tenim en compte les dades corresponents a l’any 201</w:t>
      </w:r>
      <w:r w:rsidR="00044D0E">
        <w:rPr>
          <w:b w:val="0"/>
          <w:sz w:val="24"/>
          <w:szCs w:val="24"/>
          <w:lang w:val="ca-ES"/>
        </w:rPr>
        <w:t>8</w:t>
      </w:r>
      <w:r w:rsidRPr="003616C4">
        <w:rPr>
          <w:b w:val="0"/>
          <w:sz w:val="24"/>
          <w:szCs w:val="24"/>
          <w:lang w:val="ca-ES"/>
        </w:rPr>
        <w:t xml:space="preserve"> i </w:t>
      </w:r>
      <w:r w:rsidRPr="003616C4">
        <w:rPr>
          <w:b w:val="0"/>
          <w:sz w:val="24"/>
          <w:szCs w:val="24"/>
          <w:u w:val="single"/>
          <w:lang w:val="ca-ES"/>
        </w:rPr>
        <w:t>els sectors</w:t>
      </w:r>
      <w:r w:rsidRPr="003616C4">
        <w:rPr>
          <w:b w:val="0"/>
          <w:sz w:val="24"/>
          <w:szCs w:val="24"/>
          <w:lang w:val="ca-ES"/>
        </w:rPr>
        <w:t xml:space="preserve">, dels treballadors afectats per expedients de regulació d’ocupació, el sector amb més treballadors afectats és </w:t>
      </w:r>
      <w:r w:rsidR="00EF0363">
        <w:rPr>
          <w:b w:val="0"/>
          <w:sz w:val="24"/>
          <w:szCs w:val="24"/>
          <w:lang w:val="ca-ES"/>
        </w:rPr>
        <w:t>la indústria (48,02</w:t>
      </w:r>
      <w:r w:rsidRPr="003616C4">
        <w:rPr>
          <w:b w:val="0"/>
          <w:sz w:val="24"/>
          <w:szCs w:val="24"/>
          <w:lang w:val="ca-ES"/>
        </w:rPr>
        <w:t>% sobre el tota</w:t>
      </w:r>
      <w:r w:rsidR="00E933B7">
        <w:rPr>
          <w:b w:val="0"/>
          <w:sz w:val="24"/>
          <w:szCs w:val="24"/>
          <w:lang w:val="ca-ES"/>
        </w:rPr>
        <w:t xml:space="preserve">l) amb </w:t>
      </w:r>
      <w:r w:rsidR="00EF0363">
        <w:rPr>
          <w:b w:val="0"/>
          <w:sz w:val="24"/>
          <w:szCs w:val="24"/>
          <w:lang w:val="ca-ES"/>
        </w:rPr>
        <w:t>1.984</w:t>
      </w:r>
      <w:r w:rsidRPr="003616C4">
        <w:rPr>
          <w:b w:val="0"/>
          <w:sz w:val="24"/>
          <w:szCs w:val="24"/>
          <w:lang w:val="ca-ES"/>
        </w:rPr>
        <w:t xml:space="preserve"> treballadors, seguit de</w:t>
      </w:r>
      <w:r w:rsidR="00EF0363">
        <w:rPr>
          <w:b w:val="0"/>
          <w:sz w:val="24"/>
          <w:szCs w:val="24"/>
          <w:lang w:val="ca-ES"/>
        </w:rPr>
        <w:t>l sector serveis</w:t>
      </w:r>
      <w:r w:rsidR="00E933B7">
        <w:rPr>
          <w:b w:val="0"/>
          <w:sz w:val="24"/>
          <w:szCs w:val="24"/>
          <w:lang w:val="ca-ES"/>
        </w:rPr>
        <w:t xml:space="preserve"> </w:t>
      </w:r>
      <w:r w:rsidRPr="003616C4">
        <w:rPr>
          <w:b w:val="0"/>
          <w:sz w:val="24"/>
          <w:szCs w:val="24"/>
          <w:lang w:val="ca-ES"/>
        </w:rPr>
        <w:t>(</w:t>
      </w:r>
      <w:r w:rsidR="00EF0363">
        <w:rPr>
          <w:b w:val="0"/>
          <w:sz w:val="24"/>
          <w:szCs w:val="24"/>
          <w:lang w:val="ca-ES"/>
        </w:rPr>
        <w:t>30,25</w:t>
      </w:r>
      <w:r w:rsidRPr="003616C4">
        <w:rPr>
          <w:b w:val="0"/>
          <w:sz w:val="24"/>
          <w:szCs w:val="24"/>
          <w:lang w:val="ca-ES"/>
        </w:rPr>
        <w:t xml:space="preserve">%) amb </w:t>
      </w:r>
      <w:r w:rsidR="00EF0363">
        <w:rPr>
          <w:b w:val="0"/>
          <w:sz w:val="24"/>
          <w:szCs w:val="24"/>
          <w:lang w:val="ca-ES"/>
        </w:rPr>
        <w:t>1.250</w:t>
      </w:r>
      <w:r w:rsidR="003530F1">
        <w:rPr>
          <w:b w:val="0"/>
          <w:sz w:val="24"/>
          <w:szCs w:val="24"/>
          <w:lang w:val="ca-ES"/>
        </w:rPr>
        <w:t>, l</w:t>
      </w:r>
      <w:r w:rsidR="00EF0363">
        <w:rPr>
          <w:b w:val="0"/>
          <w:sz w:val="24"/>
          <w:szCs w:val="24"/>
          <w:lang w:val="ca-ES"/>
        </w:rPr>
        <w:t>a construcció</w:t>
      </w:r>
      <w:r w:rsidR="00E933B7">
        <w:rPr>
          <w:b w:val="0"/>
          <w:sz w:val="24"/>
          <w:szCs w:val="24"/>
          <w:lang w:val="ca-ES"/>
        </w:rPr>
        <w:t xml:space="preserve"> (</w:t>
      </w:r>
      <w:r w:rsidR="00EF0363">
        <w:rPr>
          <w:b w:val="0"/>
          <w:sz w:val="24"/>
          <w:szCs w:val="24"/>
          <w:lang w:val="ca-ES"/>
        </w:rPr>
        <w:t>19,75</w:t>
      </w:r>
      <w:r w:rsidRPr="003616C4">
        <w:rPr>
          <w:b w:val="0"/>
          <w:sz w:val="24"/>
          <w:szCs w:val="24"/>
          <w:lang w:val="ca-ES"/>
        </w:rPr>
        <w:t xml:space="preserve">%) amb  </w:t>
      </w:r>
      <w:r w:rsidR="00EF0363">
        <w:rPr>
          <w:b w:val="0"/>
          <w:sz w:val="24"/>
          <w:szCs w:val="24"/>
          <w:lang w:val="ca-ES"/>
        </w:rPr>
        <w:t>816</w:t>
      </w:r>
      <w:r w:rsidRPr="003616C4">
        <w:rPr>
          <w:b w:val="0"/>
          <w:sz w:val="24"/>
          <w:szCs w:val="24"/>
          <w:lang w:val="ca-ES"/>
        </w:rPr>
        <w:t xml:space="preserve"> treballadors, i per últim el sector de </w:t>
      </w:r>
      <w:r w:rsidR="00E933B7">
        <w:rPr>
          <w:b w:val="0"/>
          <w:sz w:val="24"/>
          <w:szCs w:val="24"/>
          <w:lang w:val="ca-ES"/>
        </w:rPr>
        <w:t>l</w:t>
      </w:r>
      <w:r w:rsidR="00EF0363">
        <w:rPr>
          <w:b w:val="0"/>
          <w:sz w:val="24"/>
          <w:szCs w:val="24"/>
          <w:lang w:val="ca-ES"/>
        </w:rPr>
        <w:t>’agricultura</w:t>
      </w:r>
      <w:r w:rsidRPr="003616C4">
        <w:rPr>
          <w:b w:val="0"/>
          <w:sz w:val="24"/>
          <w:szCs w:val="24"/>
          <w:lang w:val="ca-ES"/>
        </w:rPr>
        <w:t xml:space="preserve"> (</w:t>
      </w:r>
      <w:r w:rsidR="00EF0363">
        <w:rPr>
          <w:b w:val="0"/>
          <w:sz w:val="24"/>
          <w:szCs w:val="24"/>
          <w:lang w:val="ca-ES"/>
        </w:rPr>
        <w:t>1,98</w:t>
      </w:r>
      <w:r w:rsidRPr="003616C4">
        <w:rPr>
          <w:b w:val="0"/>
          <w:sz w:val="24"/>
          <w:szCs w:val="24"/>
          <w:lang w:val="ca-ES"/>
        </w:rPr>
        <w:t xml:space="preserve">%) amb </w:t>
      </w:r>
      <w:r w:rsidR="00EF0363">
        <w:rPr>
          <w:b w:val="0"/>
          <w:sz w:val="24"/>
          <w:szCs w:val="24"/>
          <w:lang w:val="ca-ES"/>
        </w:rPr>
        <w:t>82</w:t>
      </w:r>
      <w:r w:rsidR="00E933B7">
        <w:rPr>
          <w:b w:val="0"/>
          <w:sz w:val="24"/>
          <w:szCs w:val="24"/>
          <w:lang w:val="ca-ES"/>
        </w:rPr>
        <w:t xml:space="preserve"> </w:t>
      </w:r>
      <w:r w:rsidRPr="003616C4">
        <w:rPr>
          <w:b w:val="0"/>
          <w:sz w:val="24"/>
          <w:szCs w:val="24"/>
          <w:lang w:val="ca-ES"/>
        </w:rPr>
        <w:t>treballadors.</w:t>
      </w:r>
    </w:p>
    <w:p w:rsidR="00767D0B" w:rsidRDefault="00767D0B" w:rsidP="00767611">
      <w:pPr>
        <w:pStyle w:val="TEXTBOLD"/>
        <w:spacing w:line="276" w:lineRule="auto"/>
        <w:rPr>
          <w:b w:val="0"/>
          <w:sz w:val="24"/>
          <w:szCs w:val="24"/>
          <w:lang w:val="ca-ES"/>
        </w:rPr>
      </w:pPr>
    </w:p>
    <w:p w:rsidR="00767611" w:rsidRPr="00EA5418" w:rsidRDefault="00EF0363" w:rsidP="00767611">
      <w:pPr>
        <w:pStyle w:val="TEXTBOLD"/>
        <w:spacing w:line="276" w:lineRule="auto"/>
        <w:jc w:val="center"/>
        <w:rPr>
          <w:b w:val="0"/>
          <w:sz w:val="24"/>
          <w:szCs w:val="24"/>
          <w:lang w:val="ca-ES"/>
        </w:rPr>
      </w:pPr>
      <w:r>
        <w:rPr>
          <w:noProof/>
          <w:lang w:val="es-ES" w:eastAsia="es-ES"/>
        </w:rPr>
        <w:drawing>
          <wp:inline distT="0" distB="0" distL="0" distR="0" wp14:anchorId="45F02B60" wp14:editId="29BCDF9D">
            <wp:extent cx="4771090" cy="3460751"/>
            <wp:effectExtent l="0" t="0" r="10795" b="25400"/>
            <wp:docPr id="72" name="Gráfico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67611" w:rsidRDefault="00767611" w:rsidP="00767611">
      <w:pPr>
        <w:pStyle w:val="TEXTBOLD"/>
        <w:spacing w:line="276" w:lineRule="auto"/>
        <w:jc w:val="center"/>
        <w:rPr>
          <w:b w:val="0"/>
          <w:sz w:val="18"/>
          <w:szCs w:val="20"/>
          <w:lang w:val="ca-ES"/>
        </w:rPr>
      </w:pPr>
      <w:r w:rsidRPr="00767D0B">
        <w:rPr>
          <w:b w:val="0"/>
          <w:sz w:val="18"/>
          <w:szCs w:val="20"/>
          <w:lang w:val="ca-ES"/>
        </w:rPr>
        <w:t>Font: Elaboració pròpia a partir de les dades de l’Observatori del Treball i Model Productiu.</w:t>
      </w:r>
    </w:p>
    <w:p w:rsidR="00767D0B" w:rsidRPr="00767D0B" w:rsidRDefault="00767D0B" w:rsidP="00767611">
      <w:pPr>
        <w:pStyle w:val="TEXTBOLD"/>
        <w:spacing w:line="276" w:lineRule="auto"/>
        <w:jc w:val="center"/>
        <w:rPr>
          <w:b w:val="0"/>
          <w:color w:val="FF0000"/>
          <w:sz w:val="18"/>
          <w:szCs w:val="20"/>
          <w:lang w:val="ca-ES"/>
        </w:rPr>
      </w:pPr>
    </w:p>
    <w:p w:rsidR="00767611" w:rsidRPr="00EA5418" w:rsidRDefault="00767611" w:rsidP="00767611">
      <w:pPr>
        <w:pStyle w:val="TEXTBOLD"/>
        <w:spacing w:line="276" w:lineRule="auto"/>
        <w:rPr>
          <w:b w:val="0"/>
          <w:sz w:val="24"/>
          <w:szCs w:val="24"/>
          <w:lang w:val="ca-ES"/>
        </w:rPr>
      </w:pPr>
      <w:r w:rsidRPr="00EA5418">
        <w:rPr>
          <w:b w:val="0"/>
          <w:sz w:val="24"/>
          <w:szCs w:val="24"/>
          <w:lang w:val="ca-ES"/>
        </w:rPr>
        <w:t xml:space="preserve">En el </w:t>
      </w:r>
      <w:r>
        <w:rPr>
          <w:b w:val="0"/>
          <w:sz w:val="24"/>
          <w:szCs w:val="24"/>
          <w:lang w:val="ca-ES"/>
        </w:rPr>
        <w:t>gràfic següent</w:t>
      </w:r>
      <w:r w:rsidRPr="00EA5418">
        <w:rPr>
          <w:b w:val="0"/>
          <w:sz w:val="24"/>
          <w:szCs w:val="24"/>
          <w:lang w:val="ca-ES"/>
        </w:rPr>
        <w:t xml:space="preserve"> es pot observar la distribució del nombre de treballadors afectats en atenció al sector i tipus d’expedient:  </w:t>
      </w:r>
    </w:p>
    <w:p w:rsidR="00767611" w:rsidRPr="00EA5418" w:rsidRDefault="00767611" w:rsidP="00767611">
      <w:pPr>
        <w:pStyle w:val="TEXTBOLD"/>
        <w:spacing w:line="276" w:lineRule="auto"/>
        <w:jc w:val="center"/>
        <w:rPr>
          <w:b w:val="0"/>
          <w:lang w:val="ca-ES"/>
        </w:rPr>
      </w:pPr>
    </w:p>
    <w:p w:rsidR="00767611" w:rsidRPr="00101C1A" w:rsidRDefault="00101C1A" w:rsidP="00767611">
      <w:pPr>
        <w:pStyle w:val="TEXTBOLD"/>
        <w:keepNext/>
        <w:spacing w:line="276" w:lineRule="auto"/>
        <w:jc w:val="center"/>
        <w:rPr>
          <w:lang w:val="ca-ES"/>
        </w:rPr>
      </w:pPr>
      <w:r>
        <w:rPr>
          <w:noProof/>
          <w:lang w:val="es-ES" w:eastAsia="es-ES"/>
        </w:rPr>
        <w:drawing>
          <wp:inline distT="0" distB="0" distL="0" distR="0" wp14:anchorId="4DDB466D" wp14:editId="7029ACDF">
            <wp:extent cx="5612130" cy="3188970"/>
            <wp:effectExtent l="0" t="0" r="26670" b="11430"/>
            <wp:docPr id="73" name="Gráfico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67611" w:rsidRPr="00767D0B" w:rsidRDefault="00767611" w:rsidP="00767611">
      <w:pPr>
        <w:pStyle w:val="TEXTBOLD"/>
        <w:spacing w:line="276" w:lineRule="auto"/>
        <w:jc w:val="center"/>
        <w:rPr>
          <w:b w:val="0"/>
          <w:color w:val="FF0000"/>
          <w:sz w:val="18"/>
          <w:szCs w:val="20"/>
          <w:lang w:val="ca-ES"/>
        </w:rPr>
      </w:pPr>
      <w:r w:rsidRPr="00767D0B">
        <w:rPr>
          <w:b w:val="0"/>
          <w:sz w:val="18"/>
          <w:szCs w:val="20"/>
          <w:lang w:val="ca-ES"/>
        </w:rPr>
        <w:t>Font: Elaboració pròpia a partir de les dades de l’Observatori del Treball i Model Productiu.</w:t>
      </w:r>
    </w:p>
    <w:p w:rsidR="00767611" w:rsidRDefault="00767611" w:rsidP="00767611">
      <w:pPr>
        <w:tabs>
          <w:tab w:val="left" w:pos="6135"/>
        </w:tabs>
        <w:spacing w:line="276" w:lineRule="auto"/>
        <w:jc w:val="center"/>
        <w:rPr>
          <w:rFonts w:ascii="Rotis Sans Serif Std" w:hAnsi="Rotis Sans Serif Std"/>
          <w:color w:val="404040"/>
          <w:sz w:val="18"/>
        </w:rPr>
      </w:pPr>
    </w:p>
    <w:p w:rsidR="00767611" w:rsidRPr="003B34A5" w:rsidRDefault="00767611" w:rsidP="00767611">
      <w:pPr>
        <w:pStyle w:val="TEXTBOLD"/>
        <w:spacing w:line="276" w:lineRule="auto"/>
        <w:rPr>
          <w:b w:val="0"/>
          <w:sz w:val="24"/>
          <w:szCs w:val="24"/>
          <w:lang w:val="ca-ES"/>
        </w:rPr>
      </w:pPr>
      <w:r w:rsidRPr="003B34A5">
        <w:rPr>
          <w:b w:val="0"/>
          <w:sz w:val="24"/>
          <w:szCs w:val="24"/>
          <w:u w:val="single"/>
          <w:lang w:val="ca-ES"/>
        </w:rPr>
        <w:t>Segons l’àmbit territorial</w:t>
      </w:r>
      <w:r w:rsidRPr="003B34A5">
        <w:rPr>
          <w:b w:val="0"/>
          <w:sz w:val="24"/>
          <w:szCs w:val="24"/>
          <w:lang w:val="ca-ES"/>
        </w:rPr>
        <w:t xml:space="preserve">, tenint en consideració les dades </w:t>
      </w:r>
      <w:r w:rsidR="00E933B7">
        <w:rPr>
          <w:b w:val="0"/>
          <w:sz w:val="24"/>
          <w:szCs w:val="24"/>
          <w:lang w:val="ca-ES"/>
        </w:rPr>
        <w:t>acumulades fins a</w:t>
      </w:r>
      <w:r w:rsidR="00BB3959">
        <w:rPr>
          <w:b w:val="0"/>
          <w:sz w:val="24"/>
          <w:szCs w:val="24"/>
          <w:lang w:val="ca-ES"/>
        </w:rPr>
        <w:t xml:space="preserve"> </w:t>
      </w:r>
      <w:r w:rsidR="00E933B7">
        <w:rPr>
          <w:b w:val="0"/>
          <w:sz w:val="24"/>
          <w:szCs w:val="24"/>
          <w:lang w:val="ca-ES"/>
        </w:rPr>
        <w:t>l</w:t>
      </w:r>
      <w:r w:rsidR="00BB3959">
        <w:rPr>
          <w:b w:val="0"/>
          <w:sz w:val="24"/>
          <w:szCs w:val="24"/>
          <w:lang w:val="ca-ES"/>
        </w:rPr>
        <w:t>’agost</w:t>
      </w:r>
      <w:r w:rsidR="00E933B7">
        <w:rPr>
          <w:b w:val="0"/>
          <w:sz w:val="24"/>
          <w:szCs w:val="24"/>
          <w:lang w:val="ca-ES"/>
        </w:rPr>
        <w:t xml:space="preserve"> </w:t>
      </w:r>
      <w:r w:rsidRPr="003B34A5">
        <w:rPr>
          <w:b w:val="0"/>
          <w:sz w:val="24"/>
          <w:szCs w:val="24"/>
          <w:lang w:val="ca-ES"/>
        </w:rPr>
        <w:t>de 201</w:t>
      </w:r>
      <w:r w:rsidR="00BC1B4D">
        <w:rPr>
          <w:b w:val="0"/>
          <w:sz w:val="24"/>
          <w:szCs w:val="24"/>
          <w:lang w:val="ca-ES"/>
        </w:rPr>
        <w:t>8</w:t>
      </w:r>
      <w:r w:rsidRPr="003B34A5">
        <w:rPr>
          <w:b w:val="0"/>
          <w:sz w:val="24"/>
          <w:szCs w:val="24"/>
          <w:lang w:val="ca-ES"/>
        </w:rPr>
        <w:t xml:space="preserve">, dels </w:t>
      </w:r>
      <w:r w:rsidR="00BB3959">
        <w:rPr>
          <w:b w:val="0"/>
          <w:sz w:val="24"/>
          <w:szCs w:val="24"/>
          <w:lang w:val="ca-ES"/>
        </w:rPr>
        <w:t>185</w:t>
      </w:r>
      <w:r w:rsidR="00BC1B4D">
        <w:rPr>
          <w:b w:val="0"/>
          <w:sz w:val="24"/>
          <w:szCs w:val="24"/>
          <w:lang w:val="ca-ES"/>
        </w:rPr>
        <w:t xml:space="preserve"> </w:t>
      </w:r>
      <w:r w:rsidRPr="003B34A5">
        <w:rPr>
          <w:b w:val="0"/>
          <w:sz w:val="24"/>
          <w:szCs w:val="24"/>
          <w:lang w:val="ca-ES"/>
        </w:rPr>
        <w:t xml:space="preserve">expedients presentats, </w:t>
      </w:r>
      <w:r w:rsidR="00BB3959">
        <w:rPr>
          <w:b w:val="0"/>
          <w:sz w:val="24"/>
          <w:szCs w:val="24"/>
          <w:lang w:val="ca-ES"/>
        </w:rPr>
        <w:t>138</w:t>
      </w:r>
      <w:r w:rsidR="00BC1B4D">
        <w:rPr>
          <w:b w:val="0"/>
          <w:sz w:val="24"/>
          <w:szCs w:val="24"/>
          <w:lang w:val="ca-ES"/>
        </w:rPr>
        <w:t xml:space="preserve"> </w:t>
      </w:r>
      <w:r w:rsidRPr="003B34A5">
        <w:rPr>
          <w:b w:val="0"/>
          <w:sz w:val="24"/>
          <w:szCs w:val="24"/>
          <w:lang w:val="ca-ES"/>
        </w:rPr>
        <w:t>es van presentar als serveis territorials de Barcelona (</w:t>
      </w:r>
      <w:r w:rsidR="00BB3959">
        <w:rPr>
          <w:b w:val="0"/>
          <w:sz w:val="24"/>
          <w:szCs w:val="24"/>
          <w:lang w:val="ca-ES"/>
        </w:rPr>
        <w:t>74,59</w:t>
      </w:r>
      <w:r w:rsidRPr="003B34A5">
        <w:rPr>
          <w:b w:val="0"/>
          <w:sz w:val="24"/>
          <w:szCs w:val="24"/>
          <w:lang w:val="ca-ES"/>
        </w:rPr>
        <w:t xml:space="preserve">%), </w:t>
      </w:r>
      <w:r w:rsidR="00BC1B4D">
        <w:rPr>
          <w:b w:val="0"/>
          <w:sz w:val="24"/>
          <w:szCs w:val="24"/>
          <w:lang w:val="ca-ES"/>
        </w:rPr>
        <w:t>1</w:t>
      </w:r>
      <w:r w:rsidR="00BB3959">
        <w:rPr>
          <w:b w:val="0"/>
          <w:sz w:val="24"/>
          <w:szCs w:val="24"/>
          <w:lang w:val="ca-ES"/>
        </w:rPr>
        <w:t>7</w:t>
      </w:r>
      <w:r w:rsidR="00E933B7">
        <w:rPr>
          <w:b w:val="0"/>
          <w:sz w:val="24"/>
          <w:szCs w:val="24"/>
          <w:lang w:val="ca-ES"/>
        </w:rPr>
        <w:t xml:space="preserve"> als de Girona (</w:t>
      </w:r>
      <w:r w:rsidR="00BB3959">
        <w:rPr>
          <w:b w:val="0"/>
          <w:sz w:val="24"/>
          <w:szCs w:val="24"/>
          <w:lang w:val="ca-ES"/>
        </w:rPr>
        <w:t>9,19</w:t>
      </w:r>
      <w:r w:rsidRPr="003B34A5">
        <w:rPr>
          <w:b w:val="0"/>
          <w:sz w:val="24"/>
          <w:szCs w:val="24"/>
          <w:lang w:val="ca-ES"/>
        </w:rPr>
        <w:t xml:space="preserve">%), </w:t>
      </w:r>
      <w:r w:rsidR="00BC1B4D">
        <w:rPr>
          <w:b w:val="0"/>
          <w:sz w:val="24"/>
          <w:szCs w:val="24"/>
          <w:lang w:val="ca-ES"/>
        </w:rPr>
        <w:t>5</w:t>
      </w:r>
      <w:r w:rsidRPr="003B34A5">
        <w:rPr>
          <w:b w:val="0"/>
          <w:sz w:val="24"/>
          <w:szCs w:val="24"/>
          <w:lang w:val="ca-ES"/>
        </w:rPr>
        <w:t xml:space="preserve"> a Lleida (</w:t>
      </w:r>
      <w:r w:rsidR="00E942A2">
        <w:rPr>
          <w:b w:val="0"/>
          <w:sz w:val="24"/>
          <w:szCs w:val="24"/>
          <w:lang w:val="ca-ES"/>
        </w:rPr>
        <w:t>2,70</w:t>
      </w:r>
      <w:r w:rsidRPr="003B34A5">
        <w:rPr>
          <w:b w:val="0"/>
          <w:sz w:val="24"/>
          <w:szCs w:val="24"/>
          <w:lang w:val="ca-ES"/>
        </w:rPr>
        <w:t xml:space="preserve">%), </w:t>
      </w:r>
      <w:r w:rsidR="00E942A2">
        <w:rPr>
          <w:b w:val="0"/>
          <w:sz w:val="24"/>
          <w:szCs w:val="24"/>
          <w:lang w:val="ca-ES"/>
        </w:rPr>
        <w:t>11</w:t>
      </w:r>
      <w:r w:rsidRPr="003B34A5">
        <w:rPr>
          <w:b w:val="0"/>
          <w:sz w:val="24"/>
          <w:szCs w:val="24"/>
          <w:lang w:val="ca-ES"/>
        </w:rPr>
        <w:t xml:space="preserve"> a Tarragona (</w:t>
      </w:r>
      <w:r w:rsidR="00E942A2">
        <w:rPr>
          <w:b w:val="0"/>
          <w:sz w:val="24"/>
          <w:szCs w:val="24"/>
          <w:lang w:val="ca-ES"/>
        </w:rPr>
        <w:t>5,95</w:t>
      </w:r>
      <w:r w:rsidR="0083255D">
        <w:rPr>
          <w:b w:val="0"/>
          <w:sz w:val="24"/>
          <w:szCs w:val="24"/>
          <w:lang w:val="ca-ES"/>
        </w:rPr>
        <w:t xml:space="preserve">%),  </w:t>
      </w:r>
      <w:r w:rsidR="00E942A2">
        <w:rPr>
          <w:b w:val="0"/>
          <w:sz w:val="24"/>
          <w:szCs w:val="24"/>
          <w:lang w:val="ca-ES"/>
        </w:rPr>
        <w:t>11</w:t>
      </w:r>
      <w:r w:rsidRPr="003B34A5">
        <w:rPr>
          <w:b w:val="0"/>
          <w:sz w:val="24"/>
          <w:szCs w:val="24"/>
          <w:lang w:val="ca-ES"/>
        </w:rPr>
        <w:t xml:space="preserve"> a Terres de l’Ebre (</w:t>
      </w:r>
      <w:r w:rsidR="00E942A2">
        <w:rPr>
          <w:b w:val="0"/>
          <w:sz w:val="24"/>
          <w:szCs w:val="24"/>
          <w:lang w:val="ca-ES"/>
        </w:rPr>
        <w:t>5,95</w:t>
      </w:r>
      <w:r w:rsidRPr="003B34A5">
        <w:rPr>
          <w:b w:val="0"/>
          <w:sz w:val="24"/>
          <w:szCs w:val="24"/>
          <w:lang w:val="ca-ES"/>
        </w:rPr>
        <w:t xml:space="preserve">%) i </w:t>
      </w:r>
      <w:r w:rsidR="00BC1B4D">
        <w:rPr>
          <w:b w:val="0"/>
          <w:sz w:val="24"/>
          <w:szCs w:val="24"/>
          <w:lang w:val="ca-ES"/>
        </w:rPr>
        <w:t>3</w:t>
      </w:r>
      <w:r w:rsidRPr="003B34A5">
        <w:rPr>
          <w:b w:val="0"/>
          <w:sz w:val="24"/>
          <w:szCs w:val="24"/>
          <w:lang w:val="ca-ES"/>
        </w:rPr>
        <w:t xml:space="preserve"> a la Direcció General de Relacions Laborals i Qualitat en el Treball (</w:t>
      </w:r>
      <w:r w:rsidR="00E942A2">
        <w:rPr>
          <w:b w:val="0"/>
          <w:sz w:val="24"/>
          <w:szCs w:val="24"/>
          <w:lang w:val="ca-ES"/>
        </w:rPr>
        <w:t>1,62</w:t>
      </w:r>
      <w:r w:rsidRPr="003B34A5">
        <w:rPr>
          <w:b w:val="0"/>
          <w:sz w:val="24"/>
          <w:szCs w:val="24"/>
          <w:lang w:val="ca-ES"/>
        </w:rPr>
        <w:t>%).</w:t>
      </w:r>
    </w:p>
    <w:p w:rsidR="00767611" w:rsidRDefault="00767611" w:rsidP="00767611">
      <w:pPr>
        <w:pStyle w:val="TEXTBOLD"/>
        <w:spacing w:line="276" w:lineRule="auto"/>
        <w:rPr>
          <w:b w:val="0"/>
          <w:sz w:val="24"/>
          <w:lang w:val="ca-ES"/>
        </w:rPr>
      </w:pPr>
    </w:p>
    <w:p w:rsidR="00767611" w:rsidRPr="00BE1F8E" w:rsidRDefault="00BB3959" w:rsidP="00767611">
      <w:pPr>
        <w:pStyle w:val="TEXTBOLD"/>
        <w:spacing w:line="276" w:lineRule="auto"/>
        <w:jc w:val="center"/>
        <w:rPr>
          <w:b w:val="0"/>
          <w:lang w:val="ca-ES"/>
        </w:rPr>
      </w:pPr>
      <w:r>
        <w:rPr>
          <w:noProof/>
          <w:lang w:val="es-ES" w:eastAsia="es-ES"/>
        </w:rPr>
        <w:drawing>
          <wp:inline distT="0" distB="0" distL="0" distR="0" wp14:anchorId="09D9C8B9" wp14:editId="02F60F4B">
            <wp:extent cx="4572000" cy="2743200"/>
            <wp:effectExtent l="0" t="0" r="19050" b="19050"/>
            <wp:docPr id="74" name="Gráfico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67611" w:rsidRPr="00767D0B" w:rsidRDefault="00767611" w:rsidP="00767611">
      <w:pPr>
        <w:pStyle w:val="TEXTBOLD"/>
        <w:spacing w:line="276" w:lineRule="auto"/>
        <w:jc w:val="center"/>
        <w:rPr>
          <w:b w:val="0"/>
          <w:color w:val="FF0000"/>
          <w:sz w:val="18"/>
          <w:szCs w:val="20"/>
          <w:lang w:val="ca-ES"/>
        </w:rPr>
      </w:pPr>
      <w:r w:rsidRPr="00767D0B">
        <w:rPr>
          <w:b w:val="0"/>
          <w:sz w:val="18"/>
          <w:szCs w:val="20"/>
          <w:lang w:val="ca-ES"/>
        </w:rPr>
        <w:t>Font: Elaboració pròpia a partir de les dades de l’Observatori del Treball i Model Productiu.</w:t>
      </w:r>
    </w:p>
    <w:p w:rsidR="00767611" w:rsidRPr="00EA5418" w:rsidRDefault="00404E0E" w:rsidP="00767611">
      <w:pPr>
        <w:tabs>
          <w:tab w:val="left" w:pos="6135"/>
        </w:tabs>
        <w:spacing w:line="276" w:lineRule="auto"/>
        <w:jc w:val="center"/>
        <w:rPr>
          <w:rFonts w:ascii="Rotis Sans Serif Std" w:hAnsi="Rotis Sans Serif Std" w:cs="RotisSansSerifStd-Regular"/>
          <w:bCs/>
          <w:color w:val="5E6061"/>
          <w:szCs w:val="22"/>
          <w:lang w:eastAsia="es-ES_tradnl"/>
        </w:rPr>
      </w:pPr>
      <w:r>
        <w:rPr>
          <w:noProof/>
          <w:lang w:val="es-ES" w:eastAsia="es-ES"/>
        </w:rPr>
        <w:drawing>
          <wp:inline distT="0" distB="0" distL="0" distR="0" wp14:anchorId="34B5588F" wp14:editId="2C133527">
            <wp:extent cx="5038725" cy="2995613"/>
            <wp:effectExtent l="0" t="0" r="9525" b="14605"/>
            <wp:docPr id="75" name="Gráfico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67611" w:rsidRDefault="00767611" w:rsidP="00767611">
      <w:pPr>
        <w:pStyle w:val="TEXTBOLD"/>
        <w:spacing w:line="276" w:lineRule="auto"/>
        <w:jc w:val="center"/>
        <w:rPr>
          <w:b w:val="0"/>
          <w:sz w:val="20"/>
          <w:szCs w:val="20"/>
          <w:lang w:val="ca-ES"/>
        </w:rPr>
      </w:pPr>
      <w:r w:rsidRPr="00767D0B">
        <w:rPr>
          <w:b w:val="0"/>
          <w:sz w:val="18"/>
          <w:szCs w:val="20"/>
          <w:lang w:val="ca-ES"/>
        </w:rPr>
        <w:t>Font: Elaboració pròpia a partir de les dades de l’Observatori del Treball i Model Productiu.</w:t>
      </w:r>
    </w:p>
    <w:p w:rsidR="003C06A1" w:rsidRDefault="003C06A1" w:rsidP="00767611">
      <w:pPr>
        <w:tabs>
          <w:tab w:val="left" w:pos="6135"/>
        </w:tabs>
        <w:spacing w:line="276" w:lineRule="auto"/>
        <w:jc w:val="both"/>
        <w:rPr>
          <w:rFonts w:ascii="Rotis Sans Serif Std" w:hAnsi="Rotis Sans Serif Std" w:cs="RotisSansSerifStd-Regular"/>
          <w:bCs/>
          <w:color w:val="5E6061"/>
          <w:szCs w:val="22"/>
          <w:lang w:eastAsia="es-ES_tradnl"/>
        </w:rPr>
      </w:pPr>
    </w:p>
    <w:p w:rsidR="00767611" w:rsidRDefault="00767611" w:rsidP="00767611">
      <w:pPr>
        <w:tabs>
          <w:tab w:val="left" w:pos="6135"/>
        </w:tabs>
        <w:spacing w:line="276" w:lineRule="auto"/>
        <w:jc w:val="both"/>
        <w:rPr>
          <w:rFonts w:ascii="Rotis Sans Serif Std" w:hAnsi="Rotis Sans Serif Std" w:cs="RotisSansSerifStd-Regular"/>
          <w:bCs/>
          <w:color w:val="5E6061"/>
          <w:szCs w:val="22"/>
          <w:lang w:eastAsia="es-ES_tradnl"/>
        </w:rPr>
      </w:pPr>
      <w:r w:rsidRPr="00EA5418">
        <w:rPr>
          <w:rFonts w:ascii="Rotis Sans Serif Std" w:hAnsi="Rotis Sans Serif Std" w:cs="RotisSansSerifStd-Regular"/>
          <w:bCs/>
          <w:color w:val="5E6061"/>
          <w:szCs w:val="22"/>
          <w:lang w:eastAsia="es-ES_tradnl"/>
        </w:rPr>
        <w:t xml:space="preserve">A </w:t>
      </w:r>
      <w:r w:rsidRPr="00EA5418">
        <w:rPr>
          <w:rFonts w:ascii="Rotis Sans Serif Std" w:hAnsi="Rotis Sans Serif Std" w:cs="RotisSansSerifStd-Regular"/>
          <w:bCs/>
          <w:color w:val="5E6061"/>
          <w:szCs w:val="22"/>
          <w:u w:val="single"/>
          <w:lang w:eastAsia="es-ES_tradnl"/>
        </w:rPr>
        <w:t>Barcelona</w:t>
      </w:r>
      <w:r w:rsidRPr="00EA5418">
        <w:rPr>
          <w:rFonts w:ascii="Rotis Sans Serif Std" w:hAnsi="Rotis Sans Serif Std" w:cs="RotisSansSerifStd-Regular"/>
          <w:bCs/>
          <w:color w:val="5E6061"/>
          <w:szCs w:val="22"/>
          <w:lang w:eastAsia="es-ES_tradnl"/>
        </w:rPr>
        <w:t xml:space="preserve">, del total de </w:t>
      </w:r>
      <w:r w:rsidR="00404E0E">
        <w:rPr>
          <w:rFonts w:ascii="Rotis Sans Serif Std" w:hAnsi="Rotis Sans Serif Std" w:cs="RotisSansSerifStd-Regular"/>
          <w:bCs/>
          <w:color w:val="5E6061"/>
          <w:szCs w:val="22"/>
          <w:lang w:eastAsia="es-ES_tradnl"/>
        </w:rPr>
        <w:t>138</w:t>
      </w:r>
      <w:r w:rsidR="0083255D">
        <w:rPr>
          <w:rFonts w:ascii="Rotis Sans Serif Std" w:hAnsi="Rotis Sans Serif Std" w:cs="RotisSansSerifStd-Regular"/>
          <w:bCs/>
          <w:color w:val="5E6061"/>
          <w:szCs w:val="22"/>
          <w:lang w:eastAsia="es-ES_tradnl"/>
        </w:rPr>
        <w:t xml:space="preserve"> expedients,</w:t>
      </w:r>
      <w:r w:rsidR="003C06A1">
        <w:rPr>
          <w:rFonts w:ascii="Rotis Sans Serif Std" w:hAnsi="Rotis Sans Serif Std" w:cs="RotisSansSerifStd-Regular"/>
          <w:bCs/>
          <w:color w:val="5E6061"/>
          <w:szCs w:val="22"/>
          <w:lang w:eastAsia="es-ES_tradnl"/>
        </w:rPr>
        <w:t xml:space="preserve"> </w:t>
      </w:r>
      <w:r w:rsidR="00404E0E">
        <w:rPr>
          <w:rFonts w:ascii="Rotis Sans Serif Std" w:hAnsi="Rotis Sans Serif Std" w:cs="RotisSansSerifStd-Regular"/>
          <w:bCs/>
          <w:color w:val="5E6061"/>
          <w:szCs w:val="22"/>
          <w:lang w:eastAsia="es-ES_tradnl"/>
        </w:rPr>
        <w:t>63</w:t>
      </w:r>
      <w:r w:rsidRPr="00EA5418">
        <w:rPr>
          <w:rFonts w:ascii="Rotis Sans Serif Std" w:hAnsi="Rotis Sans Serif Std" w:cs="RotisSansSerifStd-Regular"/>
          <w:bCs/>
          <w:color w:val="5E6061"/>
          <w:szCs w:val="22"/>
          <w:lang w:eastAsia="es-ES_tradnl"/>
        </w:rPr>
        <w:t xml:space="preserve"> van ser d’extinció (</w:t>
      </w:r>
      <w:r w:rsidR="00404E0E">
        <w:rPr>
          <w:rFonts w:ascii="Rotis Sans Serif Std" w:hAnsi="Rotis Sans Serif Std" w:cs="RotisSansSerifStd-Regular"/>
          <w:bCs/>
          <w:color w:val="5E6061"/>
          <w:szCs w:val="22"/>
          <w:lang w:eastAsia="es-ES_tradnl"/>
        </w:rPr>
        <w:t>34,05</w:t>
      </w:r>
      <w:r w:rsidRPr="00EA5418">
        <w:rPr>
          <w:rFonts w:ascii="Rotis Sans Serif Std" w:hAnsi="Rotis Sans Serif Std" w:cs="RotisSansSerifStd-Regular"/>
          <w:bCs/>
          <w:color w:val="5E6061"/>
          <w:szCs w:val="22"/>
          <w:lang w:eastAsia="es-ES_tradnl"/>
        </w:rPr>
        <w:t xml:space="preserve">% sobre el total d’expedients presentats a Catalunya) -afectant a </w:t>
      </w:r>
      <w:r w:rsidR="003C06A1">
        <w:rPr>
          <w:rFonts w:ascii="Rotis Sans Serif Std" w:hAnsi="Rotis Sans Serif Std" w:cs="RotisSansSerifStd-Regular"/>
          <w:bCs/>
          <w:color w:val="5E6061"/>
          <w:szCs w:val="22"/>
          <w:lang w:eastAsia="es-ES_tradnl"/>
        </w:rPr>
        <w:t>1.572</w:t>
      </w:r>
      <w:r>
        <w:rPr>
          <w:rFonts w:ascii="Rotis Sans Serif Std" w:hAnsi="Rotis Sans Serif Std" w:cs="RotisSansSerifStd-Regular"/>
          <w:bCs/>
          <w:color w:val="5E6061"/>
          <w:szCs w:val="22"/>
          <w:lang w:eastAsia="es-ES_tradnl"/>
        </w:rPr>
        <w:t xml:space="preserve"> treballadors-</w:t>
      </w:r>
      <w:r w:rsidRPr="00EA5418">
        <w:rPr>
          <w:rFonts w:ascii="Rotis Sans Serif Std" w:hAnsi="Rotis Sans Serif Std" w:cs="RotisSansSerifStd-Regular"/>
          <w:bCs/>
          <w:color w:val="5E6061"/>
          <w:szCs w:val="22"/>
          <w:lang w:eastAsia="es-ES_tradnl"/>
        </w:rPr>
        <w:t xml:space="preserve">, </w:t>
      </w:r>
      <w:r w:rsidR="00404E0E">
        <w:rPr>
          <w:rFonts w:ascii="Rotis Sans Serif Std" w:hAnsi="Rotis Sans Serif Std" w:cs="RotisSansSerifStd-Regular"/>
          <w:bCs/>
          <w:color w:val="5E6061"/>
          <w:szCs w:val="22"/>
          <w:lang w:eastAsia="es-ES_tradnl"/>
        </w:rPr>
        <w:t>60</w:t>
      </w:r>
      <w:r>
        <w:rPr>
          <w:rFonts w:ascii="Rotis Sans Serif Std" w:hAnsi="Rotis Sans Serif Std" w:cs="RotisSansSerifStd-Regular"/>
          <w:bCs/>
          <w:color w:val="5E6061"/>
          <w:szCs w:val="22"/>
          <w:lang w:eastAsia="es-ES_tradnl"/>
        </w:rPr>
        <w:t xml:space="preserve"> </w:t>
      </w:r>
      <w:r w:rsidRPr="00EA5418">
        <w:rPr>
          <w:rFonts w:ascii="Rotis Sans Serif Std" w:hAnsi="Rotis Sans Serif Std" w:cs="RotisSansSerifStd-Regular"/>
          <w:bCs/>
          <w:color w:val="5E6061"/>
          <w:szCs w:val="22"/>
          <w:lang w:eastAsia="es-ES_tradnl"/>
        </w:rPr>
        <w:t>de suspensió del contracte de treball (</w:t>
      </w:r>
      <w:r w:rsidR="00404E0E">
        <w:rPr>
          <w:rFonts w:ascii="Rotis Sans Serif Std" w:hAnsi="Rotis Sans Serif Std" w:cs="RotisSansSerifStd-Regular"/>
          <w:bCs/>
          <w:color w:val="5E6061"/>
          <w:szCs w:val="22"/>
          <w:lang w:eastAsia="es-ES_tradnl"/>
        </w:rPr>
        <w:t>32,43</w:t>
      </w:r>
      <w:r w:rsidR="00084197" w:rsidRPr="00EA5418">
        <w:rPr>
          <w:rFonts w:ascii="Rotis Sans Serif Std" w:hAnsi="Rotis Sans Serif Std" w:cs="RotisSansSerifStd-Regular"/>
          <w:bCs/>
          <w:color w:val="5E6061"/>
          <w:szCs w:val="22"/>
          <w:lang w:eastAsia="es-ES_tradnl"/>
        </w:rPr>
        <w:t xml:space="preserve"> </w:t>
      </w:r>
      <w:r w:rsidRPr="00EA5418">
        <w:rPr>
          <w:rFonts w:ascii="Rotis Sans Serif Std" w:hAnsi="Rotis Sans Serif Std" w:cs="RotisSansSerifStd-Regular"/>
          <w:bCs/>
          <w:color w:val="5E6061"/>
          <w:szCs w:val="22"/>
          <w:lang w:eastAsia="es-ES_tradnl"/>
        </w:rPr>
        <w:t>% sobre el total d’expedients presentats a Catalunya)- afectant a</w:t>
      </w:r>
      <w:r>
        <w:rPr>
          <w:rFonts w:ascii="Rotis Sans Serif Std" w:hAnsi="Rotis Sans Serif Std" w:cs="RotisSansSerifStd-Regular"/>
          <w:bCs/>
          <w:color w:val="5E6061"/>
          <w:szCs w:val="22"/>
          <w:lang w:eastAsia="es-ES_tradnl"/>
        </w:rPr>
        <w:t xml:space="preserve"> </w:t>
      </w:r>
      <w:r w:rsidR="003C06A1">
        <w:rPr>
          <w:rFonts w:ascii="Rotis Sans Serif Std" w:hAnsi="Rotis Sans Serif Std" w:cs="RotisSansSerifStd-Regular"/>
          <w:bCs/>
          <w:color w:val="5E6061"/>
          <w:szCs w:val="22"/>
          <w:lang w:eastAsia="es-ES_tradnl"/>
        </w:rPr>
        <w:t>1.921</w:t>
      </w:r>
      <w:r w:rsidRPr="00EA5418">
        <w:rPr>
          <w:rFonts w:ascii="Rotis Sans Serif Std" w:hAnsi="Rotis Sans Serif Std" w:cs="RotisSansSerifStd-Regular"/>
          <w:bCs/>
          <w:color w:val="5E6061"/>
          <w:szCs w:val="22"/>
          <w:lang w:eastAsia="es-ES_tradnl"/>
        </w:rPr>
        <w:t xml:space="preserve"> treballadors- </w:t>
      </w:r>
      <w:r>
        <w:rPr>
          <w:rFonts w:ascii="Rotis Sans Serif Std" w:hAnsi="Rotis Sans Serif Std" w:cs="RotisSansSerifStd-Regular"/>
          <w:bCs/>
          <w:color w:val="5E6061"/>
          <w:szCs w:val="22"/>
          <w:lang w:eastAsia="es-ES_tradnl"/>
        </w:rPr>
        <w:t xml:space="preserve">i </w:t>
      </w:r>
      <w:r w:rsidR="00404E0E">
        <w:rPr>
          <w:rFonts w:ascii="Rotis Sans Serif Std" w:hAnsi="Rotis Sans Serif Std" w:cs="RotisSansSerifStd-Regular"/>
          <w:bCs/>
          <w:color w:val="5E6061"/>
          <w:szCs w:val="22"/>
          <w:lang w:eastAsia="es-ES_tradnl"/>
        </w:rPr>
        <w:t>15</w:t>
      </w:r>
      <w:r>
        <w:rPr>
          <w:rFonts w:ascii="Rotis Sans Serif Std" w:hAnsi="Rotis Sans Serif Std" w:cs="RotisSansSerifStd-Regular"/>
          <w:bCs/>
          <w:color w:val="5E6061"/>
          <w:szCs w:val="22"/>
          <w:lang w:eastAsia="es-ES_tradnl"/>
        </w:rPr>
        <w:t xml:space="preserve"> </w:t>
      </w:r>
      <w:r w:rsidRPr="00EA5418">
        <w:rPr>
          <w:rFonts w:ascii="Rotis Sans Serif Std" w:hAnsi="Rotis Sans Serif Std" w:cs="RotisSansSerifStd-Regular"/>
          <w:bCs/>
          <w:color w:val="5E6061"/>
          <w:szCs w:val="22"/>
          <w:lang w:eastAsia="es-ES_tradnl"/>
        </w:rPr>
        <w:t>de reducció de jornada (</w:t>
      </w:r>
      <w:r w:rsidR="00404E0E">
        <w:rPr>
          <w:rFonts w:ascii="Rotis Sans Serif Std" w:hAnsi="Rotis Sans Serif Std" w:cs="RotisSansSerifStd-Regular"/>
          <w:bCs/>
          <w:color w:val="5E6061"/>
          <w:szCs w:val="22"/>
          <w:lang w:eastAsia="es-ES_tradnl"/>
        </w:rPr>
        <w:t>8,11</w:t>
      </w:r>
      <w:r w:rsidRPr="00EA5418">
        <w:rPr>
          <w:rFonts w:ascii="Rotis Sans Serif Std" w:hAnsi="Rotis Sans Serif Std" w:cs="RotisSansSerifStd-Regular"/>
          <w:bCs/>
          <w:color w:val="5E6061"/>
          <w:szCs w:val="22"/>
          <w:lang w:eastAsia="es-ES_tradnl"/>
        </w:rPr>
        <w:t xml:space="preserve">% sobre el total d’expedients presentats a Catalunya)- afectant a </w:t>
      </w:r>
      <w:r w:rsidR="003C06A1">
        <w:rPr>
          <w:rFonts w:ascii="Rotis Sans Serif Std" w:hAnsi="Rotis Sans Serif Std" w:cs="RotisSansSerifStd-Regular"/>
          <w:bCs/>
          <w:color w:val="5E6061"/>
          <w:szCs w:val="22"/>
          <w:lang w:eastAsia="es-ES_tradnl"/>
        </w:rPr>
        <w:t>82</w:t>
      </w:r>
      <w:r w:rsidR="00084197">
        <w:rPr>
          <w:rFonts w:ascii="Rotis Sans Serif Std" w:hAnsi="Rotis Sans Serif Std" w:cs="RotisSansSerifStd-Regular"/>
          <w:bCs/>
          <w:color w:val="5E6061"/>
          <w:szCs w:val="22"/>
          <w:lang w:eastAsia="es-ES_tradnl"/>
        </w:rPr>
        <w:t xml:space="preserve"> </w:t>
      </w:r>
      <w:r w:rsidRPr="00EA5418">
        <w:rPr>
          <w:rFonts w:ascii="Rotis Sans Serif Std" w:hAnsi="Rotis Sans Serif Std" w:cs="RotisSansSerifStd-Regular"/>
          <w:bCs/>
          <w:color w:val="5E6061"/>
          <w:szCs w:val="22"/>
          <w:lang w:eastAsia="es-ES_tradnl"/>
        </w:rPr>
        <w:t>treballadors-.</w:t>
      </w:r>
    </w:p>
    <w:p w:rsidR="006737D1" w:rsidRDefault="006737D1" w:rsidP="00767611">
      <w:pPr>
        <w:tabs>
          <w:tab w:val="left" w:pos="6135"/>
        </w:tabs>
        <w:spacing w:line="276" w:lineRule="auto"/>
        <w:jc w:val="both"/>
        <w:rPr>
          <w:rFonts w:ascii="Rotis Sans Serif Std" w:hAnsi="Rotis Sans Serif Std" w:cs="RotisSansSerifStd-Regular"/>
          <w:bCs/>
          <w:color w:val="5E6061"/>
          <w:szCs w:val="22"/>
          <w:lang w:eastAsia="es-ES_tradnl"/>
        </w:rPr>
      </w:pPr>
    </w:p>
    <w:p w:rsidR="00767611" w:rsidRDefault="00767611" w:rsidP="00767611">
      <w:pPr>
        <w:tabs>
          <w:tab w:val="left" w:pos="6135"/>
        </w:tabs>
        <w:spacing w:line="276" w:lineRule="auto"/>
        <w:jc w:val="both"/>
        <w:rPr>
          <w:rFonts w:ascii="Rotis Sans Serif Std" w:hAnsi="Rotis Sans Serif Std" w:cs="RotisSansSerifStd-Regular"/>
          <w:bCs/>
          <w:color w:val="5E6061"/>
          <w:szCs w:val="22"/>
          <w:lang w:eastAsia="es-ES_tradnl"/>
        </w:rPr>
      </w:pPr>
      <w:r w:rsidRPr="00EA5418">
        <w:rPr>
          <w:rFonts w:ascii="Rotis Sans Serif Std" w:hAnsi="Rotis Sans Serif Std" w:cs="RotisSansSerifStd-Regular"/>
          <w:bCs/>
          <w:color w:val="5E6061"/>
          <w:szCs w:val="22"/>
          <w:lang w:eastAsia="es-ES_tradnl"/>
        </w:rPr>
        <w:t xml:space="preserve">A </w:t>
      </w:r>
      <w:r w:rsidRPr="00EA5418">
        <w:rPr>
          <w:rFonts w:ascii="Rotis Sans Serif Std" w:hAnsi="Rotis Sans Serif Std" w:cs="RotisSansSerifStd-Regular"/>
          <w:bCs/>
          <w:color w:val="5E6061"/>
          <w:szCs w:val="22"/>
          <w:u w:val="single"/>
          <w:lang w:eastAsia="es-ES_tradnl"/>
        </w:rPr>
        <w:t>Girona,</w:t>
      </w:r>
      <w:r w:rsidRPr="00EA5418">
        <w:rPr>
          <w:rFonts w:ascii="Rotis Sans Serif Std" w:hAnsi="Rotis Sans Serif Std" w:cs="RotisSansSerifStd-Regular"/>
          <w:bCs/>
          <w:color w:val="5E6061"/>
          <w:szCs w:val="22"/>
          <w:lang w:eastAsia="es-ES_tradnl"/>
        </w:rPr>
        <w:t xml:space="preserve"> del total de</w:t>
      </w:r>
      <w:r w:rsidR="0083255D">
        <w:rPr>
          <w:rFonts w:ascii="Rotis Sans Serif Std" w:hAnsi="Rotis Sans Serif Std" w:cs="RotisSansSerifStd-Regular"/>
          <w:bCs/>
          <w:color w:val="5E6061"/>
          <w:szCs w:val="22"/>
          <w:lang w:eastAsia="es-ES_tradnl"/>
        </w:rPr>
        <w:t xml:space="preserve"> 1</w:t>
      </w:r>
      <w:r w:rsidR="00404E0E">
        <w:rPr>
          <w:rFonts w:ascii="Rotis Sans Serif Std" w:hAnsi="Rotis Sans Serif Std" w:cs="RotisSansSerifStd-Regular"/>
          <w:bCs/>
          <w:color w:val="5E6061"/>
          <w:szCs w:val="22"/>
          <w:lang w:eastAsia="es-ES_tradnl"/>
        </w:rPr>
        <w:t>7</w:t>
      </w:r>
      <w:r w:rsidRPr="00EA5418">
        <w:rPr>
          <w:rFonts w:ascii="Rotis Sans Serif Std" w:hAnsi="Rotis Sans Serif Std" w:cs="RotisSansSerifStd-Regular"/>
          <w:bCs/>
          <w:color w:val="5E6061"/>
          <w:szCs w:val="22"/>
          <w:lang w:eastAsia="es-ES_tradnl"/>
        </w:rPr>
        <w:t xml:space="preserve"> expedients, </w:t>
      </w:r>
      <w:r w:rsidR="00175A8B">
        <w:rPr>
          <w:rFonts w:ascii="Rotis Sans Serif Std" w:hAnsi="Rotis Sans Serif Std" w:cs="RotisSansSerifStd-Regular"/>
          <w:bCs/>
          <w:color w:val="5E6061"/>
          <w:szCs w:val="22"/>
          <w:lang w:eastAsia="es-ES_tradnl"/>
        </w:rPr>
        <w:t>1</w:t>
      </w:r>
      <w:r>
        <w:rPr>
          <w:rFonts w:ascii="Rotis Sans Serif Std" w:hAnsi="Rotis Sans Serif Std" w:cs="RotisSansSerifStd-Regular"/>
          <w:bCs/>
          <w:color w:val="5E6061"/>
          <w:szCs w:val="22"/>
          <w:lang w:eastAsia="es-ES_tradnl"/>
        </w:rPr>
        <w:t xml:space="preserve"> va ser d’extinció (</w:t>
      </w:r>
      <w:r w:rsidR="00404E0E">
        <w:rPr>
          <w:rFonts w:ascii="Rotis Sans Serif Std" w:hAnsi="Rotis Sans Serif Std" w:cs="RotisSansSerifStd-Regular"/>
          <w:bCs/>
          <w:color w:val="5E6061"/>
          <w:szCs w:val="22"/>
          <w:lang w:eastAsia="es-ES_tradnl"/>
        </w:rPr>
        <w:t>0,54</w:t>
      </w:r>
      <w:r w:rsidRPr="00EA5418">
        <w:rPr>
          <w:rFonts w:ascii="Rotis Sans Serif Std" w:hAnsi="Rotis Sans Serif Std" w:cs="RotisSansSerifStd-Regular"/>
          <w:bCs/>
          <w:color w:val="5E6061"/>
          <w:szCs w:val="22"/>
          <w:lang w:eastAsia="es-ES_tradnl"/>
        </w:rPr>
        <w:t>% sobre el total d’expedients presentats a Catalunya) –afectant a</w:t>
      </w:r>
      <w:r w:rsidR="00175A8B">
        <w:rPr>
          <w:rFonts w:ascii="Rotis Sans Serif Std" w:hAnsi="Rotis Sans Serif Std" w:cs="RotisSansSerifStd-Regular"/>
          <w:bCs/>
          <w:color w:val="5E6061"/>
          <w:szCs w:val="22"/>
          <w:lang w:eastAsia="es-ES_tradnl"/>
        </w:rPr>
        <w:t xml:space="preserve"> </w:t>
      </w:r>
      <w:r w:rsidR="00710179">
        <w:rPr>
          <w:rFonts w:ascii="Rotis Sans Serif Std" w:hAnsi="Rotis Sans Serif Std" w:cs="RotisSansSerifStd-Regular"/>
          <w:bCs/>
          <w:color w:val="5E6061"/>
          <w:szCs w:val="22"/>
          <w:lang w:eastAsia="es-ES_tradnl"/>
        </w:rPr>
        <w:t xml:space="preserve">60 </w:t>
      </w:r>
      <w:r w:rsidRPr="00EA5418">
        <w:rPr>
          <w:rFonts w:ascii="Rotis Sans Serif Std" w:hAnsi="Rotis Sans Serif Std" w:cs="RotisSansSerifStd-Regular"/>
          <w:bCs/>
          <w:color w:val="5E6061"/>
          <w:szCs w:val="22"/>
          <w:lang w:eastAsia="es-ES_tradnl"/>
        </w:rPr>
        <w:t xml:space="preserve">treballadors-, </w:t>
      </w:r>
      <w:r w:rsidR="00404E0E">
        <w:rPr>
          <w:rFonts w:ascii="Rotis Sans Serif Std" w:hAnsi="Rotis Sans Serif Std" w:cs="RotisSansSerifStd-Regular"/>
          <w:bCs/>
          <w:color w:val="5E6061"/>
          <w:szCs w:val="22"/>
          <w:lang w:eastAsia="es-ES_tradnl"/>
        </w:rPr>
        <w:t>13</w:t>
      </w:r>
      <w:r w:rsidRPr="00EA5418">
        <w:rPr>
          <w:rFonts w:ascii="Rotis Sans Serif Std" w:hAnsi="Rotis Sans Serif Std" w:cs="RotisSansSerifStd-Regular"/>
          <w:bCs/>
          <w:color w:val="5E6061"/>
          <w:szCs w:val="22"/>
          <w:lang w:eastAsia="es-ES_tradnl"/>
        </w:rPr>
        <w:t xml:space="preserve"> van ser de suspensió del contracte de treball (</w:t>
      </w:r>
      <w:r w:rsidR="00404E0E">
        <w:rPr>
          <w:rFonts w:ascii="Rotis Sans Serif Std" w:hAnsi="Rotis Sans Serif Std" w:cs="RotisSansSerifStd-Regular"/>
          <w:bCs/>
          <w:color w:val="5E6061"/>
          <w:szCs w:val="22"/>
          <w:lang w:eastAsia="es-ES_tradnl"/>
        </w:rPr>
        <w:t>7,03</w:t>
      </w:r>
      <w:r w:rsidRPr="00EA5418">
        <w:rPr>
          <w:rFonts w:ascii="Rotis Sans Serif Std" w:hAnsi="Rotis Sans Serif Std" w:cs="RotisSansSerifStd-Regular"/>
          <w:bCs/>
          <w:color w:val="5E6061"/>
          <w:szCs w:val="22"/>
          <w:lang w:eastAsia="es-ES_tradnl"/>
        </w:rPr>
        <w:t xml:space="preserve">% sobre el total d’expedients presentats a Catalunya)- afectant a </w:t>
      </w:r>
      <w:r w:rsidR="003C06A1">
        <w:rPr>
          <w:rFonts w:ascii="Rotis Sans Serif Std" w:hAnsi="Rotis Sans Serif Std" w:cs="RotisSansSerifStd-Regular"/>
          <w:bCs/>
          <w:color w:val="5E6061"/>
          <w:szCs w:val="22"/>
          <w:lang w:eastAsia="es-ES_tradnl"/>
        </w:rPr>
        <w:t>225</w:t>
      </w:r>
      <w:r w:rsidRPr="00EA5418">
        <w:rPr>
          <w:rFonts w:ascii="Rotis Sans Serif Std" w:hAnsi="Rotis Sans Serif Std" w:cs="RotisSansSerifStd-Regular"/>
          <w:bCs/>
          <w:color w:val="5E6061"/>
          <w:szCs w:val="22"/>
          <w:lang w:eastAsia="es-ES_tradnl"/>
        </w:rPr>
        <w:t xml:space="preserve"> tre</w:t>
      </w:r>
      <w:r>
        <w:rPr>
          <w:rFonts w:ascii="Rotis Sans Serif Std" w:hAnsi="Rotis Sans Serif Std" w:cs="RotisSansSerifStd-Regular"/>
          <w:bCs/>
          <w:color w:val="5E6061"/>
          <w:szCs w:val="22"/>
          <w:lang w:eastAsia="es-ES_tradnl"/>
        </w:rPr>
        <w:t xml:space="preserve">balladors- i </w:t>
      </w:r>
      <w:r w:rsidR="00084197">
        <w:rPr>
          <w:rFonts w:ascii="Rotis Sans Serif Std" w:hAnsi="Rotis Sans Serif Std" w:cs="RotisSansSerifStd-Regular"/>
          <w:bCs/>
          <w:color w:val="5E6061"/>
          <w:szCs w:val="22"/>
          <w:lang w:eastAsia="es-ES_tradnl"/>
        </w:rPr>
        <w:t>3</w:t>
      </w:r>
      <w:r w:rsidRPr="00EA5418">
        <w:rPr>
          <w:rFonts w:ascii="Rotis Sans Serif Std" w:hAnsi="Rotis Sans Serif Std" w:cs="RotisSansSerifStd-Regular"/>
          <w:bCs/>
          <w:color w:val="5E6061"/>
          <w:szCs w:val="22"/>
          <w:lang w:eastAsia="es-ES_tradnl"/>
        </w:rPr>
        <w:t xml:space="preserve"> de reducció de jornada (</w:t>
      </w:r>
      <w:r w:rsidR="00404E0E">
        <w:rPr>
          <w:rFonts w:ascii="Rotis Sans Serif Std" w:hAnsi="Rotis Sans Serif Std" w:cs="RotisSansSerifStd-Regular"/>
          <w:bCs/>
          <w:color w:val="5E6061"/>
          <w:szCs w:val="22"/>
          <w:lang w:eastAsia="es-ES_tradnl"/>
        </w:rPr>
        <w:t>1,62</w:t>
      </w:r>
      <w:r w:rsidRPr="00EA5418">
        <w:rPr>
          <w:rFonts w:ascii="Rotis Sans Serif Std" w:hAnsi="Rotis Sans Serif Std" w:cs="RotisSansSerifStd-Regular"/>
          <w:bCs/>
          <w:color w:val="5E6061"/>
          <w:szCs w:val="22"/>
          <w:lang w:eastAsia="es-ES_tradnl"/>
        </w:rPr>
        <w:t xml:space="preserve">% sobre el total d’expedients presentats a Catalunya)- afectant a </w:t>
      </w:r>
      <w:r w:rsidR="00710179">
        <w:rPr>
          <w:rFonts w:ascii="Rotis Sans Serif Std" w:hAnsi="Rotis Sans Serif Std" w:cs="RotisSansSerifStd-Regular"/>
          <w:bCs/>
          <w:color w:val="5E6061"/>
          <w:szCs w:val="22"/>
          <w:lang w:eastAsia="es-ES_tradnl"/>
        </w:rPr>
        <w:t>2</w:t>
      </w:r>
      <w:r w:rsidR="003C06A1">
        <w:rPr>
          <w:rFonts w:ascii="Rotis Sans Serif Std" w:hAnsi="Rotis Sans Serif Std" w:cs="RotisSansSerifStd-Regular"/>
          <w:bCs/>
          <w:color w:val="5E6061"/>
          <w:szCs w:val="22"/>
          <w:lang w:eastAsia="es-ES_tradnl"/>
        </w:rPr>
        <w:t>8</w:t>
      </w:r>
      <w:r>
        <w:rPr>
          <w:rFonts w:ascii="Rotis Sans Serif Std" w:hAnsi="Rotis Sans Serif Std" w:cs="RotisSansSerifStd-Regular"/>
          <w:bCs/>
          <w:color w:val="5E6061"/>
          <w:szCs w:val="22"/>
          <w:lang w:eastAsia="es-ES_tradnl"/>
        </w:rPr>
        <w:t xml:space="preserve"> </w:t>
      </w:r>
      <w:r w:rsidRPr="00EA5418">
        <w:rPr>
          <w:rFonts w:ascii="Rotis Sans Serif Std" w:hAnsi="Rotis Sans Serif Std" w:cs="RotisSansSerifStd-Regular"/>
          <w:bCs/>
          <w:color w:val="5E6061"/>
          <w:szCs w:val="22"/>
          <w:lang w:eastAsia="es-ES_tradnl"/>
        </w:rPr>
        <w:t>treballadors-.</w:t>
      </w:r>
      <w:r>
        <w:rPr>
          <w:rFonts w:ascii="Rotis Sans Serif Std" w:hAnsi="Rotis Sans Serif Std" w:cs="RotisSansSerifStd-Regular"/>
          <w:bCs/>
          <w:color w:val="5E6061"/>
          <w:szCs w:val="22"/>
          <w:lang w:eastAsia="es-ES_tradnl"/>
        </w:rPr>
        <w:t xml:space="preserve"> </w:t>
      </w:r>
    </w:p>
    <w:p w:rsidR="00767611" w:rsidRDefault="00767611" w:rsidP="00767611">
      <w:pPr>
        <w:tabs>
          <w:tab w:val="left" w:pos="6135"/>
        </w:tabs>
        <w:spacing w:line="276" w:lineRule="auto"/>
        <w:jc w:val="both"/>
        <w:rPr>
          <w:rFonts w:ascii="Rotis Sans Serif Std" w:hAnsi="Rotis Sans Serif Std" w:cs="RotisSansSerifStd-Regular"/>
          <w:bCs/>
          <w:color w:val="5E6061"/>
          <w:szCs w:val="22"/>
          <w:lang w:eastAsia="es-ES_tradnl"/>
        </w:rPr>
      </w:pPr>
    </w:p>
    <w:p w:rsidR="00767611" w:rsidRPr="00EA5418" w:rsidRDefault="00767611" w:rsidP="00767611">
      <w:pPr>
        <w:tabs>
          <w:tab w:val="left" w:pos="6135"/>
        </w:tabs>
        <w:spacing w:line="276" w:lineRule="auto"/>
        <w:jc w:val="both"/>
        <w:rPr>
          <w:rFonts w:ascii="Rotis Sans Serif Std" w:hAnsi="Rotis Sans Serif Std" w:cs="RotisSansSerifStd-Regular"/>
          <w:bCs/>
          <w:color w:val="5E6061"/>
          <w:szCs w:val="22"/>
          <w:lang w:eastAsia="es-ES_tradnl"/>
        </w:rPr>
      </w:pPr>
      <w:r w:rsidRPr="00DC4112">
        <w:rPr>
          <w:rFonts w:ascii="Rotis Sans Serif Std" w:hAnsi="Rotis Sans Serif Std" w:cs="RotisSansSerifStd-Regular"/>
          <w:bCs/>
          <w:color w:val="5E6061"/>
          <w:szCs w:val="22"/>
          <w:lang w:eastAsia="es-ES_tradnl"/>
        </w:rPr>
        <w:t>A</w:t>
      </w:r>
      <w:r w:rsidRPr="00DC4112">
        <w:rPr>
          <w:rFonts w:ascii="Rotis Sans Serif Std" w:hAnsi="Rotis Sans Serif Std" w:cs="RotisSansSerifStd-Regular"/>
          <w:bCs/>
          <w:color w:val="5E6061"/>
          <w:szCs w:val="22"/>
          <w:u w:val="single"/>
          <w:lang w:eastAsia="es-ES_tradnl"/>
        </w:rPr>
        <w:t xml:space="preserve"> Lleida</w:t>
      </w:r>
      <w:r w:rsidRPr="00DC4112">
        <w:rPr>
          <w:rFonts w:ascii="Rotis Sans Serif Std" w:hAnsi="Rotis Sans Serif Std" w:cs="RotisSansSerifStd-Regular"/>
          <w:bCs/>
          <w:color w:val="5E6061"/>
          <w:szCs w:val="22"/>
          <w:lang w:eastAsia="es-ES_tradnl"/>
        </w:rPr>
        <w:t xml:space="preserve"> del</w:t>
      </w:r>
      <w:r w:rsidR="00175A8B">
        <w:rPr>
          <w:rFonts w:ascii="Rotis Sans Serif Std" w:hAnsi="Rotis Sans Serif Std" w:cs="RotisSansSerifStd-Regular"/>
          <w:bCs/>
          <w:color w:val="5E6061"/>
          <w:szCs w:val="22"/>
          <w:lang w:eastAsia="es-ES_tradnl"/>
        </w:rPr>
        <w:t xml:space="preserve">s </w:t>
      </w:r>
      <w:r w:rsidR="00084197">
        <w:rPr>
          <w:rFonts w:ascii="Rotis Sans Serif Std" w:hAnsi="Rotis Sans Serif Std" w:cs="RotisSansSerifStd-Regular"/>
          <w:bCs/>
          <w:color w:val="5E6061"/>
          <w:szCs w:val="22"/>
          <w:lang w:eastAsia="es-ES_tradnl"/>
        </w:rPr>
        <w:t>5</w:t>
      </w:r>
      <w:r w:rsidRPr="00DC4112">
        <w:rPr>
          <w:rFonts w:ascii="Rotis Sans Serif Std" w:hAnsi="Rotis Sans Serif Std" w:cs="RotisSansSerifStd-Regular"/>
          <w:bCs/>
          <w:color w:val="5E6061"/>
          <w:szCs w:val="22"/>
          <w:lang w:eastAsia="es-ES_tradnl"/>
        </w:rPr>
        <w:t xml:space="preserve"> expedients, </w:t>
      </w:r>
      <w:r w:rsidR="00175A8B">
        <w:rPr>
          <w:rFonts w:ascii="Rotis Sans Serif Std" w:hAnsi="Rotis Sans Serif Std" w:cs="RotisSansSerifStd-Regular"/>
          <w:bCs/>
          <w:color w:val="5E6061"/>
          <w:szCs w:val="22"/>
          <w:lang w:eastAsia="es-ES_tradnl"/>
        </w:rPr>
        <w:t>1</w:t>
      </w:r>
      <w:r w:rsidRPr="00DC4112">
        <w:rPr>
          <w:rFonts w:ascii="Rotis Sans Serif Std" w:hAnsi="Rotis Sans Serif Std" w:cs="RotisSansSerifStd-Regular"/>
          <w:bCs/>
          <w:color w:val="5E6061"/>
          <w:szCs w:val="22"/>
          <w:lang w:eastAsia="es-ES_tradnl"/>
        </w:rPr>
        <w:t xml:space="preserve"> ha sigut d’extinció (</w:t>
      </w:r>
      <w:r w:rsidR="00404E0E">
        <w:rPr>
          <w:rFonts w:ascii="Rotis Sans Serif Std" w:hAnsi="Rotis Sans Serif Std" w:cs="RotisSansSerifStd-Regular"/>
          <w:bCs/>
          <w:color w:val="5E6061"/>
          <w:szCs w:val="22"/>
          <w:lang w:eastAsia="es-ES_tradnl"/>
        </w:rPr>
        <w:t>0,54</w:t>
      </w:r>
      <w:r w:rsidRPr="00DC4112">
        <w:rPr>
          <w:rFonts w:ascii="Rotis Sans Serif Std" w:hAnsi="Rotis Sans Serif Std" w:cs="RotisSansSerifStd-Regular"/>
          <w:bCs/>
          <w:color w:val="5E6061"/>
          <w:szCs w:val="22"/>
          <w:lang w:eastAsia="es-ES_tradnl"/>
        </w:rPr>
        <w:t xml:space="preserve">% sobre el total d’expedients presentats a Catalunya) –afectant a </w:t>
      </w:r>
      <w:r w:rsidR="00710179">
        <w:rPr>
          <w:rFonts w:ascii="Rotis Sans Serif Std" w:hAnsi="Rotis Sans Serif Std" w:cs="RotisSansSerifStd-Regular"/>
          <w:bCs/>
          <w:color w:val="5E6061"/>
          <w:szCs w:val="22"/>
          <w:lang w:eastAsia="es-ES_tradnl"/>
        </w:rPr>
        <w:t>19</w:t>
      </w:r>
      <w:r w:rsidRPr="00DC4112">
        <w:rPr>
          <w:rFonts w:ascii="Rotis Sans Serif Std" w:hAnsi="Rotis Sans Serif Std" w:cs="RotisSansSerifStd-Regular"/>
          <w:bCs/>
          <w:color w:val="5E6061"/>
          <w:szCs w:val="22"/>
          <w:lang w:eastAsia="es-ES_tradnl"/>
        </w:rPr>
        <w:t xml:space="preserve"> treballadors-</w:t>
      </w:r>
      <w:r w:rsidR="00710179">
        <w:rPr>
          <w:rFonts w:ascii="Rotis Sans Serif Std" w:hAnsi="Rotis Sans Serif Std" w:cs="RotisSansSerifStd-Regular"/>
          <w:bCs/>
          <w:color w:val="5E6061"/>
          <w:szCs w:val="22"/>
          <w:lang w:eastAsia="es-ES_tradnl"/>
        </w:rPr>
        <w:t>,</w:t>
      </w:r>
      <w:r w:rsidRPr="00DC4112">
        <w:rPr>
          <w:rFonts w:ascii="Rotis Sans Serif Std" w:hAnsi="Rotis Sans Serif Std" w:cs="RotisSansSerifStd-Regular"/>
          <w:bCs/>
          <w:color w:val="5E6061"/>
          <w:szCs w:val="22"/>
          <w:lang w:eastAsia="es-ES_tradnl"/>
        </w:rPr>
        <w:t xml:space="preserve"> </w:t>
      </w:r>
      <w:r w:rsidR="00084197">
        <w:rPr>
          <w:rFonts w:ascii="Rotis Sans Serif Std" w:hAnsi="Rotis Sans Serif Std" w:cs="RotisSansSerifStd-Regular"/>
          <w:bCs/>
          <w:color w:val="5E6061"/>
          <w:szCs w:val="22"/>
          <w:lang w:eastAsia="es-ES_tradnl"/>
        </w:rPr>
        <w:t>1</w:t>
      </w:r>
      <w:r w:rsidRPr="00DC4112">
        <w:rPr>
          <w:rFonts w:ascii="Rotis Sans Serif Std" w:hAnsi="Rotis Sans Serif Std" w:cs="RotisSansSerifStd-Regular"/>
          <w:bCs/>
          <w:color w:val="5E6061"/>
          <w:szCs w:val="22"/>
          <w:lang w:eastAsia="es-ES_tradnl"/>
        </w:rPr>
        <w:t xml:space="preserve"> va ser de suspensió del contracte de treball (</w:t>
      </w:r>
      <w:r w:rsidR="00404E0E">
        <w:rPr>
          <w:rFonts w:ascii="Rotis Sans Serif Std" w:hAnsi="Rotis Sans Serif Std" w:cs="RotisSansSerifStd-Regular"/>
          <w:bCs/>
          <w:color w:val="5E6061"/>
          <w:szCs w:val="22"/>
          <w:lang w:eastAsia="es-ES_tradnl"/>
        </w:rPr>
        <w:t>0,54</w:t>
      </w:r>
      <w:r w:rsidRPr="00DC4112">
        <w:rPr>
          <w:rFonts w:ascii="Rotis Sans Serif Std" w:hAnsi="Rotis Sans Serif Std" w:cs="RotisSansSerifStd-Regular"/>
          <w:bCs/>
          <w:color w:val="5E6061"/>
          <w:szCs w:val="22"/>
          <w:lang w:eastAsia="es-ES_tradnl"/>
        </w:rPr>
        <w:t xml:space="preserve">% sobre el total d’expedients presentats a Catalunya)- afectant a </w:t>
      </w:r>
      <w:r w:rsidR="00710179">
        <w:rPr>
          <w:rFonts w:ascii="Rotis Sans Serif Std" w:hAnsi="Rotis Sans Serif Std" w:cs="RotisSansSerifStd-Regular"/>
          <w:bCs/>
          <w:color w:val="5E6061"/>
          <w:szCs w:val="22"/>
          <w:lang w:eastAsia="es-ES_tradnl"/>
        </w:rPr>
        <w:t>4</w:t>
      </w:r>
      <w:r w:rsidRPr="00DC4112">
        <w:rPr>
          <w:rFonts w:ascii="Rotis Sans Serif Std" w:hAnsi="Rotis Sans Serif Std" w:cs="RotisSansSerifStd-Regular"/>
          <w:bCs/>
          <w:color w:val="5E6061"/>
          <w:szCs w:val="22"/>
          <w:lang w:eastAsia="es-ES_tradnl"/>
        </w:rPr>
        <w:t xml:space="preserve"> treballadors-</w:t>
      </w:r>
      <w:r w:rsidR="00084197">
        <w:rPr>
          <w:rFonts w:ascii="Rotis Sans Serif Std" w:hAnsi="Rotis Sans Serif Std" w:cs="RotisSansSerifStd-Regular"/>
          <w:bCs/>
          <w:color w:val="5E6061"/>
          <w:szCs w:val="22"/>
          <w:lang w:eastAsia="es-ES_tradnl"/>
        </w:rPr>
        <w:t xml:space="preserve"> i 3 de reducció de jornada (</w:t>
      </w:r>
      <w:r w:rsidR="00404E0E">
        <w:rPr>
          <w:rFonts w:ascii="Rotis Sans Serif Std" w:hAnsi="Rotis Sans Serif Std" w:cs="RotisSansSerifStd-Regular"/>
          <w:bCs/>
          <w:color w:val="5E6061"/>
          <w:szCs w:val="22"/>
          <w:lang w:eastAsia="es-ES_tradnl"/>
        </w:rPr>
        <w:t>1,62</w:t>
      </w:r>
      <w:r w:rsidR="00084197">
        <w:rPr>
          <w:rFonts w:ascii="Rotis Sans Serif Std" w:hAnsi="Rotis Sans Serif Std" w:cs="RotisSansSerifStd-Regular"/>
          <w:bCs/>
          <w:color w:val="5E6061"/>
          <w:szCs w:val="22"/>
          <w:lang w:eastAsia="es-ES_tradnl"/>
        </w:rPr>
        <w:t xml:space="preserve">% </w:t>
      </w:r>
      <w:r w:rsidR="00084197" w:rsidRPr="00EA5418">
        <w:rPr>
          <w:rFonts w:ascii="Rotis Sans Serif Std" w:hAnsi="Rotis Sans Serif Std" w:cs="RotisSansSerifStd-Regular"/>
          <w:bCs/>
          <w:color w:val="5E6061"/>
          <w:szCs w:val="22"/>
          <w:lang w:eastAsia="es-ES_tradnl"/>
        </w:rPr>
        <w:t>sobre el total d’expedients presentats a Catalunya) –afectant a</w:t>
      </w:r>
      <w:r w:rsidR="00084197">
        <w:rPr>
          <w:rFonts w:ascii="Rotis Sans Serif Std" w:hAnsi="Rotis Sans Serif Std" w:cs="RotisSansSerifStd-Regular"/>
          <w:bCs/>
          <w:color w:val="5E6061"/>
          <w:szCs w:val="22"/>
          <w:lang w:eastAsia="es-ES_tradnl"/>
        </w:rPr>
        <w:t xml:space="preserve"> </w:t>
      </w:r>
      <w:r w:rsidR="00710179">
        <w:rPr>
          <w:rFonts w:ascii="Rotis Sans Serif Std" w:hAnsi="Rotis Sans Serif Std" w:cs="RotisSansSerifStd-Regular"/>
          <w:bCs/>
          <w:color w:val="5E6061"/>
          <w:szCs w:val="22"/>
          <w:lang w:eastAsia="es-ES_tradnl"/>
        </w:rPr>
        <w:t xml:space="preserve">30 </w:t>
      </w:r>
      <w:r w:rsidR="00084197" w:rsidRPr="00EA5418">
        <w:rPr>
          <w:rFonts w:ascii="Rotis Sans Serif Std" w:hAnsi="Rotis Sans Serif Std" w:cs="RotisSansSerifStd-Regular"/>
          <w:bCs/>
          <w:color w:val="5E6061"/>
          <w:szCs w:val="22"/>
          <w:lang w:eastAsia="es-ES_tradnl"/>
        </w:rPr>
        <w:t>treballadors-</w:t>
      </w:r>
      <w:r w:rsidR="00175A8B">
        <w:rPr>
          <w:rFonts w:ascii="Rotis Sans Serif Std" w:hAnsi="Rotis Sans Serif Std" w:cs="RotisSansSerifStd-Regular"/>
          <w:bCs/>
          <w:color w:val="5E6061"/>
          <w:szCs w:val="22"/>
          <w:lang w:eastAsia="es-ES_tradnl"/>
        </w:rPr>
        <w:t>.</w:t>
      </w:r>
    </w:p>
    <w:p w:rsidR="00404E0E" w:rsidRDefault="00404E0E" w:rsidP="00767611">
      <w:pPr>
        <w:pStyle w:val="TEXTBOLD"/>
        <w:spacing w:line="276" w:lineRule="auto"/>
        <w:rPr>
          <w:b w:val="0"/>
          <w:bCs/>
          <w:sz w:val="24"/>
          <w:lang w:val="ca-ES"/>
        </w:rPr>
      </w:pPr>
    </w:p>
    <w:p w:rsidR="00767611" w:rsidRPr="00DC4112" w:rsidRDefault="00767611" w:rsidP="00767611">
      <w:pPr>
        <w:pStyle w:val="TEXTBOLD"/>
        <w:spacing w:line="276" w:lineRule="auto"/>
        <w:rPr>
          <w:b w:val="0"/>
          <w:bCs/>
          <w:sz w:val="24"/>
          <w:lang w:val="ca-ES"/>
        </w:rPr>
      </w:pPr>
      <w:r w:rsidRPr="00DC4112">
        <w:rPr>
          <w:b w:val="0"/>
          <w:bCs/>
          <w:sz w:val="24"/>
          <w:lang w:val="ca-ES"/>
        </w:rPr>
        <w:t xml:space="preserve">A </w:t>
      </w:r>
      <w:r w:rsidRPr="00DC4112">
        <w:rPr>
          <w:b w:val="0"/>
          <w:bCs/>
          <w:sz w:val="24"/>
          <w:u w:val="single"/>
          <w:lang w:val="ca-ES"/>
        </w:rPr>
        <w:t>Tarragona</w:t>
      </w:r>
      <w:r w:rsidRPr="00DC4112">
        <w:rPr>
          <w:b w:val="0"/>
          <w:bCs/>
          <w:sz w:val="24"/>
          <w:lang w:val="ca-ES"/>
        </w:rPr>
        <w:t xml:space="preserve"> del total de </w:t>
      </w:r>
      <w:r w:rsidR="00404E0E">
        <w:rPr>
          <w:b w:val="0"/>
          <w:bCs/>
          <w:sz w:val="24"/>
          <w:lang w:val="ca-ES"/>
        </w:rPr>
        <w:t>11</w:t>
      </w:r>
      <w:r w:rsidRPr="00DC4112">
        <w:rPr>
          <w:b w:val="0"/>
          <w:bCs/>
          <w:sz w:val="24"/>
          <w:lang w:val="ca-ES"/>
        </w:rPr>
        <w:t xml:space="preserve"> expedients</w:t>
      </w:r>
      <w:r>
        <w:rPr>
          <w:b w:val="0"/>
          <w:bCs/>
          <w:sz w:val="24"/>
          <w:lang w:val="ca-ES"/>
        </w:rPr>
        <w:t xml:space="preserve">, </w:t>
      </w:r>
      <w:r w:rsidR="00404E0E">
        <w:rPr>
          <w:b w:val="0"/>
          <w:bCs/>
          <w:sz w:val="24"/>
          <w:lang w:val="ca-ES"/>
        </w:rPr>
        <w:t>2</w:t>
      </w:r>
      <w:r>
        <w:rPr>
          <w:b w:val="0"/>
          <w:bCs/>
          <w:sz w:val="24"/>
          <w:lang w:val="ca-ES"/>
        </w:rPr>
        <w:t xml:space="preserve"> va</w:t>
      </w:r>
      <w:r w:rsidR="00175A8B">
        <w:rPr>
          <w:b w:val="0"/>
          <w:bCs/>
          <w:sz w:val="24"/>
          <w:lang w:val="ca-ES"/>
        </w:rPr>
        <w:t xml:space="preserve"> ser d’extinció (</w:t>
      </w:r>
      <w:r w:rsidR="00665349">
        <w:rPr>
          <w:b w:val="0"/>
          <w:bCs/>
          <w:sz w:val="24"/>
          <w:lang w:val="ca-ES"/>
        </w:rPr>
        <w:t>1,</w:t>
      </w:r>
      <w:r w:rsidR="00404E0E">
        <w:rPr>
          <w:b w:val="0"/>
          <w:bCs/>
          <w:sz w:val="24"/>
          <w:lang w:val="ca-ES"/>
        </w:rPr>
        <w:t>08</w:t>
      </w:r>
      <w:r>
        <w:rPr>
          <w:b w:val="0"/>
          <w:bCs/>
          <w:sz w:val="24"/>
          <w:lang w:val="ca-ES"/>
        </w:rPr>
        <w:t xml:space="preserve">% </w:t>
      </w:r>
      <w:r w:rsidRPr="00C763EA">
        <w:rPr>
          <w:b w:val="0"/>
          <w:bCs/>
          <w:sz w:val="24"/>
          <w:lang w:val="ca-ES"/>
        </w:rPr>
        <w:t>sobre el total d’expedients presentats a Catalunya</w:t>
      </w:r>
      <w:r>
        <w:rPr>
          <w:b w:val="0"/>
          <w:bCs/>
          <w:sz w:val="24"/>
          <w:lang w:val="ca-ES"/>
        </w:rPr>
        <w:t xml:space="preserve">)- afectant a </w:t>
      </w:r>
      <w:r w:rsidR="003C06A1">
        <w:rPr>
          <w:b w:val="0"/>
          <w:bCs/>
          <w:sz w:val="24"/>
          <w:lang w:val="ca-ES"/>
        </w:rPr>
        <w:t>64</w:t>
      </w:r>
      <w:r>
        <w:rPr>
          <w:b w:val="0"/>
          <w:bCs/>
          <w:sz w:val="24"/>
          <w:lang w:val="ca-ES"/>
        </w:rPr>
        <w:t xml:space="preserve"> treballadors-</w:t>
      </w:r>
      <w:r w:rsidRPr="00DC4112">
        <w:rPr>
          <w:b w:val="0"/>
          <w:bCs/>
          <w:sz w:val="24"/>
          <w:lang w:val="ca-ES"/>
        </w:rPr>
        <w:t xml:space="preserve">, </w:t>
      </w:r>
      <w:r w:rsidR="00404E0E">
        <w:rPr>
          <w:b w:val="0"/>
          <w:bCs/>
          <w:sz w:val="24"/>
          <w:lang w:val="ca-ES"/>
        </w:rPr>
        <w:t>7</w:t>
      </w:r>
      <w:r w:rsidRPr="00DC4112">
        <w:rPr>
          <w:b w:val="0"/>
          <w:bCs/>
          <w:sz w:val="24"/>
          <w:lang w:val="ca-ES"/>
        </w:rPr>
        <w:t xml:space="preserve"> han estat de suspensió del contracte de treball</w:t>
      </w:r>
      <w:r w:rsidR="00175A8B">
        <w:rPr>
          <w:b w:val="0"/>
          <w:bCs/>
          <w:sz w:val="24"/>
          <w:lang w:val="ca-ES"/>
        </w:rPr>
        <w:t xml:space="preserve"> (</w:t>
      </w:r>
      <w:r w:rsidR="00404E0E">
        <w:rPr>
          <w:b w:val="0"/>
          <w:bCs/>
          <w:sz w:val="24"/>
          <w:lang w:val="ca-ES"/>
        </w:rPr>
        <w:t>3,78</w:t>
      </w:r>
      <w:r>
        <w:rPr>
          <w:b w:val="0"/>
          <w:bCs/>
          <w:sz w:val="24"/>
          <w:lang w:val="ca-ES"/>
        </w:rPr>
        <w:t xml:space="preserve">% </w:t>
      </w:r>
      <w:r w:rsidRPr="00C763EA">
        <w:rPr>
          <w:b w:val="0"/>
          <w:bCs/>
          <w:sz w:val="24"/>
          <w:lang w:val="ca-ES"/>
        </w:rPr>
        <w:t>sobre el total d’expedients presentats a Catalunya)</w:t>
      </w:r>
      <w:r w:rsidRPr="00DC4112">
        <w:rPr>
          <w:b w:val="0"/>
          <w:bCs/>
          <w:sz w:val="24"/>
          <w:lang w:val="ca-ES"/>
        </w:rPr>
        <w:t xml:space="preserve">, afectant a </w:t>
      </w:r>
      <w:r w:rsidR="003C06A1">
        <w:rPr>
          <w:b w:val="0"/>
          <w:bCs/>
          <w:sz w:val="24"/>
          <w:lang w:val="ca-ES"/>
        </w:rPr>
        <w:t>110</w:t>
      </w:r>
      <w:r>
        <w:rPr>
          <w:b w:val="0"/>
          <w:bCs/>
          <w:sz w:val="24"/>
          <w:lang w:val="ca-ES"/>
        </w:rPr>
        <w:t xml:space="preserve"> treballadors i </w:t>
      </w:r>
      <w:r w:rsidR="00404E0E">
        <w:rPr>
          <w:b w:val="0"/>
          <w:bCs/>
          <w:sz w:val="24"/>
          <w:lang w:val="ca-ES"/>
        </w:rPr>
        <w:t>2</w:t>
      </w:r>
      <w:r w:rsidRPr="00DC4112">
        <w:rPr>
          <w:b w:val="0"/>
          <w:bCs/>
          <w:sz w:val="24"/>
          <w:lang w:val="ca-ES"/>
        </w:rPr>
        <w:t xml:space="preserve"> de reducció de jornada</w:t>
      </w:r>
      <w:r w:rsidR="00175A8B">
        <w:rPr>
          <w:b w:val="0"/>
          <w:bCs/>
          <w:sz w:val="24"/>
          <w:lang w:val="ca-ES"/>
        </w:rPr>
        <w:t xml:space="preserve"> (1</w:t>
      </w:r>
      <w:r>
        <w:rPr>
          <w:b w:val="0"/>
          <w:bCs/>
          <w:sz w:val="24"/>
          <w:lang w:val="ca-ES"/>
        </w:rPr>
        <w:t>,</w:t>
      </w:r>
      <w:r w:rsidR="00404E0E">
        <w:rPr>
          <w:b w:val="0"/>
          <w:bCs/>
          <w:sz w:val="24"/>
          <w:lang w:val="ca-ES"/>
        </w:rPr>
        <w:t>08</w:t>
      </w:r>
      <w:r>
        <w:rPr>
          <w:b w:val="0"/>
          <w:bCs/>
          <w:sz w:val="24"/>
          <w:lang w:val="ca-ES"/>
        </w:rPr>
        <w:t xml:space="preserve">% </w:t>
      </w:r>
      <w:r w:rsidRPr="00C763EA">
        <w:rPr>
          <w:b w:val="0"/>
          <w:bCs/>
          <w:sz w:val="24"/>
          <w:lang w:val="ca-ES"/>
        </w:rPr>
        <w:t>sobre el total d’expedients presentats a Catalunya</w:t>
      </w:r>
      <w:r>
        <w:rPr>
          <w:b w:val="0"/>
          <w:bCs/>
          <w:sz w:val="24"/>
          <w:lang w:val="ca-ES"/>
        </w:rPr>
        <w:t>)</w:t>
      </w:r>
      <w:r w:rsidRPr="00DC4112">
        <w:rPr>
          <w:b w:val="0"/>
          <w:bCs/>
          <w:sz w:val="24"/>
          <w:lang w:val="ca-ES"/>
        </w:rPr>
        <w:t xml:space="preserve">, afectant a </w:t>
      </w:r>
      <w:r w:rsidR="00710179">
        <w:rPr>
          <w:b w:val="0"/>
          <w:bCs/>
          <w:sz w:val="24"/>
          <w:lang w:val="ca-ES"/>
        </w:rPr>
        <w:t>1</w:t>
      </w:r>
      <w:r w:rsidR="003C06A1">
        <w:rPr>
          <w:b w:val="0"/>
          <w:bCs/>
          <w:sz w:val="24"/>
          <w:lang w:val="ca-ES"/>
        </w:rPr>
        <w:t>7</w:t>
      </w:r>
      <w:r w:rsidR="00710179">
        <w:rPr>
          <w:b w:val="0"/>
          <w:bCs/>
          <w:sz w:val="24"/>
          <w:lang w:val="ca-ES"/>
        </w:rPr>
        <w:t xml:space="preserve"> </w:t>
      </w:r>
      <w:r>
        <w:rPr>
          <w:b w:val="0"/>
          <w:bCs/>
          <w:sz w:val="24"/>
          <w:lang w:val="ca-ES"/>
        </w:rPr>
        <w:t>treballadors.</w:t>
      </w:r>
    </w:p>
    <w:p w:rsidR="00767611" w:rsidRDefault="00767611" w:rsidP="00767611">
      <w:pPr>
        <w:pStyle w:val="TEXTBOLD"/>
        <w:spacing w:line="276" w:lineRule="auto"/>
        <w:rPr>
          <w:b w:val="0"/>
          <w:bCs/>
          <w:sz w:val="24"/>
          <w:lang w:val="ca-ES"/>
        </w:rPr>
      </w:pPr>
    </w:p>
    <w:p w:rsidR="00767611" w:rsidRPr="00DC4112" w:rsidRDefault="00767611" w:rsidP="00767611">
      <w:pPr>
        <w:pStyle w:val="TEXTBOLD"/>
        <w:spacing w:line="276" w:lineRule="auto"/>
        <w:rPr>
          <w:b w:val="0"/>
          <w:bCs/>
          <w:sz w:val="24"/>
          <w:lang w:val="ca-ES"/>
        </w:rPr>
      </w:pPr>
      <w:r w:rsidRPr="00DC4112">
        <w:rPr>
          <w:b w:val="0"/>
          <w:bCs/>
          <w:sz w:val="24"/>
          <w:lang w:val="ca-ES"/>
        </w:rPr>
        <w:t xml:space="preserve">A </w:t>
      </w:r>
      <w:r w:rsidRPr="00DC4112">
        <w:rPr>
          <w:b w:val="0"/>
          <w:bCs/>
          <w:sz w:val="24"/>
          <w:u w:val="single"/>
          <w:lang w:val="ca-ES"/>
        </w:rPr>
        <w:t>Terres de l’Ebre</w:t>
      </w:r>
      <w:r>
        <w:rPr>
          <w:rStyle w:val="Refdenotaalpie"/>
          <w:b w:val="0"/>
          <w:bCs/>
          <w:sz w:val="24"/>
          <w:u w:val="single"/>
          <w:lang w:val="ca-ES"/>
        </w:rPr>
        <w:footnoteReference w:id="7"/>
      </w:r>
      <w:r w:rsidRPr="00DC4112">
        <w:rPr>
          <w:b w:val="0"/>
          <w:bCs/>
          <w:sz w:val="24"/>
          <w:lang w:val="ca-ES"/>
        </w:rPr>
        <w:t xml:space="preserve"> del total de </w:t>
      </w:r>
      <w:r w:rsidR="00404E0E">
        <w:rPr>
          <w:b w:val="0"/>
          <w:bCs/>
          <w:sz w:val="24"/>
          <w:lang w:val="ca-ES"/>
        </w:rPr>
        <w:t>11</w:t>
      </w:r>
      <w:r w:rsidR="00597300">
        <w:rPr>
          <w:b w:val="0"/>
          <w:bCs/>
          <w:sz w:val="24"/>
          <w:lang w:val="ca-ES"/>
        </w:rPr>
        <w:t xml:space="preserve"> expedients presentats, </w:t>
      </w:r>
      <w:r w:rsidR="00665349">
        <w:rPr>
          <w:b w:val="0"/>
          <w:bCs/>
          <w:sz w:val="24"/>
          <w:lang w:val="ca-ES"/>
        </w:rPr>
        <w:t>1</w:t>
      </w:r>
      <w:r>
        <w:rPr>
          <w:b w:val="0"/>
          <w:bCs/>
          <w:sz w:val="24"/>
          <w:lang w:val="ca-ES"/>
        </w:rPr>
        <w:t xml:space="preserve"> ha estat d</w:t>
      </w:r>
      <w:r w:rsidR="00404E0E">
        <w:rPr>
          <w:b w:val="0"/>
          <w:bCs/>
          <w:sz w:val="24"/>
          <w:lang w:val="ca-ES"/>
        </w:rPr>
        <w:t>’extinció</w:t>
      </w:r>
      <w:r w:rsidRPr="00DC4112">
        <w:rPr>
          <w:b w:val="0"/>
          <w:bCs/>
          <w:sz w:val="24"/>
          <w:lang w:val="ca-ES"/>
        </w:rPr>
        <w:t xml:space="preserve"> </w:t>
      </w:r>
      <w:r>
        <w:rPr>
          <w:b w:val="0"/>
          <w:bCs/>
          <w:sz w:val="24"/>
          <w:lang w:val="ca-ES"/>
        </w:rPr>
        <w:t>(</w:t>
      </w:r>
      <w:r w:rsidR="00404E0E">
        <w:rPr>
          <w:b w:val="0"/>
          <w:bCs/>
          <w:sz w:val="24"/>
          <w:lang w:val="ca-ES"/>
        </w:rPr>
        <w:t>0,54</w:t>
      </w:r>
      <w:r>
        <w:rPr>
          <w:b w:val="0"/>
          <w:bCs/>
          <w:sz w:val="24"/>
          <w:lang w:val="ca-ES"/>
        </w:rPr>
        <w:t xml:space="preserve">% </w:t>
      </w:r>
      <w:r w:rsidRPr="003435AB">
        <w:rPr>
          <w:b w:val="0"/>
          <w:bCs/>
          <w:sz w:val="24"/>
          <w:lang w:val="ca-ES"/>
        </w:rPr>
        <w:t>sobre el total d’expedients presentats a Catalunya</w:t>
      </w:r>
      <w:r>
        <w:rPr>
          <w:b w:val="0"/>
          <w:bCs/>
          <w:sz w:val="24"/>
          <w:lang w:val="ca-ES"/>
        </w:rPr>
        <w:t>),</w:t>
      </w:r>
      <w:r w:rsidR="00404E0E">
        <w:rPr>
          <w:b w:val="0"/>
          <w:bCs/>
          <w:sz w:val="24"/>
          <w:lang w:val="ca-ES"/>
        </w:rPr>
        <w:t xml:space="preserve"> 6 han estat de suspensió del contracte de treball (3,24% </w:t>
      </w:r>
      <w:r w:rsidR="00404E0E" w:rsidRPr="003435AB">
        <w:rPr>
          <w:b w:val="0"/>
          <w:bCs/>
          <w:sz w:val="24"/>
          <w:lang w:val="ca-ES"/>
        </w:rPr>
        <w:t>sobre el total d’expedients presentats a Catalunya)</w:t>
      </w:r>
      <w:r w:rsidR="00404E0E">
        <w:rPr>
          <w:b w:val="0"/>
          <w:bCs/>
          <w:sz w:val="24"/>
          <w:lang w:val="ca-ES"/>
        </w:rPr>
        <w:t xml:space="preserve"> i els altres 4</w:t>
      </w:r>
      <w:r w:rsidRPr="00DC4112">
        <w:rPr>
          <w:b w:val="0"/>
          <w:bCs/>
          <w:sz w:val="24"/>
          <w:lang w:val="ca-ES"/>
        </w:rPr>
        <w:t xml:space="preserve"> de reducció de jornada</w:t>
      </w:r>
      <w:r>
        <w:rPr>
          <w:b w:val="0"/>
          <w:bCs/>
          <w:sz w:val="24"/>
          <w:lang w:val="ca-ES"/>
        </w:rPr>
        <w:t xml:space="preserve"> (</w:t>
      </w:r>
      <w:r w:rsidR="00404E0E">
        <w:rPr>
          <w:b w:val="0"/>
          <w:bCs/>
          <w:sz w:val="24"/>
          <w:lang w:val="ca-ES"/>
        </w:rPr>
        <w:t>2,16</w:t>
      </w:r>
      <w:r>
        <w:rPr>
          <w:b w:val="0"/>
          <w:bCs/>
          <w:sz w:val="24"/>
          <w:lang w:val="ca-ES"/>
        </w:rPr>
        <w:t xml:space="preserve">% </w:t>
      </w:r>
      <w:r w:rsidRPr="003435AB">
        <w:rPr>
          <w:b w:val="0"/>
          <w:bCs/>
          <w:sz w:val="24"/>
          <w:lang w:val="ca-ES"/>
        </w:rPr>
        <w:t>sobre el total d’expedients presentats a Catalunya)</w:t>
      </w:r>
      <w:r w:rsidRPr="00DC4112">
        <w:rPr>
          <w:b w:val="0"/>
          <w:bCs/>
          <w:sz w:val="24"/>
          <w:lang w:val="ca-ES"/>
        </w:rPr>
        <w:t xml:space="preserve">. </w:t>
      </w:r>
    </w:p>
    <w:p w:rsidR="005C5A7A" w:rsidRDefault="005C5A7A" w:rsidP="00767611">
      <w:pPr>
        <w:pStyle w:val="TEXTBOLD"/>
        <w:spacing w:line="276" w:lineRule="auto"/>
        <w:rPr>
          <w:b w:val="0"/>
          <w:bCs/>
          <w:sz w:val="24"/>
          <w:lang w:val="ca-ES"/>
        </w:rPr>
      </w:pPr>
    </w:p>
    <w:p w:rsidR="00767611" w:rsidRPr="00DC4112" w:rsidRDefault="00767611" w:rsidP="00767611">
      <w:pPr>
        <w:pStyle w:val="TEXTBOLD"/>
        <w:spacing w:line="276" w:lineRule="auto"/>
        <w:rPr>
          <w:b w:val="0"/>
          <w:bCs/>
          <w:sz w:val="24"/>
          <w:lang w:val="ca-ES"/>
        </w:rPr>
      </w:pPr>
      <w:r w:rsidRPr="00DC4112">
        <w:rPr>
          <w:b w:val="0"/>
          <w:bCs/>
          <w:sz w:val="24"/>
          <w:lang w:val="ca-ES"/>
        </w:rPr>
        <w:t xml:space="preserve">Per últim, dels </w:t>
      </w:r>
      <w:r w:rsidR="00665349">
        <w:rPr>
          <w:b w:val="0"/>
          <w:bCs/>
          <w:sz w:val="24"/>
          <w:lang w:val="ca-ES"/>
        </w:rPr>
        <w:t>3</w:t>
      </w:r>
      <w:r w:rsidRPr="00DC4112">
        <w:rPr>
          <w:b w:val="0"/>
          <w:bCs/>
          <w:sz w:val="24"/>
          <w:lang w:val="ca-ES"/>
        </w:rPr>
        <w:t xml:space="preserve"> expedients presentats a </w:t>
      </w:r>
      <w:r w:rsidRPr="00DC4112">
        <w:rPr>
          <w:b w:val="0"/>
          <w:bCs/>
          <w:sz w:val="24"/>
          <w:u w:val="single"/>
          <w:lang w:val="ca-ES"/>
        </w:rPr>
        <w:t xml:space="preserve">la Direcció General de Relacions Laborals </w:t>
      </w:r>
      <w:r w:rsidRPr="003435AB">
        <w:rPr>
          <w:b w:val="0"/>
          <w:bCs/>
          <w:sz w:val="24"/>
          <w:u w:val="single"/>
          <w:lang w:val="ca-ES"/>
        </w:rPr>
        <w:t>i Qualitat</w:t>
      </w:r>
      <w:r>
        <w:rPr>
          <w:rStyle w:val="Refdenotaalpie"/>
          <w:b w:val="0"/>
          <w:bCs/>
          <w:sz w:val="24"/>
          <w:u w:val="single"/>
          <w:lang w:val="ca-ES"/>
        </w:rPr>
        <w:footnoteReference w:id="8"/>
      </w:r>
      <w:r w:rsidRPr="00DC4112">
        <w:rPr>
          <w:b w:val="0"/>
          <w:bCs/>
          <w:sz w:val="24"/>
          <w:lang w:val="ca-ES"/>
        </w:rPr>
        <w:t xml:space="preserve"> en el Treball,</w:t>
      </w:r>
      <w:r w:rsidRPr="003435AB">
        <w:rPr>
          <w:b w:val="0"/>
          <w:bCs/>
          <w:sz w:val="24"/>
          <w:lang w:val="ca-ES"/>
        </w:rPr>
        <w:t xml:space="preserve"> </w:t>
      </w:r>
      <w:r w:rsidR="00597300">
        <w:rPr>
          <w:b w:val="0"/>
          <w:bCs/>
          <w:sz w:val="24"/>
          <w:lang w:val="ca-ES"/>
        </w:rPr>
        <w:t xml:space="preserve">els </w:t>
      </w:r>
      <w:r w:rsidR="00665349">
        <w:rPr>
          <w:b w:val="0"/>
          <w:bCs/>
          <w:sz w:val="24"/>
          <w:lang w:val="ca-ES"/>
        </w:rPr>
        <w:t>3</w:t>
      </w:r>
      <w:r>
        <w:rPr>
          <w:b w:val="0"/>
          <w:bCs/>
          <w:sz w:val="24"/>
          <w:lang w:val="ca-ES"/>
        </w:rPr>
        <w:t xml:space="preserve"> </w:t>
      </w:r>
      <w:r w:rsidRPr="00DC4112">
        <w:rPr>
          <w:b w:val="0"/>
          <w:bCs/>
          <w:sz w:val="24"/>
          <w:lang w:val="ca-ES"/>
        </w:rPr>
        <w:t>han estat</w:t>
      </w:r>
      <w:r w:rsidR="00597300">
        <w:rPr>
          <w:b w:val="0"/>
          <w:bCs/>
          <w:sz w:val="24"/>
          <w:lang w:val="ca-ES"/>
        </w:rPr>
        <w:t xml:space="preserve"> d’extinció</w:t>
      </w:r>
      <w:r w:rsidRPr="00DC4112">
        <w:rPr>
          <w:b w:val="0"/>
          <w:bCs/>
          <w:sz w:val="24"/>
          <w:lang w:val="ca-ES"/>
        </w:rPr>
        <w:t xml:space="preserve"> </w:t>
      </w:r>
      <w:r w:rsidR="00597300">
        <w:rPr>
          <w:b w:val="0"/>
          <w:bCs/>
          <w:sz w:val="24"/>
          <w:lang w:val="ca-ES"/>
        </w:rPr>
        <w:t xml:space="preserve"> (</w:t>
      </w:r>
      <w:r w:rsidR="003C06A1">
        <w:rPr>
          <w:b w:val="0"/>
          <w:bCs/>
          <w:sz w:val="24"/>
          <w:lang w:val="ca-ES"/>
        </w:rPr>
        <w:t>1,62</w:t>
      </w:r>
      <w:r w:rsidR="00597300">
        <w:rPr>
          <w:b w:val="0"/>
          <w:bCs/>
          <w:sz w:val="24"/>
          <w:lang w:val="ca-ES"/>
        </w:rPr>
        <w:t>%</w:t>
      </w:r>
      <w:r>
        <w:rPr>
          <w:b w:val="0"/>
          <w:bCs/>
          <w:sz w:val="24"/>
          <w:lang w:val="ca-ES"/>
        </w:rPr>
        <w:t xml:space="preserve"> </w:t>
      </w:r>
      <w:r w:rsidRPr="003435AB">
        <w:rPr>
          <w:b w:val="0"/>
          <w:bCs/>
          <w:sz w:val="24"/>
          <w:lang w:val="ca-ES"/>
        </w:rPr>
        <w:t>sobre el total d’expedients presentats a Catalunya</w:t>
      </w:r>
      <w:r>
        <w:rPr>
          <w:b w:val="0"/>
          <w:bCs/>
          <w:sz w:val="24"/>
          <w:lang w:val="ca-ES"/>
        </w:rPr>
        <w:t>)</w:t>
      </w:r>
      <w:r w:rsidRPr="00DC4112">
        <w:rPr>
          <w:b w:val="0"/>
          <w:bCs/>
          <w:sz w:val="24"/>
          <w:lang w:val="ca-ES"/>
        </w:rPr>
        <w:t xml:space="preserve">. </w:t>
      </w:r>
    </w:p>
    <w:p w:rsidR="00767611" w:rsidRDefault="00767611" w:rsidP="00767611">
      <w:pPr>
        <w:pStyle w:val="TEXTBOLD"/>
        <w:spacing w:line="276" w:lineRule="auto"/>
        <w:rPr>
          <w:b w:val="0"/>
          <w:bCs/>
          <w:sz w:val="24"/>
          <w:lang w:val="ca-ES"/>
        </w:rPr>
      </w:pPr>
    </w:p>
    <w:p w:rsidR="00767611" w:rsidRDefault="00767611" w:rsidP="00767611">
      <w:pPr>
        <w:pStyle w:val="TEXTBOLD"/>
        <w:spacing w:line="276" w:lineRule="auto"/>
        <w:rPr>
          <w:b w:val="0"/>
          <w:bCs/>
          <w:sz w:val="24"/>
          <w:lang w:val="ca-ES"/>
        </w:rPr>
      </w:pPr>
      <w:r w:rsidRPr="00DC4112">
        <w:rPr>
          <w:b w:val="0"/>
          <w:bCs/>
          <w:sz w:val="24"/>
          <w:lang w:val="ca-ES"/>
        </w:rPr>
        <w:t>En el quadre següent es pot observar els expedients en atenció a la seva distribució territorial, treballadors afectats i tipus d’expedient:</w:t>
      </w:r>
    </w:p>
    <w:p w:rsidR="00767611" w:rsidRPr="00EA5418" w:rsidRDefault="00767611" w:rsidP="00767611">
      <w:pPr>
        <w:pStyle w:val="TEXTBOLD"/>
        <w:spacing w:line="276" w:lineRule="auto"/>
        <w:rPr>
          <w:rFonts w:cs="Times New Roman"/>
          <w:color w:val="C1002B"/>
          <w:szCs w:val="28"/>
          <w:lang w:val="ca-ES" w:eastAsia="en-US"/>
        </w:rPr>
      </w:pPr>
    </w:p>
    <w:tbl>
      <w:tblPr>
        <w:tblW w:w="9478" w:type="dxa"/>
        <w:tblInd w:w="108" w:type="dxa"/>
        <w:tblLayout w:type="fixed"/>
        <w:tblCellMar>
          <w:left w:w="0" w:type="dxa"/>
          <w:right w:w="0" w:type="dxa"/>
        </w:tblCellMar>
        <w:tblLook w:val="00A0" w:firstRow="1" w:lastRow="0" w:firstColumn="1" w:lastColumn="0" w:noHBand="0" w:noVBand="0"/>
      </w:tblPr>
      <w:tblGrid>
        <w:gridCol w:w="1276"/>
        <w:gridCol w:w="1134"/>
        <w:gridCol w:w="992"/>
        <w:gridCol w:w="993"/>
        <w:gridCol w:w="992"/>
        <w:gridCol w:w="992"/>
        <w:gridCol w:w="992"/>
        <w:gridCol w:w="993"/>
        <w:gridCol w:w="1086"/>
        <w:gridCol w:w="28"/>
      </w:tblGrid>
      <w:tr w:rsidR="00767611" w:rsidRPr="00EA5418" w:rsidTr="00767611">
        <w:trPr>
          <w:trHeight w:val="225"/>
        </w:trPr>
        <w:tc>
          <w:tcPr>
            <w:tcW w:w="1276" w:type="dxa"/>
            <w:vMerge w:val="restart"/>
            <w:tcBorders>
              <w:top w:val="nil"/>
              <w:left w:val="nil"/>
              <w:right w:val="nil"/>
            </w:tcBorders>
            <w:tcMar>
              <w:top w:w="0" w:type="dxa"/>
              <w:left w:w="108" w:type="dxa"/>
              <w:bottom w:w="0" w:type="dxa"/>
              <w:right w:w="108" w:type="dxa"/>
            </w:tcMar>
          </w:tcPr>
          <w:p w:rsidR="00767611" w:rsidRPr="00EA5418" w:rsidRDefault="00767611" w:rsidP="00767611">
            <w:pPr>
              <w:spacing w:line="276" w:lineRule="auto"/>
              <w:jc w:val="center"/>
              <w:rPr>
                <w:rFonts w:ascii="Rotis Sans Serif Std" w:hAnsi="Rotis Sans Serif Std"/>
                <w:color w:val="5E6061"/>
                <w:sz w:val="36"/>
                <w:szCs w:val="36"/>
                <w:lang w:eastAsia="es-ES_tradnl"/>
              </w:rPr>
            </w:pPr>
          </w:p>
        </w:tc>
        <w:tc>
          <w:tcPr>
            <w:tcW w:w="2126" w:type="dxa"/>
            <w:gridSpan w:val="2"/>
            <w:tcBorders>
              <w:top w:val="single" w:sz="2" w:space="0" w:color="FFFFFF"/>
              <w:left w:val="nil"/>
              <w:bottom w:val="single" w:sz="4" w:space="0" w:color="auto"/>
              <w:right w:val="single" w:sz="8" w:space="0" w:color="FFFFFF"/>
            </w:tcBorders>
            <w:shd w:val="clear" w:color="auto" w:fill="C1002B"/>
            <w:tcMar>
              <w:top w:w="0" w:type="dxa"/>
              <w:left w:w="108" w:type="dxa"/>
              <w:bottom w:w="0" w:type="dxa"/>
              <w:right w:w="108" w:type="dxa"/>
            </w:tcMar>
            <w:vAlign w:val="center"/>
          </w:tcPr>
          <w:p w:rsidR="00767611" w:rsidRPr="00EA5418" w:rsidRDefault="00767611"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TOTAL</w:t>
            </w:r>
          </w:p>
        </w:tc>
        <w:tc>
          <w:tcPr>
            <w:tcW w:w="1985" w:type="dxa"/>
            <w:gridSpan w:val="2"/>
            <w:tcBorders>
              <w:top w:val="single" w:sz="2" w:space="0" w:color="FFFFFF"/>
              <w:left w:val="single" w:sz="8" w:space="0" w:color="FFFFFF"/>
              <w:bottom w:val="single" w:sz="4" w:space="0" w:color="auto"/>
            </w:tcBorders>
            <w:shd w:val="clear" w:color="auto" w:fill="C1002B"/>
            <w:vAlign w:val="center"/>
          </w:tcPr>
          <w:p w:rsidR="00767611" w:rsidRPr="00EA5418" w:rsidRDefault="00767611"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SUSPENSIÓ</w:t>
            </w:r>
          </w:p>
        </w:tc>
        <w:tc>
          <w:tcPr>
            <w:tcW w:w="1984" w:type="dxa"/>
            <w:gridSpan w:val="2"/>
            <w:tcBorders>
              <w:top w:val="single" w:sz="2" w:space="0" w:color="FFFFFF"/>
              <w:left w:val="single" w:sz="2" w:space="0" w:color="FFFFFF"/>
              <w:bottom w:val="single" w:sz="4" w:space="0" w:color="auto"/>
            </w:tcBorders>
            <w:shd w:val="clear" w:color="auto" w:fill="C1002B"/>
            <w:vAlign w:val="center"/>
          </w:tcPr>
          <w:p w:rsidR="00767611" w:rsidRPr="00EA5418" w:rsidRDefault="00767611"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REDUCCIÓ</w:t>
            </w:r>
          </w:p>
        </w:tc>
        <w:tc>
          <w:tcPr>
            <w:tcW w:w="2079" w:type="dxa"/>
            <w:gridSpan w:val="2"/>
            <w:tcBorders>
              <w:top w:val="single" w:sz="2" w:space="0" w:color="FFFFFF"/>
              <w:left w:val="single" w:sz="2" w:space="0" w:color="FFFFFF"/>
              <w:bottom w:val="single" w:sz="4" w:space="0" w:color="auto"/>
            </w:tcBorders>
            <w:shd w:val="clear" w:color="auto" w:fill="C1002B"/>
            <w:vAlign w:val="center"/>
          </w:tcPr>
          <w:p w:rsidR="00767611" w:rsidRPr="00EA5418" w:rsidRDefault="00767611"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EXTINCIÓ</w:t>
            </w:r>
          </w:p>
        </w:tc>
        <w:tc>
          <w:tcPr>
            <w:tcW w:w="28" w:type="dxa"/>
            <w:vMerge w:val="restart"/>
            <w:tcBorders>
              <w:top w:val="single" w:sz="2" w:space="0" w:color="FFFFFF"/>
              <w:left w:val="single" w:sz="2" w:space="0" w:color="FFFFFF"/>
            </w:tcBorders>
          </w:tcPr>
          <w:p w:rsidR="00767611" w:rsidRPr="00EA5418" w:rsidRDefault="00767611" w:rsidP="00767611">
            <w:pPr>
              <w:spacing w:line="276" w:lineRule="auto"/>
              <w:jc w:val="center"/>
              <w:rPr>
                <w:rFonts w:ascii="Rotis Sans Serif Std" w:hAnsi="Rotis Sans Serif Std"/>
                <w:color w:val="FFFFFF"/>
                <w:sz w:val="20"/>
                <w:szCs w:val="20"/>
                <w:lang w:eastAsia="es-ES"/>
              </w:rPr>
            </w:pPr>
          </w:p>
        </w:tc>
      </w:tr>
      <w:tr w:rsidR="00767611" w:rsidRPr="00EA5418" w:rsidTr="00767611">
        <w:trPr>
          <w:trHeight w:val="188"/>
        </w:trPr>
        <w:tc>
          <w:tcPr>
            <w:tcW w:w="1276" w:type="dxa"/>
            <w:vMerge/>
            <w:tcBorders>
              <w:left w:val="nil"/>
              <w:bottom w:val="single" w:sz="24" w:space="0" w:color="FFFFFF"/>
              <w:right w:val="nil"/>
            </w:tcBorders>
            <w:tcMar>
              <w:top w:w="0" w:type="dxa"/>
              <w:left w:w="108" w:type="dxa"/>
              <w:bottom w:w="0" w:type="dxa"/>
              <w:right w:w="108" w:type="dxa"/>
            </w:tcMar>
          </w:tcPr>
          <w:p w:rsidR="00767611" w:rsidRPr="00EA5418" w:rsidRDefault="00767611" w:rsidP="00767611">
            <w:pPr>
              <w:spacing w:line="276" w:lineRule="auto"/>
              <w:jc w:val="center"/>
              <w:rPr>
                <w:rFonts w:ascii="Rotis Sans Serif Std" w:hAnsi="Rotis Sans Serif Std"/>
                <w:color w:val="5E6061"/>
                <w:sz w:val="36"/>
                <w:szCs w:val="36"/>
                <w:lang w:eastAsia="es-ES_tradnl"/>
              </w:rPr>
            </w:pPr>
          </w:p>
        </w:tc>
        <w:tc>
          <w:tcPr>
            <w:tcW w:w="1134" w:type="dxa"/>
            <w:tcBorders>
              <w:top w:val="single" w:sz="8" w:space="0" w:color="FFFFFF"/>
              <w:left w:val="nil"/>
              <w:bottom w:val="single" w:sz="24" w:space="0" w:color="FFFFFF"/>
              <w:right w:val="single" w:sz="8" w:space="0" w:color="FFFFFF"/>
            </w:tcBorders>
            <w:shd w:val="clear" w:color="auto" w:fill="C1002B"/>
            <w:tcMar>
              <w:top w:w="0" w:type="dxa"/>
              <w:left w:w="108" w:type="dxa"/>
              <w:bottom w:w="0" w:type="dxa"/>
              <w:right w:w="108" w:type="dxa"/>
            </w:tcMar>
            <w:vAlign w:val="center"/>
          </w:tcPr>
          <w:p w:rsidR="00767611" w:rsidRPr="00EA5418" w:rsidRDefault="00767611"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Expedients</w:t>
            </w:r>
          </w:p>
        </w:tc>
        <w:tc>
          <w:tcPr>
            <w:tcW w:w="992" w:type="dxa"/>
            <w:tcBorders>
              <w:top w:val="single" w:sz="8" w:space="0" w:color="FFFFFF"/>
              <w:left w:val="single" w:sz="8" w:space="0" w:color="FFFFFF"/>
              <w:bottom w:val="single" w:sz="24" w:space="0" w:color="FFFFFF"/>
              <w:right w:val="single" w:sz="8" w:space="0" w:color="FFFFFF"/>
            </w:tcBorders>
            <w:shd w:val="clear" w:color="auto" w:fill="C1002B"/>
            <w:vAlign w:val="center"/>
          </w:tcPr>
          <w:p w:rsidR="00767611" w:rsidRPr="00EA5418" w:rsidRDefault="00767611"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Treballadors</w:t>
            </w:r>
          </w:p>
        </w:tc>
        <w:tc>
          <w:tcPr>
            <w:tcW w:w="993" w:type="dxa"/>
            <w:tcBorders>
              <w:top w:val="single" w:sz="8" w:space="0" w:color="FFFFFF"/>
              <w:left w:val="single" w:sz="8" w:space="0" w:color="FFFFFF"/>
              <w:bottom w:val="single" w:sz="24" w:space="0" w:color="FFFFFF"/>
              <w:right w:val="single" w:sz="4" w:space="0" w:color="FFFFFF"/>
            </w:tcBorders>
            <w:shd w:val="clear" w:color="auto" w:fill="C1002B"/>
            <w:vAlign w:val="center"/>
          </w:tcPr>
          <w:p w:rsidR="00767611" w:rsidRPr="00EA5418" w:rsidRDefault="00767611"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Expedients</w:t>
            </w:r>
          </w:p>
        </w:tc>
        <w:tc>
          <w:tcPr>
            <w:tcW w:w="992" w:type="dxa"/>
            <w:tcBorders>
              <w:top w:val="single" w:sz="8" w:space="0" w:color="FFFFFF"/>
              <w:left w:val="single" w:sz="4" w:space="0" w:color="FFFFFF"/>
              <w:bottom w:val="single" w:sz="24" w:space="0" w:color="FFFFFF"/>
            </w:tcBorders>
            <w:shd w:val="clear" w:color="auto" w:fill="C1002B"/>
            <w:vAlign w:val="center"/>
          </w:tcPr>
          <w:p w:rsidR="00767611" w:rsidRPr="00EA5418" w:rsidRDefault="00767611"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Treballadors</w:t>
            </w:r>
          </w:p>
        </w:tc>
        <w:tc>
          <w:tcPr>
            <w:tcW w:w="992" w:type="dxa"/>
            <w:tcBorders>
              <w:top w:val="single" w:sz="8" w:space="0" w:color="FFFFFF"/>
              <w:left w:val="single" w:sz="2" w:space="0" w:color="FFFFFF"/>
              <w:bottom w:val="single" w:sz="24" w:space="0" w:color="FFFFFF"/>
              <w:right w:val="single" w:sz="8" w:space="0" w:color="FFFFFF"/>
            </w:tcBorders>
            <w:shd w:val="clear" w:color="auto" w:fill="C1002B"/>
            <w:vAlign w:val="center"/>
          </w:tcPr>
          <w:p w:rsidR="00767611" w:rsidRPr="00EA5418" w:rsidRDefault="00767611"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Expedients</w:t>
            </w:r>
          </w:p>
        </w:tc>
        <w:tc>
          <w:tcPr>
            <w:tcW w:w="992" w:type="dxa"/>
            <w:tcBorders>
              <w:top w:val="single" w:sz="8" w:space="0" w:color="FFFFFF"/>
              <w:left w:val="single" w:sz="8" w:space="0" w:color="FFFFFF"/>
              <w:bottom w:val="single" w:sz="24" w:space="0" w:color="FFFFFF"/>
              <w:right w:val="single" w:sz="8" w:space="0" w:color="FFFFFF"/>
            </w:tcBorders>
            <w:shd w:val="clear" w:color="auto" w:fill="C1002B"/>
            <w:vAlign w:val="center"/>
          </w:tcPr>
          <w:p w:rsidR="00767611" w:rsidRPr="00EA5418" w:rsidRDefault="00767611"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Treballadors</w:t>
            </w:r>
          </w:p>
        </w:tc>
        <w:tc>
          <w:tcPr>
            <w:tcW w:w="993" w:type="dxa"/>
            <w:tcBorders>
              <w:top w:val="single" w:sz="8" w:space="0" w:color="FFFFFF"/>
              <w:left w:val="single" w:sz="8" w:space="0" w:color="FFFFFF"/>
              <w:bottom w:val="single" w:sz="24" w:space="0" w:color="FFFFFF"/>
              <w:right w:val="single" w:sz="8" w:space="0" w:color="FFFFFF"/>
            </w:tcBorders>
            <w:shd w:val="clear" w:color="auto" w:fill="C1002B"/>
            <w:vAlign w:val="center"/>
          </w:tcPr>
          <w:p w:rsidR="00767611" w:rsidRPr="00EA5418" w:rsidRDefault="00767611"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Expedients</w:t>
            </w:r>
          </w:p>
        </w:tc>
        <w:tc>
          <w:tcPr>
            <w:tcW w:w="1086" w:type="dxa"/>
            <w:tcBorders>
              <w:top w:val="single" w:sz="8" w:space="0" w:color="FFFFFF"/>
              <w:left w:val="single" w:sz="8" w:space="0" w:color="FFFFFF"/>
              <w:bottom w:val="single" w:sz="24" w:space="0" w:color="FFFFFF"/>
            </w:tcBorders>
            <w:shd w:val="clear" w:color="auto" w:fill="C1002B"/>
            <w:vAlign w:val="center"/>
          </w:tcPr>
          <w:p w:rsidR="00767611" w:rsidRPr="00EA5418" w:rsidRDefault="00767611"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Treballadors</w:t>
            </w:r>
          </w:p>
        </w:tc>
        <w:tc>
          <w:tcPr>
            <w:tcW w:w="28" w:type="dxa"/>
            <w:vMerge/>
            <w:tcBorders>
              <w:left w:val="single" w:sz="2" w:space="0" w:color="FFFFFF"/>
              <w:bottom w:val="single" w:sz="24" w:space="0" w:color="FFFFFF"/>
            </w:tcBorders>
          </w:tcPr>
          <w:p w:rsidR="00767611" w:rsidRPr="00EA5418" w:rsidRDefault="00767611" w:rsidP="00767611">
            <w:pPr>
              <w:spacing w:line="276" w:lineRule="auto"/>
              <w:jc w:val="center"/>
              <w:rPr>
                <w:rFonts w:ascii="Rotis Sans Serif Std" w:hAnsi="Rotis Sans Serif Std"/>
                <w:color w:val="FFFFFF"/>
                <w:sz w:val="20"/>
                <w:szCs w:val="20"/>
                <w:lang w:eastAsia="es-ES"/>
              </w:rPr>
            </w:pPr>
          </w:p>
        </w:tc>
      </w:tr>
      <w:tr w:rsidR="00EF2C66" w:rsidRPr="00EA5418" w:rsidTr="00EF2C66">
        <w:trPr>
          <w:trHeight w:val="376"/>
        </w:trPr>
        <w:tc>
          <w:tcPr>
            <w:tcW w:w="1276" w:type="dxa"/>
            <w:tcBorders>
              <w:top w:val="nil"/>
              <w:left w:val="single" w:sz="24" w:space="0" w:color="FFFFFF"/>
              <w:bottom w:val="single" w:sz="24" w:space="0" w:color="FFFFFF"/>
              <w:right w:val="single" w:sz="24" w:space="0" w:color="FFFFFF"/>
            </w:tcBorders>
            <w:shd w:val="clear" w:color="auto" w:fill="C1002B"/>
            <w:tcMar>
              <w:top w:w="0" w:type="dxa"/>
              <w:left w:w="108" w:type="dxa"/>
              <w:bottom w:w="0" w:type="dxa"/>
              <w:right w:w="108" w:type="dxa"/>
            </w:tcMar>
            <w:vAlign w:val="center"/>
          </w:tcPr>
          <w:p w:rsidR="00EF2C66" w:rsidRPr="00EA5418" w:rsidRDefault="00EF2C66" w:rsidP="00767611">
            <w:pPr>
              <w:spacing w:line="276" w:lineRule="auto"/>
              <w:jc w:val="center"/>
              <w:rPr>
                <w:rFonts w:ascii="Rotis Sans Serif Std" w:hAnsi="Rotis Sans Serif Std"/>
                <w:color w:val="FFFFFF"/>
                <w:sz w:val="20"/>
                <w:szCs w:val="20"/>
              </w:rPr>
            </w:pPr>
            <w:r w:rsidRPr="00EA5418">
              <w:rPr>
                <w:rFonts w:ascii="Rotis Sans Serif Std" w:hAnsi="Rotis Sans Serif Std"/>
                <w:color w:val="FFFFFF"/>
                <w:sz w:val="20"/>
                <w:szCs w:val="20"/>
                <w:lang w:eastAsia="es-ES"/>
              </w:rPr>
              <w:t>BARCELONA</w:t>
            </w:r>
          </w:p>
        </w:tc>
        <w:tc>
          <w:tcPr>
            <w:tcW w:w="1134" w:type="dxa"/>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138</w:t>
            </w:r>
          </w:p>
        </w:tc>
        <w:tc>
          <w:tcPr>
            <w:tcW w:w="992" w:type="dxa"/>
            <w:tcBorders>
              <w:top w:val="nil"/>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3575</w:t>
            </w:r>
          </w:p>
        </w:tc>
        <w:tc>
          <w:tcPr>
            <w:tcW w:w="993" w:type="dxa"/>
            <w:tcBorders>
              <w:top w:val="nil"/>
              <w:left w:val="single" w:sz="24" w:space="0" w:color="FFFFFF"/>
              <w:bottom w:val="single" w:sz="24" w:space="0" w:color="FFFFFF"/>
              <w:right w:val="single" w:sz="2"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60</w:t>
            </w:r>
          </w:p>
        </w:tc>
        <w:tc>
          <w:tcPr>
            <w:tcW w:w="992" w:type="dxa"/>
            <w:tcBorders>
              <w:top w:val="nil"/>
              <w:left w:val="single" w:sz="24" w:space="0" w:color="FFFFFF"/>
              <w:bottom w:val="single" w:sz="24" w:space="0" w:color="FFFFFF"/>
              <w:right w:val="single" w:sz="2"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1921</w:t>
            </w:r>
          </w:p>
        </w:tc>
        <w:tc>
          <w:tcPr>
            <w:tcW w:w="992" w:type="dxa"/>
            <w:tcBorders>
              <w:top w:val="nil"/>
              <w:left w:val="single" w:sz="2"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15</w:t>
            </w:r>
          </w:p>
        </w:tc>
        <w:tc>
          <w:tcPr>
            <w:tcW w:w="992" w:type="dxa"/>
            <w:tcBorders>
              <w:top w:val="nil"/>
              <w:left w:val="single" w:sz="24" w:space="0" w:color="FFFFFF"/>
              <w:bottom w:val="single" w:sz="24" w:space="0" w:color="FFFFFF"/>
              <w:right w:val="single" w:sz="24" w:space="0" w:color="FFFFFF"/>
            </w:tcBorders>
            <w:shd w:val="clear" w:color="auto" w:fill="EFD3D2"/>
            <w:vAlign w:val="center"/>
          </w:tcPr>
          <w:p w:rsidR="00EF2C66" w:rsidRPr="005C5A7A" w:rsidRDefault="00EF2C66" w:rsidP="00EF2C66">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82</w:t>
            </w:r>
          </w:p>
        </w:tc>
        <w:tc>
          <w:tcPr>
            <w:tcW w:w="993" w:type="dxa"/>
            <w:tcBorders>
              <w:top w:val="nil"/>
              <w:left w:val="single" w:sz="24" w:space="0" w:color="FFFFFF"/>
              <w:bottom w:val="single" w:sz="24" w:space="0" w:color="FFFFFF"/>
              <w:right w:val="single" w:sz="24" w:space="0" w:color="FFFFFF"/>
            </w:tcBorders>
            <w:shd w:val="clear" w:color="auto" w:fill="EFD3D2"/>
            <w:vAlign w:val="center"/>
          </w:tcPr>
          <w:p w:rsidR="00EF2C66" w:rsidRPr="00EF2C66" w:rsidRDefault="00EF2C66" w:rsidP="00EF2C66">
            <w:pPr>
              <w:jc w:val="center"/>
              <w:rPr>
                <w:rFonts w:ascii="Rotis Sans Serif Std" w:hAnsi="Rotis Sans Serif Std"/>
                <w:sz w:val="20"/>
                <w:szCs w:val="20"/>
                <w:lang w:eastAsia="es-ES_tradnl"/>
              </w:rPr>
            </w:pPr>
            <w:r w:rsidRPr="00EF2C66">
              <w:rPr>
                <w:rFonts w:ascii="Rotis Sans Serif Std" w:hAnsi="Rotis Sans Serif Std"/>
                <w:sz w:val="20"/>
                <w:szCs w:val="20"/>
                <w:lang w:eastAsia="es-ES_tradnl"/>
              </w:rPr>
              <w:t>63</w:t>
            </w:r>
          </w:p>
        </w:tc>
        <w:tc>
          <w:tcPr>
            <w:tcW w:w="1114" w:type="dxa"/>
            <w:gridSpan w:val="2"/>
            <w:tcBorders>
              <w:top w:val="nil"/>
              <w:left w:val="single" w:sz="24" w:space="0" w:color="FFFFFF"/>
              <w:bottom w:val="single" w:sz="24" w:space="0" w:color="FFFFFF"/>
              <w:right w:val="single" w:sz="2" w:space="0" w:color="FFFFFF"/>
            </w:tcBorders>
            <w:shd w:val="clear" w:color="auto" w:fill="EFD3D2"/>
            <w:vAlign w:val="center"/>
          </w:tcPr>
          <w:p w:rsidR="00EF2C66" w:rsidRPr="00EF2C66" w:rsidRDefault="00EF2C66" w:rsidP="00EF2C66">
            <w:pPr>
              <w:jc w:val="center"/>
              <w:rPr>
                <w:rFonts w:ascii="Rotis Sans Serif Std" w:hAnsi="Rotis Sans Serif Std"/>
                <w:sz w:val="20"/>
                <w:szCs w:val="20"/>
                <w:lang w:eastAsia="es-ES_tradnl"/>
              </w:rPr>
            </w:pPr>
            <w:r w:rsidRPr="00EF2C66">
              <w:rPr>
                <w:rFonts w:ascii="Rotis Sans Serif Std" w:hAnsi="Rotis Sans Serif Std"/>
                <w:sz w:val="20"/>
                <w:szCs w:val="20"/>
                <w:lang w:eastAsia="es-ES_tradnl"/>
              </w:rPr>
              <w:t>1572</w:t>
            </w:r>
          </w:p>
        </w:tc>
      </w:tr>
      <w:tr w:rsidR="00EF2C66" w:rsidRPr="00EA5418" w:rsidTr="00EF2C66">
        <w:tc>
          <w:tcPr>
            <w:tcW w:w="1276" w:type="dxa"/>
            <w:tcBorders>
              <w:top w:val="nil"/>
              <w:left w:val="single" w:sz="24" w:space="0" w:color="FFFFFF"/>
              <w:bottom w:val="single" w:sz="24" w:space="0" w:color="FFFFFF"/>
              <w:right w:val="single" w:sz="24" w:space="0" w:color="FFFFFF"/>
            </w:tcBorders>
            <w:shd w:val="clear" w:color="auto" w:fill="C1002B"/>
            <w:tcMar>
              <w:top w:w="0" w:type="dxa"/>
              <w:left w:w="108" w:type="dxa"/>
              <w:bottom w:w="0" w:type="dxa"/>
              <w:right w:w="108" w:type="dxa"/>
            </w:tcMar>
            <w:vAlign w:val="center"/>
          </w:tcPr>
          <w:p w:rsidR="00EF2C66" w:rsidRPr="00EA5418" w:rsidRDefault="00EF2C66" w:rsidP="00767611">
            <w:pPr>
              <w:spacing w:line="276" w:lineRule="auto"/>
              <w:jc w:val="center"/>
              <w:rPr>
                <w:rFonts w:ascii="Rotis Sans Serif Std" w:hAnsi="Rotis Sans Serif Std"/>
                <w:color w:val="FFFFFF"/>
                <w:sz w:val="20"/>
                <w:szCs w:val="20"/>
              </w:rPr>
            </w:pPr>
            <w:r w:rsidRPr="00EA5418">
              <w:rPr>
                <w:rFonts w:ascii="Rotis Sans Serif Std" w:hAnsi="Rotis Sans Serif Std"/>
                <w:color w:val="FFFFFF"/>
                <w:sz w:val="20"/>
                <w:szCs w:val="20"/>
                <w:lang w:eastAsia="es-ES"/>
              </w:rPr>
              <w:t>GIRONA</w:t>
            </w:r>
          </w:p>
        </w:tc>
        <w:tc>
          <w:tcPr>
            <w:tcW w:w="1134" w:type="dxa"/>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17</w:t>
            </w:r>
          </w:p>
        </w:tc>
        <w:tc>
          <w:tcPr>
            <w:tcW w:w="992" w:type="dxa"/>
            <w:tcBorders>
              <w:top w:val="nil"/>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313</w:t>
            </w:r>
          </w:p>
        </w:tc>
        <w:tc>
          <w:tcPr>
            <w:tcW w:w="993" w:type="dxa"/>
            <w:tcBorders>
              <w:top w:val="single" w:sz="24" w:space="0" w:color="FFFFFF"/>
              <w:left w:val="single" w:sz="24" w:space="0" w:color="FFFFFF"/>
              <w:bottom w:val="single" w:sz="24" w:space="0" w:color="FFFFFF"/>
              <w:right w:val="single" w:sz="24"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13</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225</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3</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EF2C66">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28</w:t>
            </w:r>
          </w:p>
        </w:tc>
        <w:tc>
          <w:tcPr>
            <w:tcW w:w="993"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EF2C66" w:rsidRDefault="00EF2C66" w:rsidP="00EF2C66">
            <w:pPr>
              <w:jc w:val="center"/>
              <w:rPr>
                <w:rFonts w:ascii="Rotis Sans Serif Std" w:hAnsi="Rotis Sans Serif Std"/>
                <w:sz w:val="20"/>
                <w:szCs w:val="20"/>
                <w:lang w:eastAsia="es-ES_tradnl"/>
              </w:rPr>
            </w:pPr>
            <w:r w:rsidRPr="00EF2C66">
              <w:rPr>
                <w:rFonts w:ascii="Rotis Sans Serif Std" w:hAnsi="Rotis Sans Serif Std"/>
                <w:sz w:val="20"/>
                <w:szCs w:val="20"/>
                <w:lang w:eastAsia="es-ES_tradnl"/>
              </w:rPr>
              <w:t>1</w:t>
            </w:r>
          </w:p>
        </w:tc>
        <w:tc>
          <w:tcPr>
            <w:tcW w:w="1114" w:type="dxa"/>
            <w:gridSpan w:val="2"/>
            <w:tcBorders>
              <w:top w:val="single" w:sz="24" w:space="0" w:color="FFFFFF"/>
              <w:left w:val="single" w:sz="24" w:space="0" w:color="FFFFFF"/>
              <w:bottom w:val="single" w:sz="24" w:space="0" w:color="FFFFFF"/>
              <w:right w:val="single" w:sz="2" w:space="0" w:color="FFFFFF"/>
            </w:tcBorders>
            <w:shd w:val="clear" w:color="auto" w:fill="EFD3D2"/>
            <w:vAlign w:val="center"/>
          </w:tcPr>
          <w:p w:rsidR="00EF2C66" w:rsidRPr="00EF2C66" w:rsidRDefault="00EF2C66" w:rsidP="00EF2C66">
            <w:pPr>
              <w:jc w:val="center"/>
              <w:rPr>
                <w:rFonts w:ascii="Rotis Sans Serif Std" w:hAnsi="Rotis Sans Serif Std"/>
                <w:sz w:val="20"/>
                <w:szCs w:val="20"/>
                <w:lang w:eastAsia="es-ES_tradnl"/>
              </w:rPr>
            </w:pPr>
            <w:r w:rsidRPr="00EF2C66">
              <w:rPr>
                <w:rFonts w:ascii="Rotis Sans Serif Std" w:hAnsi="Rotis Sans Serif Std"/>
                <w:sz w:val="20"/>
                <w:szCs w:val="20"/>
                <w:lang w:eastAsia="es-ES_tradnl"/>
              </w:rPr>
              <w:t>60</w:t>
            </w:r>
          </w:p>
        </w:tc>
      </w:tr>
      <w:tr w:rsidR="00EF2C66" w:rsidRPr="00EA5418" w:rsidTr="00EF2C66">
        <w:tc>
          <w:tcPr>
            <w:tcW w:w="1276" w:type="dxa"/>
            <w:tcBorders>
              <w:top w:val="nil"/>
              <w:left w:val="single" w:sz="24" w:space="0" w:color="FFFFFF"/>
              <w:bottom w:val="single" w:sz="24" w:space="0" w:color="FFFFFF"/>
              <w:right w:val="single" w:sz="24" w:space="0" w:color="FFFFFF"/>
            </w:tcBorders>
            <w:shd w:val="clear" w:color="auto" w:fill="C1002B"/>
            <w:tcMar>
              <w:top w:w="0" w:type="dxa"/>
              <w:left w:w="108" w:type="dxa"/>
              <w:bottom w:w="0" w:type="dxa"/>
              <w:right w:w="108" w:type="dxa"/>
            </w:tcMar>
            <w:vAlign w:val="center"/>
          </w:tcPr>
          <w:p w:rsidR="00EF2C66" w:rsidRPr="00EA5418" w:rsidRDefault="00EF2C66" w:rsidP="00767611">
            <w:pPr>
              <w:spacing w:line="276" w:lineRule="auto"/>
              <w:jc w:val="center"/>
              <w:rPr>
                <w:rFonts w:ascii="Rotis Sans Serif Std" w:hAnsi="Rotis Sans Serif Std"/>
                <w:color w:val="FFFFFF"/>
                <w:sz w:val="20"/>
                <w:szCs w:val="20"/>
              </w:rPr>
            </w:pPr>
            <w:r w:rsidRPr="00EA5418">
              <w:rPr>
                <w:rFonts w:ascii="Rotis Sans Serif Std" w:hAnsi="Rotis Sans Serif Std"/>
                <w:color w:val="FFFFFF"/>
                <w:sz w:val="20"/>
                <w:szCs w:val="20"/>
                <w:lang w:eastAsia="es-ES"/>
              </w:rPr>
              <w:t>LLEIDA</w:t>
            </w:r>
          </w:p>
        </w:tc>
        <w:tc>
          <w:tcPr>
            <w:tcW w:w="1134" w:type="dxa"/>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5</w:t>
            </w:r>
          </w:p>
        </w:tc>
        <w:tc>
          <w:tcPr>
            <w:tcW w:w="992" w:type="dxa"/>
            <w:tcBorders>
              <w:top w:val="nil"/>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53</w:t>
            </w:r>
          </w:p>
        </w:tc>
        <w:tc>
          <w:tcPr>
            <w:tcW w:w="993" w:type="dxa"/>
            <w:tcBorders>
              <w:top w:val="nil"/>
              <w:left w:val="single" w:sz="24" w:space="0" w:color="FFFFFF"/>
              <w:bottom w:val="single" w:sz="24" w:space="0" w:color="FFFFFF"/>
              <w:right w:val="single" w:sz="24"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1</w:t>
            </w:r>
          </w:p>
        </w:tc>
        <w:tc>
          <w:tcPr>
            <w:tcW w:w="992" w:type="dxa"/>
            <w:tcBorders>
              <w:top w:val="nil"/>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4</w:t>
            </w:r>
          </w:p>
        </w:tc>
        <w:tc>
          <w:tcPr>
            <w:tcW w:w="992" w:type="dxa"/>
            <w:tcBorders>
              <w:top w:val="nil"/>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3</w:t>
            </w:r>
          </w:p>
        </w:tc>
        <w:tc>
          <w:tcPr>
            <w:tcW w:w="992" w:type="dxa"/>
            <w:tcBorders>
              <w:top w:val="nil"/>
              <w:left w:val="single" w:sz="24" w:space="0" w:color="FFFFFF"/>
              <w:bottom w:val="single" w:sz="24" w:space="0" w:color="FFFFFF"/>
              <w:right w:val="single" w:sz="24" w:space="0" w:color="FFFFFF"/>
            </w:tcBorders>
            <w:shd w:val="clear" w:color="auto" w:fill="EFD3D2"/>
            <w:vAlign w:val="center"/>
          </w:tcPr>
          <w:p w:rsidR="00EF2C66" w:rsidRPr="005C5A7A" w:rsidRDefault="00EF2C66" w:rsidP="00EF2C66">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30</w:t>
            </w:r>
          </w:p>
        </w:tc>
        <w:tc>
          <w:tcPr>
            <w:tcW w:w="993" w:type="dxa"/>
            <w:tcBorders>
              <w:top w:val="nil"/>
              <w:left w:val="single" w:sz="24" w:space="0" w:color="FFFFFF"/>
              <w:bottom w:val="single" w:sz="24" w:space="0" w:color="FFFFFF"/>
              <w:right w:val="single" w:sz="24" w:space="0" w:color="FFFFFF"/>
            </w:tcBorders>
            <w:shd w:val="clear" w:color="auto" w:fill="EFD3D2"/>
            <w:vAlign w:val="center"/>
          </w:tcPr>
          <w:p w:rsidR="00EF2C66" w:rsidRPr="00EF2C66" w:rsidRDefault="00EF2C66" w:rsidP="00EF2C66">
            <w:pPr>
              <w:jc w:val="center"/>
              <w:rPr>
                <w:rFonts w:ascii="Rotis Sans Serif Std" w:hAnsi="Rotis Sans Serif Std"/>
                <w:sz w:val="20"/>
                <w:szCs w:val="20"/>
                <w:lang w:eastAsia="es-ES_tradnl"/>
              </w:rPr>
            </w:pPr>
            <w:r w:rsidRPr="00EF2C66">
              <w:rPr>
                <w:rFonts w:ascii="Rotis Sans Serif Std" w:hAnsi="Rotis Sans Serif Std"/>
                <w:sz w:val="20"/>
                <w:szCs w:val="20"/>
                <w:lang w:eastAsia="es-ES_tradnl"/>
              </w:rPr>
              <w:t>1</w:t>
            </w:r>
          </w:p>
        </w:tc>
        <w:tc>
          <w:tcPr>
            <w:tcW w:w="1114" w:type="dxa"/>
            <w:gridSpan w:val="2"/>
            <w:tcBorders>
              <w:top w:val="nil"/>
              <w:left w:val="single" w:sz="24" w:space="0" w:color="FFFFFF"/>
              <w:bottom w:val="single" w:sz="24" w:space="0" w:color="FFFFFF"/>
              <w:right w:val="single" w:sz="2" w:space="0" w:color="FFFFFF"/>
            </w:tcBorders>
            <w:shd w:val="clear" w:color="auto" w:fill="EFD3D2"/>
            <w:vAlign w:val="center"/>
          </w:tcPr>
          <w:p w:rsidR="00EF2C66" w:rsidRPr="00EF2C66" w:rsidRDefault="00EF2C66" w:rsidP="00EF2C66">
            <w:pPr>
              <w:jc w:val="center"/>
              <w:rPr>
                <w:rFonts w:ascii="Rotis Sans Serif Std" w:hAnsi="Rotis Sans Serif Std"/>
                <w:sz w:val="20"/>
                <w:szCs w:val="20"/>
                <w:lang w:eastAsia="es-ES_tradnl"/>
              </w:rPr>
            </w:pPr>
            <w:r w:rsidRPr="00EF2C66">
              <w:rPr>
                <w:rFonts w:ascii="Rotis Sans Serif Std" w:hAnsi="Rotis Sans Serif Std"/>
                <w:sz w:val="20"/>
                <w:szCs w:val="20"/>
                <w:lang w:eastAsia="es-ES_tradnl"/>
              </w:rPr>
              <w:t>19</w:t>
            </w:r>
          </w:p>
        </w:tc>
      </w:tr>
      <w:tr w:rsidR="00EF2C66" w:rsidRPr="00EA5418" w:rsidTr="00EF2C66">
        <w:tc>
          <w:tcPr>
            <w:tcW w:w="1276" w:type="dxa"/>
            <w:tcBorders>
              <w:top w:val="nil"/>
              <w:left w:val="single" w:sz="24" w:space="0" w:color="FFFFFF"/>
              <w:bottom w:val="single" w:sz="24" w:space="0" w:color="FFFFFF"/>
              <w:right w:val="single" w:sz="24" w:space="0" w:color="FFFFFF"/>
            </w:tcBorders>
            <w:shd w:val="clear" w:color="auto" w:fill="C1002B"/>
            <w:tcMar>
              <w:top w:w="0" w:type="dxa"/>
              <w:left w:w="108" w:type="dxa"/>
              <w:bottom w:w="0" w:type="dxa"/>
              <w:right w:w="108" w:type="dxa"/>
            </w:tcMar>
            <w:vAlign w:val="center"/>
          </w:tcPr>
          <w:p w:rsidR="00EF2C66" w:rsidRPr="00EA5418" w:rsidRDefault="00EF2C66" w:rsidP="00767611">
            <w:pPr>
              <w:spacing w:line="276" w:lineRule="auto"/>
              <w:jc w:val="center"/>
              <w:rPr>
                <w:rFonts w:ascii="Rotis Sans Serif Std" w:hAnsi="Rotis Sans Serif Std"/>
                <w:color w:val="FFFFFF"/>
                <w:sz w:val="20"/>
                <w:szCs w:val="20"/>
              </w:rPr>
            </w:pPr>
            <w:r w:rsidRPr="00EA5418">
              <w:rPr>
                <w:rFonts w:ascii="Rotis Sans Serif Std" w:hAnsi="Rotis Sans Serif Std"/>
                <w:color w:val="FFFFFF"/>
                <w:sz w:val="20"/>
                <w:szCs w:val="20"/>
                <w:lang w:eastAsia="es-ES"/>
              </w:rPr>
              <w:t>TARRAGONA</w:t>
            </w:r>
          </w:p>
        </w:tc>
        <w:tc>
          <w:tcPr>
            <w:tcW w:w="1134" w:type="dxa"/>
            <w:tcBorders>
              <w:top w:val="nil"/>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11</w:t>
            </w:r>
          </w:p>
        </w:tc>
        <w:tc>
          <w:tcPr>
            <w:tcW w:w="992" w:type="dxa"/>
            <w:tcBorders>
              <w:top w:val="nil"/>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191</w:t>
            </w:r>
          </w:p>
        </w:tc>
        <w:tc>
          <w:tcPr>
            <w:tcW w:w="993" w:type="dxa"/>
            <w:tcBorders>
              <w:top w:val="single" w:sz="24" w:space="0" w:color="FFFFFF"/>
              <w:left w:val="single" w:sz="24" w:space="0" w:color="FFFFFF"/>
              <w:bottom w:val="single" w:sz="24" w:space="0" w:color="FFFFFF"/>
              <w:right w:val="single" w:sz="24"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7</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110</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2</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EF2C66">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17</w:t>
            </w:r>
          </w:p>
        </w:tc>
        <w:tc>
          <w:tcPr>
            <w:tcW w:w="993"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EF2C66" w:rsidRDefault="00EF2C66" w:rsidP="00EF2C66">
            <w:pPr>
              <w:jc w:val="center"/>
              <w:rPr>
                <w:rFonts w:ascii="Rotis Sans Serif Std" w:hAnsi="Rotis Sans Serif Std"/>
                <w:sz w:val="20"/>
                <w:szCs w:val="20"/>
                <w:lang w:eastAsia="es-ES_tradnl"/>
              </w:rPr>
            </w:pPr>
            <w:r w:rsidRPr="00EF2C66">
              <w:rPr>
                <w:rFonts w:ascii="Rotis Sans Serif Std" w:hAnsi="Rotis Sans Serif Std"/>
                <w:sz w:val="20"/>
                <w:szCs w:val="20"/>
                <w:lang w:eastAsia="es-ES_tradnl"/>
              </w:rPr>
              <w:t>2</w:t>
            </w:r>
          </w:p>
        </w:tc>
        <w:tc>
          <w:tcPr>
            <w:tcW w:w="1114" w:type="dxa"/>
            <w:gridSpan w:val="2"/>
            <w:tcBorders>
              <w:top w:val="single" w:sz="24" w:space="0" w:color="FFFFFF"/>
              <w:left w:val="single" w:sz="24" w:space="0" w:color="FFFFFF"/>
              <w:bottom w:val="single" w:sz="24" w:space="0" w:color="FFFFFF"/>
              <w:right w:val="single" w:sz="2" w:space="0" w:color="FFFFFF"/>
            </w:tcBorders>
            <w:shd w:val="clear" w:color="auto" w:fill="EFD3D2"/>
            <w:vAlign w:val="center"/>
          </w:tcPr>
          <w:p w:rsidR="00EF2C66" w:rsidRPr="00EF2C66" w:rsidRDefault="00EF2C66" w:rsidP="00EF2C66">
            <w:pPr>
              <w:jc w:val="center"/>
              <w:rPr>
                <w:rFonts w:ascii="Rotis Sans Serif Std" w:hAnsi="Rotis Sans Serif Std"/>
                <w:sz w:val="20"/>
                <w:szCs w:val="20"/>
                <w:lang w:eastAsia="es-ES_tradnl"/>
              </w:rPr>
            </w:pPr>
            <w:r w:rsidRPr="00EF2C66">
              <w:rPr>
                <w:rFonts w:ascii="Rotis Sans Serif Std" w:hAnsi="Rotis Sans Serif Std"/>
                <w:sz w:val="20"/>
                <w:szCs w:val="20"/>
                <w:lang w:eastAsia="es-ES_tradnl"/>
              </w:rPr>
              <w:t>64</w:t>
            </w:r>
          </w:p>
        </w:tc>
      </w:tr>
      <w:tr w:rsidR="00EF2C66" w:rsidRPr="00EA5418" w:rsidTr="00EF2C66">
        <w:tc>
          <w:tcPr>
            <w:tcW w:w="1276" w:type="dxa"/>
            <w:tcBorders>
              <w:top w:val="single" w:sz="24" w:space="0" w:color="FFFFFF"/>
              <w:left w:val="single" w:sz="24" w:space="0" w:color="FFFFFF"/>
              <w:bottom w:val="single" w:sz="24" w:space="0" w:color="FFFFFF"/>
              <w:right w:val="single" w:sz="24" w:space="0" w:color="FFFFFF"/>
            </w:tcBorders>
            <w:shd w:val="clear" w:color="auto" w:fill="C1002B"/>
            <w:tcMar>
              <w:top w:w="0" w:type="dxa"/>
              <w:left w:w="108" w:type="dxa"/>
              <w:bottom w:w="0" w:type="dxa"/>
              <w:right w:w="108" w:type="dxa"/>
            </w:tcMar>
            <w:vAlign w:val="center"/>
          </w:tcPr>
          <w:p w:rsidR="00EF2C66" w:rsidRPr="00EA5418" w:rsidRDefault="00EF2C66"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TERRES DE L’EBRE</w:t>
            </w:r>
          </w:p>
        </w:tc>
        <w:tc>
          <w:tcPr>
            <w:tcW w:w="1134" w:type="dxa"/>
            <w:tcBorders>
              <w:top w:val="single" w:sz="24" w:space="0" w:color="FFFFFF"/>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11</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Pr>
                <w:rFonts w:ascii="Rotis Sans Serif Std" w:hAnsi="Rotis Sans Serif Std"/>
                <w:sz w:val="20"/>
                <w:szCs w:val="20"/>
                <w:lang w:eastAsia="es-ES_tradnl"/>
              </w:rPr>
              <w:t>-</w:t>
            </w:r>
          </w:p>
        </w:tc>
        <w:tc>
          <w:tcPr>
            <w:tcW w:w="993" w:type="dxa"/>
            <w:tcBorders>
              <w:top w:val="single" w:sz="24" w:space="0" w:color="FFFFFF"/>
              <w:left w:val="single" w:sz="24" w:space="0" w:color="FFFFFF"/>
              <w:bottom w:val="single" w:sz="24" w:space="0" w:color="FFFFFF"/>
              <w:right w:val="single" w:sz="24"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6</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Pr>
                <w:rFonts w:ascii="Rotis Sans Serif Std" w:hAnsi="Rotis Sans Serif Std"/>
                <w:sz w:val="20"/>
                <w:szCs w:val="20"/>
                <w:lang w:eastAsia="es-ES_tradnl"/>
              </w:rPr>
              <w:t>-</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4</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EF2C66">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w:t>
            </w:r>
          </w:p>
        </w:tc>
        <w:tc>
          <w:tcPr>
            <w:tcW w:w="993"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EF2C66" w:rsidRDefault="00EF2C66" w:rsidP="00EF2C66">
            <w:pPr>
              <w:jc w:val="center"/>
              <w:rPr>
                <w:rFonts w:ascii="Rotis Sans Serif Std" w:hAnsi="Rotis Sans Serif Std"/>
                <w:sz w:val="20"/>
                <w:szCs w:val="20"/>
                <w:lang w:eastAsia="es-ES_tradnl"/>
              </w:rPr>
            </w:pPr>
            <w:r w:rsidRPr="00EF2C66">
              <w:rPr>
                <w:rFonts w:ascii="Rotis Sans Serif Std" w:hAnsi="Rotis Sans Serif Std"/>
                <w:sz w:val="20"/>
                <w:szCs w:val="20"/>
                <w:lang w:eastAsia="es-ES_tradnl"/>
              </w:rPr>
              <w:t>1</w:t>
            </w:r>
          </w:p>
        </w:tc>
        <w:tc>
          <w:tcPr>
            <w:tcW w:w="1114" w:type="dxa"/>
            <w:gridSpan w:val="2"/>
            <w:tcBorders>
              <w:top w:val="single" w:sz="24" w:space="0" w:color="FFFFFF"/>
              <w:left w:val="single" w:sz="24" w:space="0" w:color="FFFFFF"/>
              <w:bottom w:val="single" w:sz="24" w:space="0" w:color="FFFFFF"/>
              <w:right w:val="single" w:sz="2" w:space="0" w:color="FFFFFF"/>
            </w:tcBorders>
            <w:shd w:val="clear" w:color="auto" w:fill="EFD3D2"/>
            <w:vAlign w:val="center"/>
          </w:tcPr>
          <w:p w:rsidR="00EF2C66" w:rsidRPr="00EF2C66" w:rsidRDefault="00EF2C66" w:rsidP="00EF2C66">
            <w:pPr>
              <w:jc w:val="center"/>
              <w:rPr>
                <w:rFonts w:ascii="Rotis Sans Serif Std" w:hAnsi="Rotis Sans Serif Std"/>
                <w:sz w:val="20"/>
                <w:szCs w:val="20"/>
                <w:lang w:eastAsia="es-ES_tradnl"/>
              </w:rPr>
            </w:pPr>
            <w:r w:rsidRPr="00EF2C66">
              <w:rPr>
                <w:rFonts w:ascii="Rotis Sans Serif Std" w:hAnsi="Rotis Sans Serif Std"/>
                <w:sz w:val="20"/>
                <w:szCs w:val="20"/>
                <w:lang w:eastAsia="es-ES_tradnl"/>
              </w:rPr>
              <w:t>-</w:t>
            </w:r>
          </w:p>
        </w:tc>
      </w:tr>
      <w:tr w:rsidR="00EF2C66" w:rsidRPr="00EA5418" w:rsidTr="00EF2C66">
        <w:tc>
          <w:tcPr>
            <w:tcW w:w="1276" w:type="dxa"/>
            <w:tcBorders>
              <w:top w:val="single" w:sz="24" w:space="0" w:color="FFFFFF"/>
              <w:left w:val="single" w:sz="24" w:space="0" w:color="FFFFFF"/>
              <w:bottom w:val="single" w:sz="24" w:space="0" w:color="FFFFFF"/>
              <w:right w:val="single" w:sz="24" w:space="0" w:color="FFFFFF"/>
            </w:tcBorders>
            <w:shd w:val="clear" w:color="auto" w:fill="C1002B"/>
            <w:tcMar>
              <w:top w:w="0" w:type="dxa"/>
              <w:left w:w="108" w:type="dxa"/>
              <w:bottom w:w="0" w:type="dxa"/>
              <w:right w:w="108" w:type="dxa"/>
            </w:tcMar>
            <w:vAlign w:val="center"/>
          </w:tcPr>
          <w:p w:rsidR="00EF2C66" w:rsidRPr="00EA5418" w:rsidRDefault="00EF2C66" w:rsidP="00767611">
            <w:pPr>
              <w:spacing w:line="276" w:lineRule="auto"/>
              <w:jc w:val="center"/>
              <w:rPr>
                <w:rFonts w:ascii="Rotis Sans Serif Std" w:hAnsi="Rotis Sans Serif Std"/>
                <w:color w:val="FFFFFF"/>
                <w:sz w:val="20"/>
                <w:szCs w:val="20"/>
                <w:lang w:eastAsia="es-ES"/>
              </w:rPr>
            </w:pPr>
            <w:r w:rsidRPr="00EA5418">
              <w:rPr>
                <w:rFonts w:ascii="Rotis Sans Serif Std" w:hAnsi="Rotis Sans Serif Std"/>
                <w:color w:val="FFFFFF"/>
                <w:sz w:val="20"/>
                <w:szCs w:val="20"/>
                <w:lang w:eastAsia="es-ES"/>
              </w:rPr>
              <w:t>DGRLQT</w:t>
            </w:r>
          </w:p>
        </w:tc>
        <w:tc>
          <w:tcPr>
            <w:tcW w:w="1134" w:type="dxa"/>
            <w:tcBorders>
              <w:top w:val="single" w:sz="24" w:space="0" w:color="FFFFFF"/>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3</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Pr>
                <w:rFonts w:ascii="Rotis Sans Serif Std" w:hAnsi="Rotis Sans Serif Std"/>
                <w:sz w:val="20"/>
                <w:szCs w:val="20"/>
                <w:lang w:eastAsia="es-ES_tradnl"/>
              </w:rPr>
              <w:t>-</w:t>
            </w:r>
          </w:p>
        </w:tc>
        <w:tc>
          <w:tcPr>
            <w:tcW w:w="993" w:type="dxa"/>
            <w:tcBorders>
              <w:top w:val="single" w:sz="24" w:space="0" w:color="FFFFFF"/>
              <w:left w:val="single" w:sz="24" w:space="0" w:color="FFFFFF"/>
              <w:bottom w:val="single" w:sz="24" w:space="0" w:color="FFFFFF"/>
              <w:right w:val="single" w:sz="24"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0</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Pr>
                <w:rFonts w:ascii="Rotis Sans Serif Std" w:hAnsi="Rotis Sans Serif Std"/>
                <w:sz w:val="20"/>
                <w:szCs w:val="20"/>
                <w:lang w:eastAsia="es-ES_tradnl"/>
              </w:rPr>
              <w:t>-</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0</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EF2C66">
            <w:pPr>
              <w:jc w:val="center"/>
              <w:rPr>
                <w:rFonts w:ascii="Rotis Sans Serif Std" w:hAnsi="Rotis Sans Serif Std"/>
                <w:sz w:val="20"/>
                <w:szCs w:val="20"/>
                <w:lang w:eastAsia="es-ES_tradnl"/>
              </w:rPr>
            </w:pPr>
            <w:r w:rsidRPr="005C5A7A">
              <w:rPr>
                <w:rFonts w:ascii="Rotis Sans Serif Std" w:hAnsi="Rotis Sans Serif Std"/>
                <w:sz w:val="20"/>
                <w:szCs w:val="20"/>
                <w:lang w:eastAsia="es-ES_tradnl"/>
              </w:rPr>
              <w:t>-</w:t>
            </w:r>
          </w:p>
        </w:tc>
        <w:tc>
          <w:tcPr>
            <w:tcW w:w="993"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EF2C66" w:rsidRDefault="00EF2C66" w:rsidP="00EF2C66">
            <w:pPr>
              <w:jc w:val="center"/>
              <w:rPr>
                <w:rFonts w:ascii="Rotis Sans Serif Std" w:hAnsi="Rotis Sans Serif Std"/>
                <w:sz w:val="20"/>
                <w:szCs w:val="20"/>
                <w:lang w:eastAsia="es-ES_tradnl"/>
              </w:rPr>
            </w:pPr>
            <w:r w:rsidRPr="00EF2C66">
              <w:rPr>
                <w:rFonts w:ascii="Rotis Sans Serif Std" w:hAnsi="Rotis Sans Serif Std"/>
                <w:sz w:val="20"/>
                <w:szCs w:val="20"/>
                <w:lang w:eastAsia="es-ES_tradnl"/>
              </w:rPr>
              <w:t>3</w:t>
            </w:r>
          </w:p>
        </w:tc>
        <w:tc>
          <w:tcPr>
            <w:tcW w:w="1114" w:type="dxa"/>
            <w:gridSpan w:val="2"/>
            <w:tcBorders>
              <w:top w:val="single" w:sz="24" w:space="0" w:color="FFFFFF"/>
              <w:left w:val="single" w:sz="24" w:space="0" w:color="FFFFFF"/>
              <w:bottom w:val="single" w:sz="24" w:space="0" w:color="FFFFFF"/>
              <w:right w:val="single" w:sz="2" w:space="0" w:color="FFFFFF"/>
            </w:tcBorders>
            <w:shd w:val="clear" w:color="auto" w:fill="EFD3D2"/>
            <w:vAlign w:val="center"/>
          </w:tcPr>
          <w:p w:rsidR="00EF2C66" w:rsidRPr="00EF2C66" w:rsidRDefault="00EF2C66" w:rsidP="00EF2C66">
            <w:pPr>
              <w:jc w:val="center"/>
              <w:rPr>
                <w:rFonts w:ascii="Rotis Sans Serif Std" w:hAnsi="Rotis Sans Serif Std"/>
                <w:sz w:val="20"/>
                <w:szCs w:val="20"/>
                <w:lang w:eastAsia="es-ES_tradnl"/>
              </w:rPr>
            </w:pPr>
            <w:r w:rsidRPr="00EF2C66">
              <w:rPr>
                <w:rFonts w:ascii="Rotis Sans Serif Std" w:hAnsi="Rotis Sans Serif Std"/>
                <w:sz w:val="20"/>
                <w:szCs w:val="20"/>
                <w:lang w:eastAsia="es-ES_tradnl"/>
              </w:rPr>
              <w:t>-</w:t>
            </w:r>
          </w:p>
        </w:tc>
      </w:tr>
      <w:tr w:rsidR="00EF2C66" w:rsidRPr="00EA5418" w:rsidTr="00EF2C66">
        <w:tc>
          <w:tcPr>
            <w:tcW w:w="1276" w:type="dxa"/>
            <w:tcBorders>
              <w:top w:val="single" w:sz="24" w:space="0" w:color="FFFFFF"/>
              <w:left w:val="single" w:sz="24" w:space="0" w:color="FFFFFF"/>
              <w:bottom w:val="single" w:sz="24" w:space="0" w:color="FFFFFF"/>
              <w:right w:val="single" w:sz="24" w:space="0" w:color="FFFFFF"/>
            </w:tcBorders>
            <w:shd w:val="clear" w:color="auto" w:fill="C1002B"/>
            <w:tcMar>
              <w:top w:w="0" w:type="dxa"/>
              <w:left w:w="108" w:type="dxa"/>
              <w:bottom w:w="0" w:type="dxa"/>
              <w:right w:w="108" w:type="dxa"/>
            </w:tcMar>
            <w:vAlign w:val="center"/>
          </w:tcPr>
          <w:p w:rsidR="00EF2C66" w:rsidRPr="00EA5418" w:rsidRDefault="00EF2C66" w:rsidP="00767611">
            <w:pPr>
              <w:spacing w:line="276" w:lineRule="auto"/>
              <w:jc w:val="center"/>
              <w:rPr>
                <w:rFonts w:ascii="Rotis Sans Serif Std" w:hAnsi="Rotis Sans Serif Std"/>
                <w:b/>
                <w:color w:val="FFFFFF"/>
                <w:sz w:val="20"/>
                <w:szCs w:val="20"/>
                <w:lang w:eastAsia="es-ES"/>
              </w:rPr>
            </w:pPr>
            <w:r w:rsidRPr="00EA5418">
              <w:rPr>
                <w:rFonts w:ascii="Rotis Sans Serif Std" w:hAnsi="Rotis Sans Serif Std"/>
                <w:b/>
                <w:color w:val="FFFFFF"/>
                <w:sz w:val="20"/>
                <w:szCs w:val="20"/>
                <w:lang w:eastAsia="es-ES"/>
              </w:rPr>
              <w:t>TOTAL</w:t>
            </w:r>
          </w:p>
        </w:tc>
        <w:tc>
          <w:tcPr>
            <w:tcW w:w="1134" w:type="dxa"/>
            <w:tcBorders>
              <w:top w:val="single" w:sz="24" w:space="0" w:color="FFFFFF"/>
              <w:left w:val="nil"/>
              <w:bottom w:val="single" w:sz="24" w:space="0" w:color="FFFFFF"/>
              <w:right w:val="single" w:sz="24"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b/>
                <w:sz w:val="20"/>
                <w:szCs w:val="20"/>
                <w:lang w:eastAsia="es-ES_tradnl"/>
              </w:rPr>
            </w:pPr>
            <w:r w:rsidRPr="005C5A7A">
              <w:rPr>
                <w:rFonts w:ascii="Rotis Sans Serif Std" w:hAnsi="Rotis Sans Serif Std"/>
                <w:b/>
                <w:sz w:val="20"/>
                <w:szCs w:val="20"/>
                <w:lang w:eastAsia="es-ES_tradnl"/>
              </w:rPr>
              <w:t>185</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b/>
                <w:sz w:val="20"/>
                <w:szCs w:val="20"/>
                <w:lang w:eastAsia="es-ES_tradnl"/>
              </w:rPr>
            </w:pPr>
            <w:r w:rsidRPr="005C5A7A">
              <w:rPr>
                <w:rFonts w:ascii="Rotis Sans Serif Std" w:hAnsi="Rotis Sans Serif Std"/>
                <w:b/>
                <w:sz w:val="20"/>
                <w:szCs w:val="20"/>
                <w:lang w:eastAsia="es-ES_tradnl"/>
              </w:rPr>
              <w:t>4.132</w:t>
            </w:r>
          </w:p>
        </w:tc>
        <w:tc>
          <w:tcPr>
            <w:tcW w:w="993" w:type="dxa"/>
            <w:tcBorders>
              <w:top w:val="single" w:sz="24" w:space="0" w:color="FFFFFF"/>
              <w:left w:val="single" w:sz="24" w:space="0" w:color="FFFFFF"/>
              <w:bottom w:val="single" w:sz="24" w:space="0" w:color="FFFFFF"/>
              <w:right w:val="single" w:sz="24" w:space="0" w:color="FFFFFF"/>
            </w:tcBorders>
            <w:shd w:val="clear" w:color="auto" w:fill="EFD3D2"/>
            <w:tcMar>
              <w:top w:w="0" w:type="dxa"/>
              <w:left w:w="108" w:type="dxa"/>
              <w:bottom w:w="0" w:type="dxa"/>
              <w:right w:w="108" w:type="dxa"/>
            </w:tcMar>
            <w:vAlign w:val="center"/>
          </w:tcPr>
          <w:p w:rsidR="00EF2C66" w:rsidRPr="005C5A7A" w:rsidRDefault="00EF2C66" w:rsidP="005C5A7A">
            <w:pPr>
              <w:jc w:val="center"/>
              <w:rPr>
                <w:rFonts w:ascii="Rotis Sans Serif Std" w:hAnsi="Rotis Sans Serif Std"/>
                <w:b/>
                <w:sz w:val="20"/>
                <w:szCs w:val="20"/>
                <w:lang w:eastAsia="es-ES_tradnl"/>
              </w:rPr>
            </w:pPr>
            <w:r w:rsidRPr="005C5A7A">
              <w:rPr>
                <w:rFonts w:ascii="Rotis Sans Serif Std" w:hAnsi="Rotis Sans Serif Std"/>
                <w:b/>
                <w:sz w:val="20"/>
                <w:szCs w:val="20"/>
                <w:lang w:eastAsia="es-ES_tradnl"/>
              </w:rPr>
              <w:t>87</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tcPr>
          <w:p w:rsidR="00EF2C66" w:rsidRPr="00205078" w:rsidRDefault="00EF2C66" w:rsidP="005C5A7A">
            <w:pPr>
              <w:jc w:val="center"/>
            </w:pPr>
            <w:r w:rsidRPr="005C5A7A">
              <w:rPr>
                <w:rFonts w:ascii="Rotis Sans Serif Std" w:hAnsi="Rotis Sans Serif Std"/>
                <w:b/>
                <w:sz w:val="20"/>
                <w:szCs w:val="20"/>
                <w:lang w:eastAsia="es-ES_tradnl"/>
              </w:rPr>
              <w:t>2260</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5C5A7A" w:rsidRDefault="00EF2C66" w:rsidP="005C5A7A">
            <w:pPr>
              <w:jc w:val="center"/>
              <w:rPr>
                <w:rFonts w:ascii="Rotis Sans Serif Std" w:hAnsi="Rotis Sans Serif Std"/>
                <w:b/>
                <w:sz w:val="20"/>
                <w:szCs w:val="20"/>
                <w:lang w:eastAsia="es-ES_tradnl"/>
              </w:rPr>
            </w:pPr>
            <w:r w:rsidRPr="005C5A7A">
              <w:rPr>
                <w:rFonts w:ascii="Rotis Sans Serif Std" w:hAnsi="Rotis Sans Serif Std"/>
                <w:b/>
                <w:sz w:val="20"/>
                <w:szCs w:val="20"/>
                <w:lang w:eastAsia="es-ES_tradnl"/>
              </w:rPr>
              <w:t>27</w:t>
            </w:r>
          </w:p>
        </w:tc>
        <w:tc>
          <w:tcPr>
            <w:tcW w:w="992"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EF2C66" w:rsidRDefault="00EF2C66" w:rsidP="00EF2C66">
            <w:pPr>
              <w:jc w:val="center"/>
              <w:rPr>
                <w:b/>
              </w:rPr>
            </w:pPr>
            <w:r w:rsidRPr="00EF2C66">
              <w:rPr>
                <w:rFonts w:ascii="Rotis Sans Serif Std" w:hAnsi="Rotis Sans Serif Std"/>
                <w:b/>
                <w:sz w:val="20"/>
                <w:szCs w:val="20"/>
                <w:lang w:eastAsia="es-ES_tradnl"/>
              </w:rPr>
              <w:t>157</w:t>
            </w:r>
          </w:p>
        </w:tc>
        <w:tc>
          <w:tcPr>
            <w:tcW w:w="993" w:type="dxa"/>
            <w:tcBorders>
              <w:top w:val="single" w:sz="24" w:space="0" w:color="FFFFFF"/>
              <w:left w:val="single" w:sz="24" w:space="0" w:color="FFFFFF"/>
              <w:bottom w:val="single" w:sz="24" w:space="0" w:color="FFFFFF"/>
              <w:right w:val="single" w:sz="24" w:space="0" w:color="FFFFFF"/>
            </w:tcBorders>
            <w:shd w:val="clear" w:color="auto" w:fill="EFD3D2"/>
            <w:vAlign w:val="center"/>
          </w:tcPr>
          <w:p w:rsidR="00EF2C66" w:rsidRPr="00EF2C66" w:rsidRDefault="00EF2C66" w:rsidP="00EF2C66">
            <w:pPr>
              <w:jc w:val="center"/>
              <w:rPr>
                <w:rFonts w:ascii="Rotis Sans Serif Std" w:hAnsi="Rotis Sans Serif Std"/>
                <w:b/>
                <w:sz w:val="20"/>
                <w:szCs w:val="20"/>
                <w:lang w:eastAsia="es-ES_tradnl"/>
              </w:rPr>
            </w:pPr>
            <w:r w:rsidRPr="00EF2C66">
              <w:rPr>
                <w:rFonts w:ascii="Rotis Sans Serif Std" w:hAnsi="Rotis Sans Serif Std"/>
                <w:b/>
                <w:sz w:val="20"/>
                <w:szCs w:val="20"/>
                <w:lang w:eastAsia="es-ES_tradnl"/>
              </w:rPr>
              <w:t>71</w:t>
            </w:r>
          </w:p>
        </w:tc>
        <w:tc>
          <w:tcPr>
            <w:tcW w:w="1114" w:type="dxa"/>
            <w:gridSpan w:val="2"/>
            <w:tcBorders>
              <w:top w:val="single" w:sz="24" w:space="0" w:color="FFFFFF"/>
              <w:left w:val="single" w:sz="24" w:space="0" w:color="FFFFFF"/>
              <w:bottom w:val="single" w:sz="24" w:space="0" w:color="FFFFFF"/>
              <w:right w:val="single" w:sz="2" w:space="0" w:color="FFFFFF"/>
            </w:tcBorders>
            <w:shd w:val="clear" w:color="auto" w:fill="EFD3D2"/>
            <w:vAlign w:val="center"/>
          </w:tcPr>
          <w:p w:rsidR="00EF2C66" w:rsidRPr="00EF2C66" w:rsidRDefault="00EF2C66" w:rsidP="00EF2C66">
            <w:pPr>
              <w:tabs>
                <w:tab w:val="left" w:pos="312"/>
                <w:tab w:val="center" w:pos="541"/>
              </w:tabs>
              <w:jc w:val="center"/>
              <w:rPr>
                <w:rFonts w:ascii="Rotis Sans Serif Std" w:hAnsi="Rotis Sans Serif Std"/>
                <w:b/>
                <w:sz w:val="20"/>
                <w:szCs w:val="20"/>
                <w:lang w:eastAsia="es-ES_tradnl"/>
              </w:rPr>
            </w:pPr>
            <w:r w:rsidRPr="00EF2C66">
              <w:rPr>
                <w:rFonts w:ascii="Rotis Sans Serif Std" w:hAnsi="Rotis Sans Serif Std"/>
                <w:b/>
                <w:sz w:val="20"/>
                <w:szCs w:val="20"/>
                <w:lang w:eastAsia="es-ES_tradnl"/>
              </w:rPr>
              <w:t>1715</w:t>
            </w:r>
          </w:p>
        </w:tc>
      </w:tr>
    </w:tbl>
    <w:p w:rsidR="00767611" w:rsidRPr="00767D0B" w:rsidRDefault="00767611" w:rsidP="00767611">
      <w:pPr>
        <w:pStyle w:val="TEXTBOLD"/>
        <w:spacing w:line="276" w:lineRule="auto"/>
        <w:jc w:val="center"/>
        <w:rPr>
          <w:b w:val="0"/>
          <w:color w:val="FF0000"/>
          <w:sz w:val="18"/>
          <w:szCs w:val="20"/>
          <w:lang w:val="ca-ES"/>
        </w:rPr>
      </w:pPr>
      <w:r w:rsidRPr="00767D0B">
        <w:rPr>
          <w:b w:val="0"/>
          <w:sz w:val="18"/>
          <w:szCs w:val="20"/>
          <w:lang w:val="ca-ES"/>
        </w:rPr>
        <w:t>Font: Elaboració pròpia a partir de les dades de l’Observatori del Treball i Model Productiu.</w:t>
      </w:r>
    </w:p>
    <w:p w:rsidR="00B43746" w:rsidRPr="003171F9" w:rsidRDefault="00B43746" w:rsidP="00AB0BAA">
      <w:pPr>
        <w:pStyle w:val="Prrafodelista"/>
        <w:numPr>
          <w:ilvl w:val="1"/>
          <w:numId w:val="4"/>
        </w:numPr>
        <w:shd w:val="clear" w:color="auto" w:fill="F2F2F2"/>
        <w:spacing w:line="276" w:lineRule="auto"/>
        <w:ind w:left="284" w:hanging="284"/>
        <w:jc w:val="both"/>
        <w:rPr>
          <w:rFonts w:ascii="Rotis Sans Serif Std" w:hAnsi="Rotis Sans Serif Std"/>
          <w:b/>
          <w:color w:val="C00000"/>
        </w:rPr>
      </w:pPr>
      <w:bookmarkStart w:id="11" w:name="Conflictivitat"/>
      <w:r w:rsidRPr="003171F9">
        <w:rPr>
          <w:rFonts w:ascii="Rotis Sans Serif Std" w:hAnsi="Rotis Sans Serif Std"/>
          <w:b/>
          <w:color w:val="C00000"/>
        </w:rPr>
        <w:t>CONFLICTIVITAT LABORAL</w:t>
      </w:r>
    </w:p>
    <w:bookmarkEnd w:id="11"/>
    <w:p w:rsidR="00B43746" w:rsidRDefault="00B43746" w:rsidP="008D74D7">
      <w:pPr>
        <w:pStyle w:val="TEXTBOLD"/>
        <w:spacing w:line="276" w:lineRule="auto"/>
        <w:rPr>
          <w:b w:val="0"/>
          <w:lang w:val="ca-ES"/>
        </w:rPr>
      </w:pPr>
    </w:p>
    <w:p w:rsidR="004C1F59" w:rsidRDefault="004C1F59" w:rsidP="004C1F59">
      <w:pPr>
        <w:pStyle w:val="TEXTBOLD"/>
        <w:spacing w:line="276" w:lineRule="auto"/>
        <w:rPr>
          <w:b w:val="0"/>
          <w:sz w:val="24"/>
          <w:lang w:val="ca-ES"/>
        </w:rPr>
      </w:pPr>
      <w:r w:rsidRPr="003171F9">
        <w:rPr>
          <w:b w:val="0"/>
          <w:sz w:val="24"/>
          <w:lang w:val="ca-ES"/>
        </w:rPr>
        <w:t>Segons les darreres dades publicades per</w:t>
      </w:r>
      <w:r w:rsidRPr="00FF33F3">
        <w:rPr>
          <w:b w:val="0"/>
          <w:sz w:val="18"/>
          <w:szCs w:val="20"/>
          <w:lang w:val="ca-ES"/>
        </w:rPr>
        <w:t xml:space="preserve"> </w:t>
      </w:r>
      <w:r w:rsidRPr="00FF33F3">
        <w:rPr>
          <w:b w:val="0"/>
          <w:sz w:val="24"/>
          <w:lang w:val="ca-ES"/>
        </w:rPr>
        <w:t>l’Observatori del Treball i Model Productiu</w:t>
      </w:r>
      <w:r w:rsidRPr="003171F9">
        <w:rPr>
          <w:b w:val="0"/>
          <w:sz w:val="24"/>
          <w:lang w:val="ca-ES"/>
        </w:rPr>
        <w:t xml:space="preserve">, a Catalunya </w:t>
      </w:r>
      <w:r>
        <w:rPr>
          <w:b w:val="0"/>
          <w:sz w:val="24"/>
          <w:lang w:val="ca-ES"/>
        </w:rPr>
        <w:t xml:space="preserve">fins al mes de maig de 2018, </w:t>
      </w:r>
      <w:r w:rsidRPr="003171F9">
        <w:rPr>
          <w:b w:val="0"/>
          <w:sz w:val="24"/>
          <w:lang w:val="ca-ES"/>
        </w:rPr>
        <w:t xml:space="preserve">s’han produït </w:t>
      </w:r>
      <w:r>
        <w:rPr>
          <w:b w:val="0"/>
          <w:sz w:val="24"/>
          <w:lang w:val="ca-ES"/>
        </w:rPr>
        <w:t xml:space="preserve">44 </w:t>
      </w:r>
      <w:r w:rsidRPr="003171F9">
        <w:rPr>
          <w:b w:val="0"/>
          <w:sz w:val="24"/>
          <w:lang w:val="ca-ES"/>
        </w:rPr>
        <w:t>va</w:t>
      </w:r>
      <w:r>
        <w:rPr>
          <w:b w:val="0"/>
          <w:sz w:val="24"/>
          <w:lang w:val="ca-ES"/>
        </w:rPr>
        <w:t>gues</w:t>
      </w:r>
      <w:r w:rsidRPr="003171F9">
        <w:rPr>
          <w:b w:val="0"/>
          <w:sz w:val="24"/>
          <w:lang w:val="ca-ES"/>
        </w:rPr>
        <w:t xml:space="preserve">, amb un total de </w:t>
      </w:r>
      <w:r>
        <w:rPr>
          <w:b w:val="0"/>
          <w:sz w:val="24"/>
          <w:lang w:val="ca-ES"/>
        </w:rPr>
        <w:t>17.082</w:t>
      </w:r>
      <w:r w:rsidRPr="003171F9">
        <w:rPr>
          <w:b w:val="0"/>
          <w:sz w:val="24"/>
          <w:lang w:val="ca-ES"/>
        </w:rPr>
        <w:t xml:space="preserve"> treballadors participants i </w:t>
      </w:r>
      <w:r>
        <w:rPr>
          <w:b w:val="0"/>
          <w:sz w:val="24"/>
          <w:lang w:val="ca-ES"/>
        </w:rPr>
        <w:t>75.773</w:t>
      </w:r>
      <w:r w:rsidRPr="003171F9">
        <w:rPr>
          <w:b w:val="0"/>
          <w:sz w:val="24"/>
          <w:lang w:val="ca-ES"/>
        </w:rPr>
        <w:t xml:space="preserve"> jornades laborals perdudes, </w:t>
      </w:r>
      <w:r>
        <w:rPr>
          <w:b w:val="0"/>
          <w:sz w:val="24"/>
          <w:lang w:val="ca-ES"/>
        </w:rPr>
        <w:t>disminuint</w:t>
      </w:r>
      <w:r w:rsidRPr="003171F9">
        <w:rPr>
          <w:b w:val="0"/>
          <w:sz w:val="24"/>
          <w:lang w:val="ca-ES"/>
        </w:rPr>
        <w:t xml:space="preserve"> e</w:t>
      </w:r>
      <w:r>
        <w:rPr>
          <w:b w:val="0"/>
          <w:sz w:val="24"/>
          <w:lang w:val="ca-ES"/>
        </w:rPr>
        <w:t xml:space="preserve">l nombre de vagues registrades un -23% respecte el mateix període de l’any 2017. No obstant, augmenten en un 143% el nombre de jornades perdudes </w:t>
      </w:r>
      <w:r w:rsidRPr="003171F9">
        <w:rPr>
          <w:b w:val="0"/>
          <w:sz w:val="24"/>
          <w:lang w:val="ca-ES"/>
        </w:rPr>
        <w:t>(</w:t>
      </w:r>
      <w:r>
        <w:rPr>
          <w:b w:val="0"/>
          <w:sz w:val="24"/>
          <w:lang w:val="ca-ES"/>
        </w:rPr>
        <w:t>44.576 jornades perdudes més</w:t>
      </w:r>
      <w:r w:rsidRPr="003171F9">
        <w:rPr>
          <w:b w:val="0"/>
          <w:sz w:val="24"/>
          <w:lang w:val="ca-ES"/>
        </w:rPr>
        <w:t xml:space="preserve">) </w:t>
      </w:r>
      <w:r>
        <w:rPr>
          <w:b w:val="0"/>
          <w:sz w:val="24"/>
          <w:lang w:val="ca-ES"/>
        </w:rPr>
        <w:t xml:space="preserve">i en un 23% </w:t>
      </w:r>
      <w:r w:rsidRPr="003171F9">
        <w:rPr>
          <w:b w:val="0"/>
          <w:sz w:val="24"/>
          <w:lang w:val="ca-ES"/>
        </w:rPr>
        <w:t>el nombre</w:t>
      </w:r>
      <w:r>
        <w:rPr>
          <w:b w:val="0"/>
          <w:sz w:val="24"/>
          <w:lang w:val="ca-ES"/>
        </w:rPr>
        <w:t xml:space="preserve"> de treballadors participants (3.197 més</w:t>
      </w:r>
      <w:r w:rsidRPr="003171F9">
        <w:rPr>
          <w:b w:val="0"/>
          <w:sz w:val="24"/>
          <w:lang w:val="ca-ES"/>
        </w:rPr>
        <w:t>) i per tant, l’índex d’inci</w:t>
      </w:r>
      <w:r>
        <w:rPr>
          <w:b w:val="0"/>
          <w:sz w:val="24"/>
          <w:lang w:val="ca-ES"/>
        </w:rPr>
        <w:t xml:space="preserve">dència </w:t>
      </w:r>
      <w:r w:rsidRPr="003171F9">
        <w:rPr>
          <w:b w:val="0"/>
          <w:sz w:val="24"/>
          <w:lang w:val="ca-ES"/>
        </w:rPr>
        <w:t xml:space="preserve">passa del </w:t>
      </w:r>
      <w:r>
        <w:rPr>
          <w:b w:val="0"/>
          <w:sz w:val="24"/>
          <w:lang w:val="ca-ES"/>
        </w:rPr>
        <w:t>7,8</w:t>
      </w:r>
      <w:r w:rsidRPr="003171F9">
        <w:rPr>
          <w:b w:val="0"/>
          <w:sz w:val="24"/>
          <w:lang w:val="ca-ES"/>
        </w:rPr>
        <w:t xml:space="preserve">% </w:t>
      </w:r>
      <w:r>
        <w:rPr>
          <w:b w:val="0"/>
          <w:sz w:val="24"/>
          <w:lang w:val="ca-ES"/>
        </w:rPr>
        <w:t>en</w:t>
      </w:r>
      <w:r w:rsidRPr="003171F9">
        <w:rPr>
          <w:b w:val="0"/>
          <w:sz w:val="24"/>
          <w:lang w:val="ca-ES"/>
        </w:rPr>
        <w:t xml:space="preserve"> 201</w:t>
      </w:r>
      <w:r>
        <w:rPr>
          <w:b w:val="0"/>
          <w:sz w:val="24"/>
          <w:lang w:val="ca-ES"/>
        </w:rPr>
        <w:t>7</w:t>
      </w:r>
      <w:r w:rsidRPr="003171F9">
        <w:rPr>
          <w:b w:val="0"/>
          <w:sz w:val="24"/>
          <w:lang w:val="ca-ES"/>
        </w:rPr>
        <w:t xml:space="preserve"> al </w:t>
      </w:r>
      <w:r>
        <w:rPr>
          <w:b w:val="0"/>
          <w:sz w:val="24"/>
          <w:lang w:val="ca-ES"/>
        </w:rPr>
        <w:t>69,9% en 2018</w:t>
      </w:r>
      <w:r w:rsidRPr="003171F9">
        <w:rPr>
          <w:b w:val="0"/>
          <w:sz w:val="24"/>
          <w:lang w:val="ca-ES"/>
        </w:rPr>
        <w:t xml:space="preserve">. </w:t>
      </w:r>
    </w:p>
    <w:p w:rsidR="004C1F59" w:rsidRPr="003171F9" w:rsidRDefault="004C1F59" w:rsidP="004C1F59">
      <w:pPr>
        <w:pStyle w:val="TEXTBOLD"/>
        <w:spacing w:line="276" w:lineRule="auto"/>
        <w:rPr>
          <w:b w:val="0"/>
          <w:color w:val="FF0000"/>
          <w:lang w:val="ca-ES"/>
        </w:rPr>
      </w:pPr>
    </w:p>
    <w:p w:rsidR="004C1F59" w:rsidRPr="003171F9" w:rsidRDefault="004C1F59" w:rsidP="004C1F59">
      <w:pPr>
        <w:pStyle w:val="TEXTBOLD"/>
        <w:spacing w:line="276" w:lineRule="auto"/>
        <w:jc w:val="center"/>
        <w:rPr>
          <w:b w:val="0"/>
          <w:color w:val="FF0000"/>
          <w:lang w:val="ca-ES"/>
        </w:rPr>
      </w:pPr>
      <w:r>
        <w:rPr>
          <w:noProof/>
          <w:lang w:val="es-ES" w:eastAsia="es-ES"/>
        </w:rPr>
        <w:drawing>
          <wp:inline distT="0" distB="0" distL="0" distR="0" wp14:anchorId="463AA8E7" wp14:editId="536E8DFE">
            <wp:extent cx="5832989" cy="2929488"/>
            <wp:effectExtent l="0" t="0" r="34925" b="17145"/>
            <wp:docPr id="3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C1F59" w:rsidRPr="008521F0" w:rsidRDefault="004C1F59" w:rsidP="004C1F59">
      <w:pPr>
        <w:pStyle w:val="TEXTBOLD"/>
        <w:spacing w:line="276" w:lineRule="auto"/>
        <w:jc w:val="center"/>
        <w:rPr>
          <w:b w:val="0"/>
          <w:color w:val="FF0000"/>
          <w:sz w:val="18"/>
          <w:szCs w:val="20"/>
          <w:lang w:val="ca-ES"/>
        </w:rPr>
      </w:pPr>
      <w:r w:rsidRPr="008521F0">
        <w:rPr>
          <w:b w:val="0"/>
          <w:sz w:val="18"/>
          <w:szCs w:val="20"/>
          <w:lang w:val="ca-ES"/>
        </w:rPr>
        <w:t>Font: Elaboració pròpia a partir de les dades de l’Observatori del Treball i Model Productiu.</w:t>
      </w:r>
    </w:p>
    <w:p w:rsidR="004C1F59" w:rsidRPr="008521F0" w:rsidRDefault="004C1F59" w:rsidP="004C1F59">
      <w:pPr>
        <w:pStyle w:val="TEXTBOLD"/>
        <w:spacing w:line="276" w:lineRule="auto"/>
        <w:rPr>
          <w:rFonts w:ascii="Times New Roman" w:hAnsi="Times New Roman" w:cs="Times New Roman"/>
          <w:b w:val="0"/>
          <w:color w:val="000000"/>
          <w:sz w:val="24"/>
          <w:szCs w:val="24"/>
          <w:lang w:val="ca-ES" w:eastAsia="en-US"/>
        </w:rPr>
      </w:pPr>
      <w:r>
        <w:rPr>
          <w:noProof/>
          <w:lang w:val="es-ES" w:eastAsia="es-ES"/>
        </w:rPr>
        <w:drawing>
          <wp:inline distT="0" distB="0" distL="0" distR="0" wp14:anchorId="534A2E93" wp14:editId="5FE9AD6B">
            <wp:extent cx="6099207" cy="2747645"/>
            <wp:effectExtent l="0" t="0" r="22225" b="20955"/>
            <wp:docPr id="3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C1F59" w:rsidRPr="00EA5418" w:rsidRDefault="004C1F59" w:rsidP="004C1F59">
      <w:pPr>
        <w:pStyle w:val="TEXTBOLD"/>
        <w:spacing w:line="276" w:lineRule="auto"/>
        <w:jc w:val="center"/>
        <w:rPr>
          <w:b w:val="0"/>
          <w:color w:val="FF0000"/>
          <w:sz w:val="20"/>
          <w:szCs w:val="20"/>
          <w:lang w:val="ca-ES"/>
        </w:rPr>
      </w:pPr>
      <w:r w:rsidRPr="00EA5418">
        <w:rPr>
          <w:b w:val="0"/>
          <w:sz w:val="20"/>
          <w:szCs w:val="20"/>
          <w:lang w:val="ca-ES"/>
        </w:rPr>
        <w:t xml:space="preserve">Font: Elaboració pròpia a partir de les dades de l’Observatori </w:t>
      </w:r>
      <w:r>
        <w:rPr>
          <w:b w:val="0"/>
          <w:sz w:val="20"/>
          <w:szCs w:val="20"/>
          <w:lang w:val="ca-ES"/>
        </w:rPr>
        <w:t>del Treball i Model Productiu.</w:t>
      </w:r>
    </w:p>
    <w:p w:rsidR="004C1F59" w:rsidRPr="003171F9" w:rsidRDefault="004C1F59" w:rsidP="004C1F59">
      <w:pPr>
        <w:pStyle w:val="TEXTBOLD"/>
        <w:spacing w:line="276" w:lineRule="auto"/>
        <w:rPr>
          <w:b w:val="0"/>
          <w:sz w:val="24"/>
          <w:lang w:val="ca-ES"/>
        </w:rPr>
      </w:pPr>
    </w:p>
    <w:p w:rsidR="004C1F59" w:rsidRDefault="004C1F59" w:rsidP="004C1F59">
      <w:pPr>
        <w:pStyle w:val="TEXTBOLD"/>
        <w:spacing w:line="276" w:lineRule="auto"/>
        <w:rPr>
          <w:b w:val="0"/>
          <w:sz w:val="24"/>
          <w:lang w:val="ca-ES"/>
        </w:rPr>
      </w:pPr>
      <w:r w:rsidRPr="00880D9F">
        <w:rPr>
          <w:b w:val="0"/>
          <w:sz w:val="24"/>
          <w:lang w:val="ca-ES"/>
        </w:rPr>
        <w:t>Fins al mes de maig,</w:t>
      </w:r>
      <w:r w:rsidRPr="003171F9">
        <w:rPr>
          <w:b w:val="0"/>
          <w:sz w:val="24"/>
          <w:lang w:val="ca-ES"/>
        </w:rPr>
        <w:t xml:space="preserve"> la major part de les vagues es van produir en </w:t>
      </w:r>
      <w:r>
        <w:rPr>
          <w:b w:val="0"/>
          <w:sz w:val="24"/>
          <w:lang w:val="ca-ES"/>
        </w:rPr>
        <w:t>el sector serveis (50</w:t>
      </w:r>
      <w:r w:rsidRPr="003171F9">
        <w:rPr>
          <w:b w:val="0"/>
          <w:sz w:val="24"/>
          <w:lang w:val="ca-ES"/>
        </w:rPr>
        <w:t>% de</w:t>
      </w:r>
      <w:r w:rsidR="00C22186">
        <w:rPr>
          <w:b w:val="0"/>
          <w:sz w:val="24"/>
          <w:lang w:val="ca-ES"/>
        </w:rPr>
        <w:t>l</w:t>
      </w:r>
      <w:r w:rsidRPr="003171F9">
        <w:rPr>
          <w:b w:val="0"/>
          <w:sz w:val="24"/>
          <w:lang w:val="ca-ES"/>
        </w:rPr>
        <w:t xml:space="preserve"> total), </w:t>
      </w:r>
      <w:r>
        <w:rPr>
          <w:b w:val="0"/>
          <w:sz w:val="24"/>
          <w:lang w:val="ca-ES"/>
        </w:rPr>
        <w:t>i en la indústria (48,28%).</w:t>
      </w:r>
    </w:p>
    <w:p w:rsidR="004C1F59" w:rsidRPr="003171F9" w:rsidRDefault="004C1F59" w:rsidP="004C1F59">
      <w:pPr>
        <w:pStyle w:val="TEXTBOLD"/>
        <w:spacing w:line="276" w:lineRule="auto"/>
        <w:rPr>
          <w:b w:val="0"/>
          <w:sz w:val="24"/>
          <w:u w:val="single"/>
          <w:lang w:val="ca-ES"/>
        </w:rPr>
      </w:pPr>
    </w:p>
    <w:p w:rsidR="004C1F59" w:rsidRDefault="004C1F59" w:rsidP="004C1F59">
      <w:pPr>
        <w:pStyle w:val="TEXTBOLD"/>
        <w:spacing w:line="276" w:lineRule="auto"/>
        <w:rPr>
          <w:b w:val="0"/>
          <w:sz w:val="24"/>
          <w:lang w:val="ca-ES"/>
        </w:rPr>
      </w:pPr>
      <w:r w:rsidRPr="003171F9">
        <w:rPr>
          <w:b w:val="0"/>
          <w:sz w:val="24"/>
          <w:u w:val="single"/>
          <w:lang w:val="ca-ES"/>
        </w:rPr>
        <w:t>Quant a la motivació de la vaga,</w:t>
      </w:r>
      <w:r w:rsidRPr="003171F9">
        <w:rPr>
          <w:b w:val="0"/>
          <w:sz w:val="24"/>
          <w:lang w:val="ca-ES"/>
        </w:rPr>
        <w:t xml:space="preserve"> els principals motius de les vagu</w:t>
      </w:r>
      <w:r>
        <w:rPr>
          <w:b w:val="0"/>
          <w:sz w:val="24"/>
          <w:lang w:val="ca-ES"/>
        </w:rPr>
        <w:t>es són per organització i sistemes de treball (14</w:t>
      </w:r>
      <w:r w:rsidRPr="003171F9">
        <w:rPr>
          <w:b w:val="0"/>
          <w:sz w:val="24"/>
          <w:lang w:val="ca-ES"/>
        </w:rPr>
        <w:t xml:space="preserve"> vagues), </w:t>
      </w:r>
      <w:r>
        <w:rPr>
          <w:b w:val="0"/>
          <w:sz w:val="24"/>
          <w:lang w:val="ca-ES"/>
        </w:rPr>
        <w:t xml:space="preserve">per accident laboral, seguretat e higiene (9 vagues) i per regulació d’ocupació (9 vagues). </w:t>
      </w:r>
    </w:p>
    <w:p w:rsidR="004C1F59" w:rsidRPr="003171F9" w:rsidRDefault="004C1F59" w:rsidP="004C1F59">
      <w:pPr>
        <w:pStyle w:val="TEXTBOLD"/>
        <w:spacing w:line="276" w:lineRule="auto"/>
        <w:rPr>
          <w:b w:val="0"/>
          <w:sz w:val="24"/>
          <w:lang w:val="ca-ES"/>
        </w:rPr>
      </w:pPr>
      <w:r w:rsidRPr="003171F9">
        <w:rPr>
          <w:b w:val="0"/>
          <w:sz w:val="24"/>
          <w:lang w:val="ca-ES"/>
        </w:rPr>
        <w:t xml:space="preserve"> </w:t>
      </w:r>
    </w:p>
    <w:p w:rsidR="004C1F59" w:rsidRPr="003171F9" w:rsidRDefault="004C1F59" w:rsidP="004C1F59">
      <w:pPr>
        <w:pStyle w:val="TEXTBOLD"/>
        <w:spacing w:line="276" w:lineRule="auto"/>
        <w:jc w:val="center"/>
        <w:rPr>
          <w:b w:val="0"/>
          <w:sz w:val="24"/>
          <w:lang w:val="ca-ES"/>
        </w:rPr>
      </w:pPr>
      <w:r>
        <w:rPr>
          <w:noProof/>
          <w:lang w:val="es-ES" w:eastAsia="es-ES"/>
        </w:rPr>
        <w:drawing>
          <wp:inline distT="0" distB="0" distL="0" distR="0" wp14:anchorId="22AED0EB" wp14:editId="27918231">
            <wp:extent cx="5486400" cy="2652395"/>
            <wp:effectExtent l="0" t="0" r="2540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C1F59" w:rsidRPr="00EA5418" w:rsidRDefault="004C1F59" w:rsidP="004C1F59">
      <w:pPr>
        <w:pStyle w:val="TEXTBOLD"/>
        <w:spacing w:line="276" w:lineRule="auto"/>
        <w:jc w:val="center"/>
        <w:rPr>
          <w:b w:val="0"/>
          <w:color w:val="FF0000"/>
          <w:sz w:val="20"/>
          <w:szCs w:val="20"/>
          <w:lang w:val="ca-ES"/>
        </w:rPr>
      </w:pPr>
      <w:r w:rsidRPr="00EA5418">
        <w:rPr>
          <w:b w:val="0"/>
          <w:sz w:val="20"/>
          <w:szCs w:val="20"/>
          <w:lang w:val="ca-ES"/>
        </w:rPr>
        <w:t xml:space="preserve">Font: Elaboració pròpia a partir de les dades de l’Observatori </w:t>
      </w:r>
      <w:r>
        <w:rPr>
          <w:b w:val="0"/>
          <w:sz w:val="20"/>
          <w:szCs w:val="20"/>
          <w:lang w:val="ca-ES"/>
        </w:rPr>
        <w:t>del Treball i Model Productiu.</w:t>
      </w:r>
    </w:p>
    <w:p w:rsidR="004C1F59" w:rsidRPr="0078159D" w:rsidRDefault="004C1F59" w:rsidP="004C1F59">
      <w:pPr>
        <w:pStyle w:val="TEXTBOLD"/>
        <w:tabs>
          <w:tab w:val="left" w:pos="1425"/>
        </w:tabs>
        <w:spacing w:line="276" w:lineRule="auto"/>
        <w:jc w:val="center"/>
        <w:rPr>
          <w:b w:val="0"/>
          <w:color w:val="FF0000"/>
          <w:sz w:val="18"/>
          <w:szCs w:val="24"/>
          <w:lang w:val="ca-ES"/>
        </w:rPr>
      </w:pPr>
    </w:p>
    <w:p w:rsidR="004C1F59" w:rsidRDefault="004C1F59" w:rsidP="004C1F59">
      <w:pPr>
        <w:pStyle w:val="TEXTBOLD"/>
        <w:spacing w:line="276" w:lineRule="auto"/>
        <w:rPr>
          <w:b w:val="0"/>
          <w:sz w:val="24"/>
          <w:u w:val="single"/>
          <w:lang w:val="ca-ES"/>
        </w:rPr>
      </w:pPr>
    </w:p>
    <w:p w:rsidR="004C1F59" w:rsidRPr="003171F9" w:rsidRDefault="004C1F59" w:rsidP="004C1F59">
      <w:pPr>
        <w:pStyle w:val="TEXTBOLD"/>
        <w:spacing w:line="276" w:lineRule="auto"/>
        <w:rPr>
          <w:b w:val="0"/>
          <w:sz w:val="24"/>
          <w:lang w:val="ca-ES"/>
        </w:rPr>
      </w:pPr>
      <w:r w:rsidRPr="003171F9">
        <w:rPr>
          <w:b w:val="0"/>
          <w:sz w:val="24"/>
          <w:u w:val="single"/>
          <w:lang w:val="ca-ES"/>
        </w:rPr>
        <w:t>Segons  l’àmbit territorial</w:t>
      </w:r>
      <w:r>
        <w:rPr>
          <w:rStyle w:val="Refdenotaalpie"/>
          <w:b w:val="0"/>
          <w:sz w:val="24"/>
          <w:u w:val="single"/>
          <w:lang w:val="ca-ES"/>
        </w:rPr>
        <w:footnoteReference w:id="9"/>
      </w:r>
      <w:r w:rsidRPr="003171F9">
        <w:rPr>
          <w:b w:val="0"/>
          <w:sz w:val="24"/>
          <w:u w:val="single"/>
          <w:lang w:val="ca-ES"/>
        </w:rPr>
        <w:t>,</w:t>
      </w:r>
      <w:r w:rsidRPr="003171F9">
        <w:rPr>
          <w:b w:val="0"/>
          <w:sz w:val="24"/>
          <w:lang w:val="ca-ES"/>
        </w:rPr>
        <w:t xml:space="preserve"> </w:t>
      </w:r>
      <w:r>
        <w:rPr>
          <w:b w:val="0"/>
          <w:sz w:val="24"/>
          <w:lang w:val="ca-ES"/>
        </w:rPr>
        <w:t xml:space="preserve">del total de vagues acumulades fins al mes de maig, 54 van afectar </w:t>
      </w:r>
      <w:r w:rsidRPr="003171F9">
        <w:rPr>
          <w:b w:val="0"/>
          <w:sz w:val="24"/>
          <w:lang w:val="ca-ES"/>
        </w:rPr>
        <w:t>a la provín</w:t>
      </w:r>
      <w:r>
        <w:rPr>
          <w:b w:val="0"/>
          <w:sz w:val="24"/>
          <w:lang w:val="ca-ES"/>
        </w:rPr>
        <w:t>cia de Barcelona</w:t>
      </w:r>
      <w:r w:rsidRPr="003171F9">
        <w:rPr>
          <w:b w:val="0"/>
          <w:sz w:val="24"/>
          <w:lang w:val="ca-ES"/>
        </w:rPr>
        <w:t>, a Girona</w:t>
      </w:r>
      <w:r w:rsidR="00C22186">
        <w:rPr>
          <w:b w:val="0"/>
          <w:sz w:val="24"/>
          <w:lang w:val="ca-ES"/>
        </w:rPr>
        <w:t xml:space="preserve"> 2</w:t>
      </w:r>
      <w:r w:rsidRPr="003171F9">
        <w:rPr>
          <w:b w:val="0"/>
          <w:sz w:val="24"/>
          <w:lang w:val="ca-ES"/>
        </w:rPr>
        <w:t xml:space="preserve">, a Lleida </w:t>
      </w:r>
      <w:r>
        <w:rPr>
          <w:b w:val="0"/>
          <w:sz w:val="24"/>
          <w:lang w:val="ca-ES"/>
        </w:rPr>
        <w:t>3</w:t>
      </w:r>
      <w:r w:rsidRPr="003171F9">
        <w:rPr>
          <w:b w:val="0"/>
          <w:sz w:val="24"/>
          <w:lang w:val="ca-ES"/>
        </w:rPr>
        <w:t xml:space="preserve"> i a Tarragona </w:t>
      </w:r>
      <w:r>
        <w:rPr>
          <w:b w:val="0"/>
          <w:sz w:val="24"/>
          <w:lang w:val="ca-ES"/>
        </w:rPr>
        <w:t>3</w:t>
      </w:r>
      <w:r w:rsidRPr="003171F9">
        <w:rPr>
          <w:b w:val="0"/>
          <w:sz w:val="24"/>
          <w:lang w:val="ca-ES"/>
        </w:rPr>
        <w:t>.</w:t>
      </w:r>
    </w:p>
    <w:p w:rsidR="004C1F59" w:rsidRDefault="004C1F59" w:rsidP="004C1F59">
      <w:pPr>
        <w:pStyle w:val="TEXTBOLD"/>
        <w:spacing w:line="276" w:lineRule="auto"/>
        <w:rPr>
          <w:b w:val="0"/>
          <w:sz w:val="24"/>
          <w:lang w:val="ca-ES"/>
        </w:rPr>
      </w:pPr>
    </w:p>
    <w:p w:rsidR="004C1F59" w:rsidRPr="003171F9" w:rsidRDefault="004C1F59" w:rsidP="004C1F59">
      <w:pPr>
        <w:pStyle w:val="TEXTBOLD"/>
        <w:spacing w:line="276" w:lineRule="auto"/>
        <w:rPr>
          <w:b w:val="0"/>
          <w:sz w:val="24"/>
          <w:lang w:val="ca-ES"/>
        </w:rPr>
      </w:pPr>
      <w:r>
        <w:rPr>
          <w:b w:val="0"/>
          <w:sz w:val="24"/>
          <w:lang w:val="ca-ES"/>
        </w:rPr>
        <w:t>Respecte el mateix període de l’any 2017,</w:t>
      </w:r>
      <w:r w:rsidRPr="003171F9">
        <w:rPr>
          <w:b w:val="0"/>
          <w:sz w:val="24"/>
          <w:lang w:val="ca-ES"/>
        </w:rPr>
        <w:t xml:space="preserve"> a </w:t>
      </w:r>
      <w:r>
        <w:rPr>
          <w:b w:val="0"/>
          <w:sz w:val="24"/>
          <w:lang w:val="ca-ES"/>
        </w:rPr>
        <w:t xml:space="preserve">la globalitat de províncies s’ha reduït el nombre de vagues amb incidències ; a </w:t>
      </w:r>
      <w:r w:rsidRPr="003171F9">
        <w:rPr>
          <w:b w:val="0"/>
          <w:sz w:val="24"/>
          <w:lang w:val="ca-ES"/>
        </w:rPr>
        <w:t>Barcelona</w:t>
      </w:r>
      <w:r>
        <w:rPr>
          <w:b w:val="0"/>
          <w:sz w:val="24"/>
          <w:lang w:val="ca-ES"/>
        </w:rPr>
        <w:t xml:space="preserve"> 26 menys, a Girona 8 menys, a Lleida 1 menys i a Tarragona 6 menys.</w:t>
      </w:r>
    </w:p>
    <w:p w:rsidR="004C1F59" w:rsidRDefault="004C1F59" w:rsidP="004C1F59">
      <w:pPr>
        <w:pStyle w:val="TEXTBOLD"/>
        <w:spacing w:line="276" w:lineRule="auto"/>
        <w:rPr>
          <w:b w:val="0"/>
          <w:sz w:val="24"/>
          <w:lang w:val="ca-ES"/>
        </w:rPr>
      </w:pPr>
    </w:p>
    <w:p w:rsidR="004C1F59" w:rsidRDefault="004C1F59" w:rsidP="004C1F59">
      <w:pPr>
        <w:pStyle w:val="TEXTBOLD"/>
        <w:spacing w:line="276" w:lineRule="auto"/>
        <w:rPr>
          <w:b w:val="0"/>
          <w:sz w:val="24"/>
          <w:lang w:val="ca-ES"/>
        </w:rPr>
      </w:pPr>
      <w:r>
        <w:rPr>
          <w:b w:val="0"/>
          <w:sz w:val="24"/>
          <w:lang w:val="ca-ES"/>
        </w:rPr>
        <w:t xml:space="preserve">Segons l’informe de Conflictivitat Laboral de la CEOE del mes de setembre, </w:t>
      </w:r>
      <w:r w:rsidR="00C22186">
        <w:rPr>
          <w:b w:val="0"/>
          <w:sz w:val="24"/>
          <w:lang w:val="ca-ES"/>
        </w:rPr>
        <w:t xml:space="preserve">a Espanya </w:t>
      </w:r>
      <w:r>
        <w:rPr>
          <w:b w:val="0"/>
          <w:sz w:val="24"/>
          <w:lang w:val="ca-ES"/>
        </w:rPr>
        <w:t xml:space="preserve">en els dos primers quadrimestres de l’any s’han produït 348 vagues, amb 633.936 treballadors implicats i 9.487.772 hores laborals perdudes. Respecte el mateix període de l’any anterior, han disminuït un 35,31% el nombre de vagues, si bé han augmentat un 217,35% els treballadors participants i un 46,42% d’hores perdudes. </w:t>
      </w:r>
    </w:p>
    <w:p w:rsidR="004C1F59" w:rsidRDefault="004C1F59" w:rsidP="004C1F59">
      <w:pPr>
        <w:pStyle w:val="TEXTBOLD"/>
        <w:spacing w:line="276" w:lineRule="auto"/>
        <w:rPr>
          <w:b w:val="0"/>
          <w:sz w:val="24"/>
          <w:lang w:val="ca-ES"/>
        </w:rPr>
      </w:pPr>
    </w:p>
    <w:p w:rsidR="004C1F59" w:rsidRPr="00080CDE" w:rsidRDefault="004C1F59" w:rsidP="004C1F59">
      <w:pPr>
        <w:pStyle w:val="TEXTBOLD"/>
        <w:spacing w:line="276" w:lineRule="auto"/>
        <w:rPr>
          <w:b w:val="0"/>
          <w:sz w:val="24"/>
          <w:lang w:val="ca-ES"/>
        </w:rPr>
      </w:pPr>
      <w:r>
        <w:rPr>
          <w:b w:val="0"/>
          <w:sz w:val="24"/>
          <w:lang w:val="ca-ES"/>
        </w:rPr>
        <w:t xml:space="preserve">En matèria de conflictivitat laboral, s’ha de tenir en compte, la repercussió que van tenir les vagues del sector del transport i les comunicacions al març, abril, maig, juny i juliol, especialment en el sector del taxi, </w:t>
      </w:r>
      <w:r w:rsidR="00C22186">
        <w:rPr>
          <w:b w:val="0"/>
          <w:sz w:val="24"/>
          <w:lang w:val="ca-ES"/>
        </w:rPr>
        <w:t>i</w:t>
      </w:r>
      <w:r>
        <w:rPr>
          <w:b w:val="0"/>
          <w:sz w:val="24"/>
          <w:lang w:val="ca-ES"/>
        </w:rPr>
        <w:t xml:space="preserve"> d’estibadors en el mes de juny, així com la incidència de la vaga convocada el Dia Internacional de la Dona i la d’estudiants de Catalunya davant de l’aplicació de l’article</w:t>
      </w:r>
      <w:r w:rsidR="00C22186">
        <w:rPr>
          <w:b w:val="0"/>
          <w:sz w:val="24"/>
          <w:lang w:val="ca-ES"/>
        </w:rPr>
        <w:t xml:space="preserve"> 155</w:t>
      </w:r>
      <w:r>
        <w:rPr>
          <w:b w:val="0"/>
          <w:sz w:val="24"/>
          <w:lang w:val="ca-ES"/>
        </w:rPr>
        <w:t xml:space="preserve"> de la Constitució Española </w:t>
      </w:r>
      <w:r w:rsidR="00C22186">
        <w:rPr>
          <w:b w:val="0"/>
          <w:sz w:val="24"/>
          <w:lang w:val="ca-ES"/>
        </w:rPr>
        <w:t>i en tot l’Estat davant la sentè</w:t>
      </w:r>
      <w:r>
        <w:rPr>
          <w:b w:val="0"/>
          <w:sz w:val="24"/>
          <w:lang w:val="ca-ES"/>
        </w:rPr>
        <w:t>ncia de “La Manada”.</w:t>
      </w:r>
    </w:p>
    <w:p w:rsidR="00926453" w:rsidRDefault="00926453">
      <w:pPr>
        <w:rPr>
          <w:rFonts w:ascii="Rotis Sans Serif Std" w:hAnsi="Rotis Sans Serif Std"/>
          <w:b/>
          <w:color w:val="C00000"/>
        </w:rPr>
      </w:pPr>
    </w:p>
    <w:p w:rsidR="004C1F59" w:rsidRDefault="004C1F59">
      <w:pPr>
        <w:rPr>
          <w:rFonts w:ascii="Rotis Sans Serif Std" w:hAnsi="Rotis Sans Serif Std"/>
          <w:b/>
          <w:color w:val="C00000"/>
        </w:rPr>
      </w:pPr>
    </w:p>
    <w:p w:rsidR="000A24EA" w:rsidRDefault="000A24EA">
      <w:pPr>
        <w:rPr>
          <w:rFonts w:ascii="Rotis Sans Serif Std" w:hAnsi="Rotis Sans Serif Std"/>
          <w:b/>
          <w:color w:val="C00000"/>
        </w:rPr>
      </w:pPr>
      <w:r>
        <w:rPr>
          <w:rFonts w:ascii="Rotis Sans Serif Std" w:hAnsi="Rotis Sans Serif Std"/>
          <w:b/>
          <w:color w:val="C00000"/>
        </w:rPr>
        <w:br w:type="page"/>
      </w:r>
    </w:p>
    <w:p w:rsidR="00B43746" w:rsidRPr="003171F9" w:rsidRDefault="00B43746" w:rsidP="00AB0BAA">
      <w:pPr>
        <w:pStyle w:val="Prrafodelista"/>
        <w:numPr>
          <w:ilvl w:val="1"/>
          <w:numId w:val="4"/>
        </w:numPr>
        <w:shd w:val="clear" w:color="auto" w:fill="F2F2F2"/>
        <w:spacing w:line="276" w:lineRule="auto"/>
        <w:ind w:left="284" w:hanging="284"/>
        <w:jc w:val="both"/>
        <w:rPr>
          <w:rFonts w:ascii="Rotis Sans Serif Std" w:hAnsi="Rotis Sans Serif Std"/>
          <w:b/>
          <w:color w:val="C00000"/>
        </w:rPr>
      </w:pPr>
      <w:bookmarkStart w:id="12" w:name="Resolucio"/>
      <w:r w:rsidRPr="003171F9">
        <w:rPr>
          <w:rFonts w:ascii="Rotis Sans Serif Std" w:hAnsi="Rotis Sans Serif Std"/>
          <w:b/>
          <w:color w:val="C00000"/>
        </w:rPr>
        <w:t>RESOLUCIÓ EXTRAJUDICIAL DE CONFLICTES</w:t>
      </w:r>
    </w:p>
    <w:p w:rsidR="00B43746" w:rsidRPr="003171F9" w:rsidRDefault="00B43746" w:rsidP="008D74D7">
      <w:pPr>
        <w:pStyle w:val="TEXTBOLD"/>
        <w:spacing w:line="276" w:lineRule="auto"/>
        <w:rPr>
          <w:b w:val="0"/>
          <w:lang w:val="ca-ES"/>
        </w:rPr>
      </w:pPr>
      <w:bookmarkStart w:id="13" w:name="TLC"/>
    </w:p>
    <w:bookmarkEnd w:id="12"/>
    <w:p w:rsidR="00B43746" w:rsidRPr="009B569A" w:rsidRDefault="009B569A" w:rsidP="004905FD">
      <w:pPr>
        <w:pStyle w:val="TEXTBOLD"/>
        <w:numPr>
          <w:ilvl w:val="2"/>
          <w:numId w:val="4"/>
        </w:numPr>
        <w:spacing w:line="276" w:lineRule="auto"/>
        <w:ind w:left="709"/>
        <w:rPr>
          <w:rFonts w:cs="Times New Roman"/>
          <w:color w:val="C1002B"/>
          <w:sz w:val="24"/>
          <w:szCs w:val="24"/>
          <w:lang w:val="ca-ES" w:eastAsia="en-US"/>
        </w:rPr>
      </w:pPr>
      <w:r>
        <w:rPr>
          <w:rFonts w:cs="Times New Roman"/>
          <w:color w:val="C1002B"/>
          <w:sz w:val="24"/>
          <w:szCs w:val="24"/>
          <w:lang w:val="ca-ES" w:eastAsia="en-US"/>
        </w:rPr>
        <w:t>Tribunal Laboral de Catalunya</w:t>
      </w:r>
    </w:p>
    <w:bookmarkEnd w:id="13"/>
    <w:p w:rsidR="00B43746" w:rsidRPr="004C1F59" w:rsidRDefault="00B43746" w:rsidP="008D74D7">
      <w:pPr>
        <w:spacing w:line="276" w:lineRule="auto"/>
        <w:jc w:val="both"/>
        <w:rPr>
          <w:rFonts w:ascii="Rotis Sans Serif Std" w:hAnsi="Rotis Sans Serif Std"/>
          <w:b/>
          <w:color w:val="C00000"/>
        </w:rPr>
      </w:pPr>
    </w:p>
    <w:p w:rsidR="00151CBE" w:rsidRPr="00EA5418" w:rsidRDefault="00151CBE" w:rsidP="00151CBE">
      <w:pPr>
        <w:pStyle w:val="TEXTBOLD"/>
        <w:spacing w:line="276" w:lineRule="auto"/>
        <w:rPr>
          <w:b w:val="0"/>
          <w:sz w:val="24"/>
          <w:szCs w:val="24"/>
          <w:lang w:val="ca-ES"/>
        </w:rPr>
      </w:pPr>
      <w:r w:rsidRPr="00EA5418">
        <w:rPr>
          <w:b w:val="0"/>
          <w:sz w:val="24"/>
          <w:szCs w:val="24"/>
          <w:lang w:val="ca-ES"/>
        </w:rPr>
        <w:t xml:space="preserve">Segons les dades del Tribunal Laboral de Catalunya, </w:t>
      </w:r>
      <w:r w:rsidR="00A670B3">
        <w:rPr>
          <w:b w:val="0"/>
          <w:sz w:val="24"/>
          <w:szCs w:val="24"/>
          <w:lang w:val="ca-ES"/>
        </w:rPr>
        <w:t>fins al mes de setembre de l</w:t>
      </w:r>
      <w:r w:rsidR="00BC1DD5">
        <w:rPr>
          <w:b w:val="0"/>
          <w:sz w:val="24"/>
          <w:szCs w:val="24"/>
          <w:lang w:val="ca-ES"/>
        </w:rPr>
        <w:t>’any 201</w:t>
      </w:r>
      <w:r w:rsidR="00A95D36">
        <w:rPr>
          <w:b w:val="0"/>
          <w:sz w:val="24"/>
          <w:szCs w:val="24"/>
          <w:lang w:val="ca-ES"/>
        </w:rPr>
        <w:t>8</w:t>
      </w:r>
      <w:r>
        <w:rPr>
          <w:b w:val="0"/>
          <w:sz w:val="24"/>
          <w:szCs w:val="24"/>
          <w:lang w:val="ca-ES"/>
        </w:rPr>
        <w:t xml:space="preserve"> </w:t>
      </w:r>
      <w:r w:rsidRPr="00EA5418">
        <w:rPr>
          <w:b w:val="0"/>
          <w:sz w:val="24"/>
          <w:szCs w:val="24"/>
          <w:lang w:val="ca-ES"/>
        </w:rPr>
        <w:t>s’han presentat un total de</w:t>
      </w:r>
      <w:r w:rsidR="00A670B3">
        <w:rPr>
          <w:b w:val="0"/>
          <w:sz w:val="24"/>
          <w:szCs w:val="24"/>
          <w:lang w:val="ca-ES"/>
        </w:rPr>
        <w:t xml:space="preserve"> 675</w:t>
      </w:r>
      <w:r w:rsidR="00A95D36">
        <w:rPr>
          <w:b w:val="0"/>
          <w:sz w:val="24"/>
          <w:szCs w:val="24"/>
          <w:lang w:val="ca-ES"/>
        </w:rPr>
        <w:t xml:space="preserve"> expedients, dels qual</w:t>
      </w:r>
      <w:r>
        <w:rPr>
          <w:b w:val="0"/>
          <w:sz w:val="24"/>
          <w:szCs w:val="24"/>
          <w:lang w:val="ca-ES"/>
        </w:rPr>
        <w:t xml:space="preserve"> </w:t>
      </w:r>
      <w:r w:rsidR="00A95D36">
        <w:rPr>
          <w:b w:val="0"/>
          <w:sz w:val="24"/>
          <w:szCs w:val="24"/>
          <w:lang w:val="ca-ES"/>
        </w:rPr>
        <w:t>2</w:t>
      </w:r>
      <w:r w:rsidR="00A670B3">
        <w:rPr>
          <w:b w:val="0"/>
          <w:sz w:val="24"/>
          <w:szCs w:val="24"/>
          <w:lang w:val="ca-ES"/>
        </w:rPr>
        <w:t xml:space="preserve"> han sigut arbitratge, </w:t>
      </w:r>
      <w:r w:rsidR="00611FE7">
        <w:rPr>
          <w:b w:val="0"/>
          <w:sz w:val="24"/>
          <w:szCs w:val="24"/>
          <w:lang w:val="ca-ES"/>
        </w:rPr>
        <w:t>487</w:t>
      </w:r>
      <w:r w:rsidR="00A95D36">
        <w:rPr>
          <w:b w:val="0"/>
          <w:sz w:val="24"/>
          <w:szCs w:val="24"/>
          <w:lang w:val="ca-ES"/>
        </w:rPr>
        <w:t xml:space="preserve"> han sigut</w:t>
      </w:r>
      <w:r w:rsidRPr="00B512DC">
        <w:rPr>
          <w:b w:val="0"/>
          <w:sz w:val="24"/>
          <w:szCs w:val="24"/>
          <w:lang w:val="ca-ES"/>
        </w:rPr>
        <w:t xml:space="preserve"> conciliacions i </w:t>
      </w:r>
      <w:r w:rsidR="00611FE7">
        <w:rPr>
          <w:b w:val="0"/>
          <w:sz w:val="24"/>
          <w:szCs w:val="24"/>
          <w:lang w:val="ca-ES"/>
        </w:rPr>
        <w:t>186</w:t>
      </w:r>
      <w:r w:rsidR="00A670B3">
        <w:rPr>
          <w:b w:val="0"/>
          <w:sz w:val="24"/>
          <w:szCs w:val="24"/>
          <w:lang w:val="ca-ES"/>
        </w:rPr>
        <w:t xml:space="preserve"> </w:t>
      </w:r>
      <w:r w:rsidRPr="00B512DC">
        <w:rPr>
          <w:b w:val="0"/>
          <w:sz w:val="24"/>
          <w:szCs w:val="24"/>
          <w:lang w:val="ca-ES"/>
        </w:rPr>
        <w:t>mediacions.</w:t>
      </w:r>
    </w:p>
    <w:p w:rsidR="00151CBE" w:rsidRPr="00EA5418" w:rsidRDefault="00151CBE" w:rsidP="00151CBE">
      <w:pPr>
        <w:pStyle w:val="TEXTBOLD"/>
        <w:spacing w:line="276" w:lineRule="auto"/>
        <w:rPr>
          <w:b w:val="0"/>
          <w:sz w:val="24"/>
          <w:szCs w:val="24"/>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5"/>
        <w:gridCol w:w="1141"/>
        <w:gridCol w:w="1057"/>
        <w:gridCol w:w="2208"/>
        <w:gridCol w:w="2231"/>
      </w:tblGrid>
      <w:tr w:rsidR="00151CBE" w:rsidRPr="00EA5418" w:rsidTr="006A4EC7">
        <w:tc>
          <w:tcPr>
            <w:tcW w:w="2795" w:type="dxa"/>
            <w:tcBorders>
              <w:top w:val="nil"/>
              <w:left w:val="nil"/>
              <w:bottom w:val="single" w:sz="24" w:space="0" w:color="FFFFFF"/>
              <w:right w:val="single" w:sz="2" w:space="0" w:color="FFFFFF"/>
            </w:tcBorders>
            <w:shd w:val="clear" w:color="auto" w:fill="C00000"/>
            <w:vAlign w:val="center"/>
          </w:tcPr>
          <w:p w:rsidR="00151CBE" w:rsidRPr="003E2B63" w:rsidRDefault="00151CBE" w:rsidP="006A4EC7">
            <w:pPr>
              <w:pStyle w:val="TEXTBOLD"/>
              <w:spacing w:line="276" w:lineRule="auto"/>
              <w:jc w:val="center"/>
              <w:rPr>
                <w:rFonts w:cs="Times New Roman"/>
                <w:b w:val="0"/>
                <w:color w:val="FFFFFF"/>
                <w:sz w:val="20"/>
                <w:szCs w:val="20"/>
                <w:lang w:val="ca-ES" w:eastAsia="es-ES"/>
              </w:rPr>
            </w:pPr>
            <w:r w:rsidRPr="003E2B63">
              <w:rPr>
                <w:rFonts w:cs="Times New Roman"/>
                <w:b w:val="0"/>
                <w:color w:val="FFFFFF"/>
                <w:sz w:val="20"/>
                <w:szCs w:val="20"/>
                <w:lang w:val="ca-ES" w:eastAsia="es-ES"/>
              </w:rPr>
              <w:t>CATALUNYA</w:t>
            </w:r>
          </w:p>
          <w:p w:rsidR="00151CBE" w:rsidRPr="003E2B63" w:rsidRDefault="00151CBE" w:rsidP="00A670B3">
            <w:pPr>
              <w:pStyle w:val="TEXTBOLD"/>
              <w:spacing w:line="276" w:lineRule="auto"/>
              <w:jc w:val="center"/>
              <w:rPr>
                <w:rFonts w:cs="Times New Roman"/>
                <w:b w:val="0"/>
                <w:color w:val="FFFFFF"/>
                <w:sz w:val="20"/>
                <w:szCs w:val="20"/>
                <w:lang w:val="ca-ES" w:eastAsia="es-ES"/>
              </w:rPr>
            </w:pPr>
            <w:r w:rsidRPr="003E2B63">
              <w:rPr>
                <w:rFonts w:cs="Times New Roman"/>
                <w:b w:val="0"/>
                <w:color w:val="FFFFFF"/>
                <w:sz w:val="20"/>
                <w:szCs w:val="20"/>
                <w:lang w:val="ca-ES" w:eastAsia="es-ES"/>
              </w:rPr>
              <w:t xml:space="preserve">Gener – </w:t>
            </w:r>
            <w:r w:rsidR="00A670B3">
              <w:rPr>
                <w:rFonts w:cs="Times New Roman"/>
                <w:b w:val="0"/>
                <w:color w:val="FFFFFF"/>
                <w:sz w:val="20"/>
                <w:szCs w:val="20"/>
                <w:lang w:val="ca-ES" w:eastAsia="es-ES"/>
              </w:rPr>
              <w:t>setembre</w:t>
            </w:r>
            <w:r w:rsidR="00BC1DD5">
              <w:rPr>
                <w:rFonts w:cs="Times New Roman"/>
                <w:b w:val="0"/>
                <w:color w:val="FFFFFF"/>
                <w:sz w:val="20"/>
                <w:szCs w:val="20"/>
                <w:lang w:val="ca-ES" w:eastAsia="es-ES"/>
              </w:rPr>
              <w:t xml:space="preserve"> 201</w:t>
            </w:r>
            <w:r w:rsidR="00A95D36">
              <w:rPr>
                <w:rFonts w:cs="Times New Roman"/>
                <w:b w:val="0"/>
                <w:color w:val="FFFFFF"/>
                <w:sz w:val="20"/>
                <w:szCs w:val="20"/>
                <w:lang w:val="ca-ES" w:eastAsia="es-ES"/>
              </w:rPr>
              <w:t>8</w:t>
            </w:r>
          </w:p>
        </w:tc>
        <w:tc>
          <w:tcPr>
            <w:tcW w:w="2198" w:type="dxa"/>
            <w:gridSpan w:val="2"/>
            <w:tcBorders>
              <w:top w:val="nil"/>
              <w:left w:val="single" w:sz="2" w:space="0" w:color="FFFFFF"/>
              <w:bottom w:val="single" w:sz="24" w:space="0" w:color="FFFFFF"/>
              <w:right w:val="single" w:sz="2" w:space="0" w:color="FFFFFF"/>
            </w:tcBorders>
            <w:shd w:val="clear" w:color="auto" w:fill="C00000"/>
            <w:vAlign w:val="center"/>
          </w:tcPr>
          <w:p w:rsidR="00151CBE" w:rsidRPr="003E2B63" w:rsidRDefault="00151CBE" w:rsidP="006A4EC7">
            <w:pPr>
              <w:pStyle w:val="TEXTBOLD"/>
              <w:spacing w:line="276" w:lineRule="auto"/>
              <w:jc w:val="center"/>
              <w:rPr>
                <w:rFonts w:cs="Times New Roman"/>
                <w:b w:val="0"/>
                <w:color w:val="FFFFFF"/>
                <w:sz w:val="20"/>
                <w:szCs w:val="20"/>
                <w:lang w:val="ca-ES" w:eastAsia="es-ES"/>
              </w:rPr>
            </w:pPr>
            <w:r w:rsidRPr="003E2B63">
              <w:rPr>
                <w:rFonts w:cs="Times New Roman"/>
                <w:b w:val="0"/>
                <w:color w:val="FFFFFF"/>
                <w:sz w:val="20"/>
                <w:szCs w:val="20"/>
                <w:lang w:val="ca-ES" w:eastAsia="es-ES"/>
              </w:rPr>
              <w:t>NÚMERO</w:t>
            </w:r>
          </w:p>
        </w:tc>
        <w:tc>
          <w:tcPr>
            <w:tcW w:w="2208" w:type="dxa"/>
            <w:tcBorders>
              <w:top w:val="nil"/>
              <w:left w:val="single" w:sz="2" w:space="0" w:color="FFFFFF"/>
              <w:bottom w:val="single" w:sz="24" w:space="0" w:color="FFFFFF"/>
              <w:right w:val="single" w:sz="2" w:space="0" w:color="FFFFFF"/>
            </w:tcBorders>
            <w:shd w:val="clear" w:color="auto" w:fill="C00000"/>
            <w:vAlign w:val="center"/>
          </w:tcPr>
          <w:p w:rsidR="00151CBE" w:rsidRPr="003E2B63" w:rsidRDefault="00151CBE" w:rsidP="006A4EC7">
            <w:pPr>
              <w:pStyle w:val="TEXTBOLD"/>
              <w:spacing w:line="276" w:lineRule="auto"/>
              <w:jc w:val="center"/>
              <w:rPr>
                <w:rFonts w:cs="Times New Roman"/>
                <w:b w:val="0"/>
                <w:color w:val="FFFFFF"/>
                <w:sz w:val="20"/>
                <w:szCs w:val="20"/>
                <w:lang w:val="ca-ES" w:eastAsia="es-ES"/>
              </w:rPr>
            </w:pPr>
            <w:r w:rsidRPr="003E2B63">
              <w:rPr>
                <w:rFonts w:cs="Times New Roman"/>
                <w:b w:val="0"/>
                <w:color w:val="FFFFFF"/>
                <w:sz w:val="20"/>
                <w:szCs w:val="20"/>
                <w:lang w:val="ca-ES" w:eastAsia="es-ES"/>
              </w:rPr>
              <w:t>EMPRESES AFECTADES</w:t>
            </w:r>
          </w:p>
        </w:tc>
        <w:tc>
          <w:tcPr>
            <w:tcW w:w="2231" w:type="dxa"/>
            <w:tcBorders>
              <w:top w:val="nil"/>
              <w:left w:val="single" w:sz="2" w:space="0" w:color="FFFFFF"/>
              <w:bottom w:val="single" w:sz="24" w:space="0" w:color="FFFFFF"/>
              <w:right w:val="nil"/>
            </w:tcBorders>
            <w:shd w:val="clear" w:color="auto" w:fill="C00000"/>
            <w:vAlign w:val="center"/>
          </w:tcPr>
          <w:p w:rsidR="00151CBE" w:rsidRPr="003E2B63" w:rsidRDefault="00151CBE" w:rsidP="006A4EC7">
            <w:pPr>
              <w:pStyle w:val="TEXTBOLD"/>
              <w:spacing w:line="276" w:lineRule="auto"/>
              <w:jc w:val="center"/>
              <w:rPr>
                <w:rFonts w:cs="Times New Roman"/>
                <w:b w:val="0"/>
                <w:color w:val="FFFFFF"/>
                <w:sz w:val="20"/>
                <w:szCs w:val="20"/>
                <w:lang w:val="ca-ES" w:eastAsia="es-ES"/>
              </w:rPr>
            </w:pPr>
            <w:r w:rsidRPr="003E2B63">
              <w:rPr>
                <w:rFonts w:cs="Times New Roman"/>
                <w:b w:val="0"/>
                <w:color w:val="FFFFFF"/>
                <w:sz w:val="20"/>
                <w:szCs w:val="20"/>
                <w:lang w:val="ca-ES" w:eastAsia="es-ES"/>
              </w:rPr>
              <w:t>TREBALLADORS AFECTATS</w:t>
            </w:r>
          </w:p>
        </w:tc>
      </w:tr>
      <w:tr w:rsidR="00151CBE" w:rsidRPr="00EA5418" w:rsidTr="006A4EC7">
        <w:tc>
          <w:tcPr>
            <w:tcW w:w="2795" w:type="dxa"/>
            <w:tcBorders>
              <w:top w:val="single" w:sz="24" w:space="0" w:color="FFFFFF"/>
              <w:left w:val="nil"/>
              <w:bottom w:val="single" w:sz="24" w:space="0" w:color="FFFFFF"/>
              <w:right w:val="single" w:sz="24" w:space="0" w:color="FFFFFF"/>
            </w:tcBorders>
            <w:shd w:val="clear" w:color="auto" w:fill="C00000"/>
          </w:tcPr>
          <w:p w:rsidR="00151CBE" w:rsidRPr="003E2B63" w:rsidRDefault="00151CBE" w:rsidP="006A4EC7">
            <w:pPr>
              <w:pStyle w:val="TEXTBOLD"/>
              <w:spacing w:line="276" w:lineRule="auto"/>
              <w:rPr>
                <w:rFonts w:cs="Times New Roman"/>
                <w:b w:val="0"/>
                <w:color w:val="FFFFFF"/>
                <w:sz w:val="20"/>
                <w:szCs w:val="20"/>
                <w:lang w:val="ca-ES" w:eastAsia="es-ES"/>
              </w:rPr>
            </w:pPr>
            <w:r w:rsidRPr="003E2B63">
              <w:rPr>
                <w:rFonts w:cs="Times New Roman"/>
                <w:b w:val="0"/>
                <w:color w:val="FFFFFF"/>
                <w:sz w:val="20"/>
                <w:szCs w:val="20"/>
                <w:lang w:val="ca-ES" w:eastAsia="es-ES"/>
              </w:rPr>
              <w:t>EXPEDIENTS PRESENTATS</w:t>
            </w:r>
          </w:p>
        </w:tc>
        <w:tc>
          <w:tcPr>
            <w:tcW w:w="2198" w:type="dxa"/>
            <w:gridSpan w:val="2"/>
            <w:tcBorders>
              <w:top w:val="single" w:sz="24" w:space="0" w:color="FFFFFF"/>
              <w:left w:val="single" w:sz="24" w:space="0" w:color="FFFFFF"/>
              <w:bottom w:val="single" w:sz="24" w:space="0" w:color="FFFFFF"/>
              <w:right w:val="single" w:sz="2" w:space="0" w:color="FFFFFF"/>
            </w:tcBorders>
            <w:shd w:val="clear" w:color="auto" w:fill="F2DBDB"/>
            <w:vAlign w:val="center"/>
          </w:tcPr>
          <w:p w:rsidR="00151CBE" w:rsidRPr="003E2B63" w:rsidRDefault="00611FE7" w:rsidP="006A4EC7">
            <w:pPr>
              <w:pStyle w:val="TEXTBOLD"/>
              <w:spacing w:line="276" w:lineRule="auto"/>
              <w:jc w:val="center"/>
              <w:rPr>
                <w:sz w:val="20"/>
                <w:szCs w:val="20"/>
                <w:lang w:val="ca-ES"/>
              </w:rPr>
            </w:pPr>
            <w:r>
              <w:rPr>
                <w:sz w:val="20"/>
                <w:szCs w:val="20"/>
                <w:lang w:val="ca-ES"/>
              </w:rPr>
              <w:t>675</w:t>
            </w:r>
          </w:p>
        </w:tc>
        <w:tc>
          <w:tcPr>
            <w:tcW w:w="2208"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611FE7" w:rsidP="006A4EC7">
            <w:pPr>
              <w:pStyle w:val="TEXTBOLD"/>
              <w:spacing w:line="276" w:lineRule="auto"/>
              <w:jc w:val="center"/>
              <w:rPr>
                <w:sz w:val="20"/>
                <w:szCs w:val="20"/>
                <w:lang w:val="ca-ES"/>
              </w:rPr>
            </w:pPr>
            <w:r>
              <w:rPr>
                <w:sz w:val="20"/>
                <w:szCs w:val="20"/>
                <w:lang w:val="ca-ES"/>
              </w:rPr>
              <w:t>19.432</w:t>
            </w:r>
          </w:p>
        </w:tc>
        <w:tc>
          <w:tcPr>
            <w:tcW w:w="2231"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611FE7" w:rsidP="006A4EC7">
            <w:pPr>
              <w:pStyle w:val="TEXTBOLD"/>
              <w:spacing w:line="276" w:lineRule="auto"/>
              <w:jc w:val="center"/>
              <w:rPr>
                <w:sz w:val="20"/>
                <w:szCs w:val="20"/>
                <w:lang w:val="ca-ES"/>
              </w:rPr>
            </w:pPr>
            <w:r>
              <w:rPr>
                <w:sz w:val="20"/>
                <w:szCs w:val="20"/>
                <w:lang w:val="ca-ES"/>
              </w:rPr>
              <w:t>327.760</w:t>
            </w:r>
          </w:p>
        </w:tc>
      </w:tr>
      <w:tr w:rsidR="00151CBE" w:rsidRPr="00EA5418" w:rsidTr="006A4EC7">
        <w:tc>
          <w:tcPr>
            <w:tcW w:w="2795" w:type="dxa"/>
            <w:tcBorders>
              <w:top w:val="single" w:sz="24" w:space="0" w:color="FFFFFF"/>
              <w:left w:val="nil"/>
              <w:bottom w:val="single" w:sz="24" w:space="0" w:color="FFFFFF"/>
              <w:right w:val="single" w:sz="24" w:space="0" w:color="FFFFFF"/>
            </w:tcBorders>
            <w:shd w:val="clear" w:color="auto" w:fill="C00000"/>
          </w:tcPr>
          <w:p w:rsidR="00151CBE" w:rsidRPr="003E2B63" w:rsidRDefault="00151CBE" w:rsidP="006A4EC7">
            <w:pPr>
              <w:pStyle w:val="TEXTBOLD"/>
              <w:spacing w:line="276" w:lineRule="auto"/>
              <w:rPr>
                <w:rFonts w:cs="Times New Roman"/>
                <w:b w:val="0"/>
                <w:color w:val="FFFFFF"/>
                <w:sz w:val="20"/>
                <w:szCs w:val="20"/>
                <w:lang w:val="ca-ES" w:eastAsia="es-ES"/>
              </w:rPr>
            </w:pPr>
            <w:r w:rsidRPr="003E2B63">
              <w:rPr>
                <w:rFonts w:cs="Times New Roman"/>
                <w:b w:val="0"/>
                <w:color w:val="FFFFFF"/>
                <w:sz w:val="20"/>
                <w:szCs w:val="20"/>
                <w:lang w:val="ca-ES" w:eastAsia="es-ES"/>
              </w:rPr>
              <w:t>ARBITRATGES</w:t>
            </w:r>
          </w:p>
        </w:tc>
        <w:tc>
          <w:tcPr>
            <w:tcW w:w="1141" w:type="dxa"/>
            <w:tcBorders>
              <w:top w:val="single" w:sz="24" w:space="0" w:color="FFFFFF"/>
              <w:left w:val="single" w:sz="24" w:space="0" w:color="FFFFFF"/>
              <w:bottom w:val="single" w:sz="24" w:space="0" w:color="FFFFFF"/>
              <w:right w:val="single" w:sz="4" w:space="0" w:color="FFFFFF"/>
            </w:tcBorders>
            <w:shd w:val="clear" w:color="auto" w:fill="F2DBDB"/>
            <w:vAlign w:val="center"/>
          </w:tcPr>
          <w:p w:rsidR="00151CBE" w:rsidRPr="003E2B63" w:rsidRDefault="00611FE7" w:rsidP="006A4EC7">
            <w:pPr>
              <w:pStyle w:val="TEXTBOLD"/>
              <w:spacing w:line="276" w:lineRule="auto"/>
              <w:jc w:val="center"/>
              <w:rPr>
                <w:b w:val="0"/>
                <w:sz w:val="20"/>
                <w:szCs w:val="20"/>
                <w:lang w:val="ca-ES"/>
              </w:rPr>
            </w:pPr>
            <w:r>
              <w:rPr>
                <w:b w:val="0"/>
                <w:sz w:val="20"/>
                <w:szCs w:val="20"/>
                <w:lang w:val="ca-ES"/>
              </w:rPr>
              <w:t>2</w:t>
            </w:r>
          </w:p>
        </w:tc>
        <w:tc>
          <w:tcPr>
            <w:tcW w:w="1057" w:type="dxa"/>
            <w:tcBorders>
              <w:top w:val="single" w:sz="24" w:space="0" w:color="FFFFFF"/>
              <w:left w:val="single" w:sz="4" w:space="0" w:color="FFFFFF"/>
              <w:bottom w:val="single" w:sz="24" w:space="0" w:color="FFFFFF"/>
              <w:right w:val="single" w:sz="2" w:space="0" w:color="FFFFFF"/>
            </w:tcBorders>
            <w:shd w:val="clear" w:color="auto" w:fill="F2DBDB"/>
            <w:vAlign w:val="center"/>
          </w:tcPr>
          <w:p w:rsidR="00151CBE" w:rsidRPr="003E2B63" w:rsidRDefault="00A95D36" w:rsidP="006A4EC7">
            <w:pPr>
              <w:spacing w:line="276" w:lineRule="auto"/>
              <w:jc w:val="center"/>
              <w:rPr>
                <w:rFonts w:ascii="Rotis Sans Serif Std" w:hAnsi="Rotis Sans Serif Std"/>
                <w:color w:val="5E6061"/>
                <w:sz w:val="20"/>
                <w:szCs w:val="20"/>
              </w:rPr>
            </w:pPr>
            <w:r>
              <w:rPr>
                <w:rFonts w:ascii="Rotis Sans Serif Std" w:hAnsi="Rotis Sans Serif Std"/>
                <w:color w:val="5E6061"/>
                <w:sz w:val="20"/>
                <w:szCs w:val="20"/>
              </w:rPr>
              <w:t>0</w:t>
            </w:r>
            <w:r w:rsidR="00611FE7">
              <w:rPr>
                <w:rFonts w:ascii="Rotis Sans Serif Std" w:hAnsi="Rotis Sans Serif Std"/>
                <w:color w:val="5E6061"/>
                <w:sz w:val="20"/>
                <w:szCs w:val="20"/>
              </w:rPr>
              <w:t>,3</w:t>
            </w:r>
            <w:r w:rsidR="00885699">
              <w:rPr>
                <w:rFonts w:ascii="Rotis Sans Serif Std" w:hAnsi="Rotis Sans Serif Std"/>
                <w:color w:val="5E6061"/>
                <w:sz w:val="20"/>
                <w:szCs w:val="20"/>
              </w:rPr>
              <w:t>%</w:t>
            </w:r>
          </w:p>
        </w:tc>
        <w:tc>
          <w:tcPr>
            <w:tcW w:w="2208"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611FE7" w:rsidP="006A4EC7">
            <w:pPr>
              <w:pStyle w:val="TEXTBOLD"/>
              <w:spacing w:line="276" w:lineRule="auto"/>
              <w:jc w:val="center"/>
              <w:rPr>
                <w:b w:val="0"/>
                <w:sz w:val="20"/>
                <w:szCs w:val="20"/>
                <w:lang w:val="ca-ES"/>
              </w:rPr>
            </w:pPr>
            <w:r>
              <w:rPr>
                <w:b w:val="0"/>
                <w:sz w:val="20"/>
                <w:szCs w:val="20"/>
                <w:lang w:val="ca-ES"/>
              </w:rPr>
              <w:t>2</w:t>
            </w:r>
          </w:p>
        </w:tc>
        <w:tc>
          <w:tcPr>
            <w:tcW w:w="2231"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611FE7" w:rsidP="006A4EC7">
            <w:pPr>
              <w:pStyle w:val="TEXTBOLD"/>
              <w:spacing w:line="276" w:lineRule="auto"/>
              <w:jc w:val="center"/>
              <w:rPr>
                <w:b w:val="0"/>
                <w:sz w:val="20"/>
                <w:szCs w:val="20"/>
                <w:lang w:val="ca-ES"/>
              </w:rPr>
            </w:pPr>
            <w:r>
              <w:rPr>
                <w:b w:val="0"/>
                <w:sz w:val="20"/>
                <w:szCs w:val="20"/>
                <w:lang w:val="ca-ES"/>
              </w:rPr>
              <w:t>310</w:t>
            </w:r>
          </w:p>
        </w:tc>
      </w:tr>
      <w:tr w:rsidR="00151CBE" w:rsidRPr="00EA5418" w:rsidTr="006A4EC7">
        <w:tc>
          <w:tcPr>
            <w:tcW w:w="2795" w:type="dxa"/>
            <w:tcBorders>
              <w:top w:val="single" w:sz="24" w:space="0" w:color="FFFFFF"/>
              <w:left w:val="nil"/>
              <w:bottom w:val="single" w:sz="24" w:space="0" w:color="FFFFFF"/>
              <w:right w:val="single" w:sz="24" w:space="0" w:color="FFFFFF"/>
            </w:tcBorders>
            <w:shd w:val="clear" w:color="auto" w:fill="C00000"/>
          </w:tcPr>
          <w:p w:rsidR="00151CBE" w:rsidRPr="003E2B63" w:rsidRDefault="00151CBE" w:rsidP="006A4EC7">
            <w:pPr>
              <w:pStyle w:val="TEXTBOLD"/>
              <w:spacing w:line="276" w:lineRule="auto"/>
              <w:rPr>
                <w:rFonts w:cs="Times New Roman"/>
                <w:b w:val="0"/>
                <w:color w:val="FFFFFF"/>
                <w:sz w:val="20"/>
                <w:szCs w:val="20"/>
                <w:lang w:val="ca-ES" w:eastAsia="es-ES"/>
              </w:rPr>
            </w:pPr>
            <w:r w:rsidRPr="003E2B63">
              <w:rPr>
                <w:rFonts w:cs="Times New Roman"/>
                <w:b w:val="0"/>
                <w:color w:val="FFFFFF"/>
                <w:sz w:val="20"/>
                <w:szCs w:val="20"/>
                <w:lang w:val="ca-ES" w:eastAsia="es-ES"/>
              </w:rPr>
              <w:t>CONCILIACIONS/MEDIACIONS</w:t>
            </w:r>
          </w:p>
        </w:tc>
        <w:tc>
          <w:tcPr>
            <w:tcW w:w="1141" w:type="dxa"/>
            <w:tcBorders>
              <w:top w:val="single" w:sz="24" w:space="0" w:color="FFFFFF"/>
              <w:left w:val="single" w:sz="24"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673</w:t>
            </w:r>
          </w:p>
        </w:tc>
        <w:tc>
          <w:tcPr>
            <w:tcW w:w="1057"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spacing w:line="276" w:lineRule="auto"/>
              <w:jc w:val="center"/>
              <w:rPr>
                <w:rFonts w:ascii="Rotis Sans Serif Std" w:hAnsi="Rotis Sans Serif Std"/>
                <w:color w:val="5E6061"/>
                <w:sz w:val="20"/>
                <w:szCs w:val="20"/>
              </w:rPr>
            </w:pPr>
            <w:r>
              <w:rPr>
                <w:rFonts w:ascii="Rotis Sans Serif Std" w:hAnsi="Rotis Sans Serif Std"/>
                <w:color w:val="5E6061"/>
                <w:sz w:val="20"/>
                <w:szCs w:val="20"/>
              </w:rPr>
              <w:t>99,7</w:t>
            </w:r>
            <w:r w:rsidR="00A95D36">
              <w:rPr>
                <w:rFonts w:ascii="Rotis Sans Serif Std" w:hAnsi="Rotis Sans Serif Std"/>
                <w:color w:val="5E6061"/>
                <w:sz w:val="20"/>
                <w:szCs w:val="20"/>
              </w:rPr>
              <w:t>0%</w:t>
            </w:r>
          </w:p>
        </w:tc>
        <w:tc>
          <w:tcPr>
            <w:tcW w:w="2208"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19.430</w:t>
            </w:r>
          </w:p>
        </w:tc>
        <w:tc>
          <w:tcPr>
            <w:tcW w:w="2231"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327.450</w:t>
            </w:r>
          </w:p>
        </w:tc>
      </w:tr>
      <w:tr w:rsidR="00151CBE" w:rsidRPr="00EA5418" w:rsidTr="006A4EC7">
        <w:tc>
          <w:tcPr>
            <w:tcW w:w="2795" w:type="dxa"/>
            <w:tcBorders>
              <w:top w:val="single" w:sz="24" w:space="0" w:color="FFFFFF"/>
              <w:left w:val="nil"/>
              <w:bottom w:val="single" w:sz="24" w:space="0" w:color="FFFFFF"/>
              <w:right w:val="single" w:sz="24" w:space="0" w:color="FFFFFF"/>
            </w:tcBorders>
            <w:shd w:val="clear" w:color="auto" w:fill="C00000"/>
          </w:tcPr>
          <w:p w:rsidR="00151CBE" w:rsidRPr="003E2B63" w:rsidRDefault="00151CBE" w:rsidP="006A4EC7">
            <w:pPr>
              <w:pStyle w:val="TEXTBOLD"/>
              <w:spacing w:line="276" w:lineRule="auto"/>
              <w:rPr>
                <w:rFonts w:cs="Times New Roman"/>
                <w:b w:val="0"/>
                <w:color w:val="FFFFFF"/>
                <w:sz w:val="20"/>
                <w:szCs w:val="20"/>
                <w:lang w:val="ca-ES" w:eastAsia="es-ES"/>
              </w:rPr>
            </w:pPr>
            <w:r w:rsidRPr="003E2B63">
              <w:rPr>
                <w:rFonts w:cs="Times New Roman"/>
                <w:b w:val="0"/>
                <w:color w:val="FFFFFF"/>
                <w:sz w:val="20"/>
                <w:szCs w:val="20"/>
                <w:lang w:val="ca-ES" w:eastAsia="es-ES"/>
              </w:rPr>
              <w:t>TRAMITACIONS EFECTIVES</w:t>
            </w:r>
          </w:p>
        </w:tc>
        <w:tc>
          <w:tcPr>
            <w:tcW w:w="1141" w:type="dxa"/>
            <w:tcBorders>
              <w:top w:val="single" w:sz="24" w:space="0" w:color="FFFFFF"/>
              <w:left w:val="single" w:sz="24"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569</w:t>
            </w:r>
          </w:p>
        </w:tc>
        <w:tc>
          <w:tcPr>
            <w:tcW w:w="1057"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spacing w:line="276" w:lineRule="auto"/>
              <w:jc w:val="center"/>
              <w:rPr>
                <w:rFonts w:ascii="Rotis Sans Serif Std" w:hAnsi="Rotis Sans Serif Std"/>
                <w:color w:val="5E6061"/>
                <w:sz w:val="20"/>
                <w:szCs w:val="20"/>
              </w:rPr>
            </w:pPr>
            <w:r>
              <w:rPr>
                <w:rFonts w:ascii="Rotis Sans Serif Std" w:hAnsi="Rotis Sans Serif Std"/>
                <w:color w:val="5E6061"/>
                <w:sz w:val="20"/>
                <w:szCs w:val="20"/>
              </w:rPr>
              <w:t>84,55</w:t>
            </w:r>
            <w:r w:rsidR="00A95D36">
              <w:rPr>
                <w:rFonts w:ascii="Rotis Sans Serif Std" w:hAnsi="Rotis Sans Serif Std"/>
                <w:color w:val="5E6061"/>
                <w:sz w:val="20"/>
                <w:szCs w:val="20"/>
              </w:rPr>
              <w:t>%</w:t>
            </w:r>
          </w:p>
        </w:tc>
        <w:tc>
          <w:tcPr>
            <w:tcW w:w="2208"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19.319</w:t>
            </w:r>
          </w:p>
        </w:tc>
        <w:tc>
          <w:tcPr>
            <w:tcW w:w="2231"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304.371</w:t>
            </w:r>
          </w:p>
        </w:tc>
      </w:tr>
      <w:tr w:rsidR="00151CBE" w:rsidRPr="00EA5418" w:rsidTr="006A4EC7">
        <w:trPr>
          <w:trHeight w:val="231"/>
        </w:trPr>
        <w:tc>
          <w:tcPr>
            <w:tcW w:w="2795" w:type="dxa"/>
            <w:tcBorders>
              <w:top w:val="single" w:sz="24" w:space="0" w:color="FFFFFF"/>
              <w:left w:val="nil"/>
              <w:bottom w:val="single" w:sz="2" w:space="0" w:color="FFFFFF"/>
              <w:right w:val="single" w:sz="24" w:space="0" w:color="FFFFFF"/>
            </w:tcBorders>
            <w:shd w:val="clear" w:color="auto" w:fill="C00000"/>
          </w:tcPr>
          <w:p w:rsidR="00151CBE" w:rsidRPr="003E2B63" w:rsidRDefault="00151CBE" w:rsidP="006A4EC7">
            <w:pPr>
              <w:pStyle w:val="TEXTBOLD"/>
              <w:spacing w:line="276" w:lineRule="auto"/>
              <w:jc w:val="center"/>
              <w:rPr>
                <w:rFonts w:cs="Times New Roman"/>
                <w:b w:val="0"/>
                <w:color w:val="FFFFFF"/>
                <w:sz w:val="20"/>
                <w:szCs w:val="20"/>
                <w:lang w:val="ca-ES" w:eastAsia="es-ES"/>
              </w:rPr>
            </w:pPr>
            <w:r w:rsidRPr="003E2B63">
              <w:rPr>
                <w:rFonts w:cs="Times New Roman"/>
                <w:b w:val="0"/>
                <w:color w:val="FFFFFF"/>
                <w:sz w:val="20"/>
                <w:szCs w:val="20"/>
                <w:lang w:val="ca-ES" w:eastAsia="es-ES"/>
              </w:rPr>
              <w:t>Amb avinença</w:t>
            </w:r>
          </w:p>
        </w:tc>
        <w:tc>
          <w:tcPr>
            <w:tcW w:w="1141" w:type="dxa"/>
            <w:tcBorders>
              <w:top w:val="single" w:sz="24" w:space="0" w:color="FFFFFF"/>
              <w:left w:val="single" w:sz="24"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278</w:t>
            </w:r>
          </w:p>
        </w:tc>
        <w:tc>
          <w:tcPr>
            <w:tcW w:w="1057"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spacing w:line="276" w:lineRule="auto"/>
              <w:jc w:val="center"/>
              <w:rPr>
                <w:rFonts w:ascii="Rotis Sans Serif Std" w:hAnsi="Rotis Sans Serif Std"/>
                <w:color w:val="5E6061"/>
                <w:sz w:val="20"/>
                <w:szCs w:val="20"/>
              </w:rPr>
            </w:pPr>
            <w:r>
              <w:rPr>
                <w:rFonts w:ascii="Rotis Sans Serif Std" w:hAnsi="Rotis Sans Serif Std"/>
                <w:color w:val="5E6061"/>
                <w:sz w:val="20"/>
                <w:szCs w:val="20"/>
              </w:rPr>
              <w:t>48,86</w:t>
            </w:r>
            <w:r w:rsidR="00151CBE">
              <w:rPr>
                <w:rFonts w:ascii="Rotis Sans Serif Std" w:hAnsi="Rotis Sans Serif Std"/>
                <w:color w:val="5E6061"/>
                <w:sz w:val="20"/>
                <w:szCs w:val="20"/>
              </w:rPr>
              <w:t>%</w:t>
            </w:r>
          </w:p>
        </w:tc>
        <w:tc>
          <w:tcPr>
            <w:tcW w:w="2208"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397</w:t>
            </w:r>
          </w:p>
        </w:tc>
        <w:tc>
          <w:tcPr>
            <w:tcW w:w="2231"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34.248</w:t>
            </w:r>
          </w:p>
        </w:tc>
      </w:tr>
      <w:tr w:rsidR="00151CBE" w:rsidRPr="00EA5418" w:rsidTr="006A4EC7">
        <w:trPr>
          <w:trHeight w:val="109"/>
        </w:trPr>
        <w:tc>
          <w:tcPr>
            <w:tcW w:w="2795" w:type="dxa"/>
            <w:tcBorders>
              <w:top w:val="single" w:sz="2" w:space="0" w:color="FFFFFF"/>
              <w:left w:val="nil"/>
              <w:bottom w:val="single" w:sz="2" w:space="0" w:color="FFFFFF"/>
              <w:right w:val="single" w:sz="24" w:space="0" w:color="FFFFFF"/>
            </w:tcBorders>
            <w:shd w:val="clear" w:color="auto" w:fill="C00000"/>
          </w:tcPr>
          <w:p w:rsidR="00151CBE" w:rsidRPr="003E2B63" w:rsidRDefault="00151CBE" w:rsidP="006A4EC7">
            <w:pPr>
              <w:pStyle w:val="TEXTBOLD"/>
              <w:spacing w:line="276" w:lineRule="auto"/>
              <w:jc w:val="center"/>
              <w:rPr>
                <w:rFonts w:cs="Times New Roman"/>
                <w:b w:val="0"/>
                <w:color w:val="FFFFFF"/>
                <w:sz w:val="20"/>
                <w:szCs w:val="20"/>
                <w:lang w:val="ca-ES" w:eastAsia="es-ES"/>
              </w:rPr>
            </w:pPr>
            <w:r w:rsidRPr="003E2B63">
              <w:rPr>
                <w:rFonts w:cs="Times New Roman"/>
                <w:b w:val="0"/>
                <w:color w:val="FFFFFF"/>
                <w:sz w:val="20"/>
                <w:szCs w:val="20"/>
                <w:lang w:val="ca-ES" w:eastAsia="es-ES"/>
              </w:rPr>
              <w:t>Avinença Parcial</w:t>
            </w:r>
          </w:p>
        </w:tc>
        <w:tc>
          <w:tcPr>
            <w:tcW w:w="1141" w:type="dxa"/>
            <w:tcBorders>
              <w:top w:val="single" w:sz="24" w:space="0" w:color="FFFFFF"/>
              <w:left w:val="single" w:sz="24"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8</w:t>
            </w:r>
          </w:p>
        </w:tc>
        <w:tc>
          <w:tcPr>
            <w:tcW w:w="1057"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A95D36" w:rsidP="0055439B">
            <w:pPr>
              <w:spacing w:line="276" w:lineRule="auto"/>
              <w:jc w:val="center"/>
              <w:rPr>
                <w:rFonts w:ascii="Rotis Sans Serif Std" w:hAnsi="Rotis Sans Serif Std"/>
                <w:color w:val="5E6061"/>
                <w:sz w:val="20"/>
                <w:szCs w:val="20"/>
              </w:rPr>
            </w:pPr>
            <w:r>
              <w:rPr>
                <w:rFonts w:ascii="Rotis Sans Serif Std" w:hAnsi="Rotis Sans Serif Std"/>
                <w:color w:val="5E6061"/>
                <w:sz w:val="20"/>
                <w:szCs w:val="20"/>
              </w:rPr>
              <w:t>1,</w:t>
            </w:r>
            <w:r w:rsidR="0055439B">
              <w:rPr>
                <w:rFonts w:ascii="Rotis Sans Serif Std" w:hAnsi="Rotis Sans Serif Std"/>
                <w:color w:val="5E6061"/>
                <w:sz w:val="20"/>
                <w:szCs w:val="20"/>
              </w:rPr>
              <w:t>41</w:t>
            </w:r>
            <w:r>
              <w:rPr>
                <w:rFonts w:ascii="Rotis Sans Serif Std" w:hAnsi="Rotis Sans Serif Std"/>
                <w:color w:val="5E6061"/>
                <w:sz w:val="20"/>
                <w:szCs w:val="20"/>
              </w:rPr>
              <w:t>%</w:t>
            </w:r>
          </w:p>
        </w:tc>
        <w:tc>
          <w:tcPr>
            <w:tcW w:w="2208"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8</w:t>
            </w:r>
          </w:p>
        </w:tc>
        <w:tc>
          <w:tcPr>
            <w:tcW w:w="2231"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1.580</w:t>
            </w:r>
          </w:p>
        </w:tc>
      </w:tr>
      <w:tr w:rsidR="00151CBE" w:rsidRPr="00EA5418" w:rsidTr="006A4EC7">
        <w:trPr>
          <w:trHeight w:val="231"/>
        </w:trPr>
        <w:tc>
          <w:tcPr>
            <w:tcW w:w="2795" w:type="dxa"/>
            <w:tcBorders>
              <w:top w:val="single" w:sz="2" w:space="0" w:color="FFFFFF"/>
              <w:left w:val="nil"/>
              <w:bottom w:val="single" w:sz="24" w:space="0" w:color="FFFFFF"/>
              <w:right w:val="single" w:sz="24" w:space="0" w:color="FFFFFF"/>
            </w:tcBorders>
            <w:shd w:val="clear" w:color="auto" w:fill="C00000"/>
          </w:tcPr>
          <w:p w:rsidR="00151CBE" w:rsidRPr="003E2B63" w:rsidRDefault="00151CBE" w:rsidP="006A4EC7">
            <w:pPr>
              <w:pStyle w:val="TEXTBOLD"/>
              <w:spacing w:line="276" w:lineRule="auto"/>
              <w:jc w:val="center"/>
              <w:rPr>
                <w:rFonts w:cs="Times New Roman"/>
                <w:b w:val="0"/>
                <w:color w:val="FFFFFF"/>
                <w:sz w:val="20"/>
                <w:szCs w:val="20"/>
                <w:lang w:val="ca-ES" w:eastAsia="es-ES"/>
              </w:rPr>
            </w:pPr>
            <w:r w:rsidRPr="003E2B63">
              <w:rPr>
                <w:rFonts w:cs="Times New Roman"/>
                <w:b w:val="0"/>
                <w:color w:val="FFFFFF"/>
                <w:sz w:val="20"/>
                <w:szCs w:val="20"/>
                <w:lang w:val="ca-ES" w:eastAsia="es-ES"/>
              </w:rPr>
              <w:t>Sense avinença</w:t>
            </w:r>
          </w:p>
        </w:tc>
        <w:tc>
          <w:tcPr>
            <w:tcW w:w="1141" w:type="dxa"/>
            <w:tcBorders>
              <w:top w:val="single" w:sz="24" w:space="0" w:color="FFFFFF"/>
              <w:left w:val="single" w:sz="24"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283</w:t>
            </w:r>
          </w:p>
        </w:tc>
        <w:tc>
          <w:tcPr>
            <w:tcW w:w="1057"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spacing w:line="276" w:lineRule="auto"/>
              <w:jc w:val="center"/>
              <w:rPr>
                <w:rFonts w:ascii="Rotis Sans Serif Std" w:hAnsi="Rotis Sans Serif Std"/>
                <w:color w:val="5E6061"/>
                <w:sz w:val="20"/>
                <w:szCs w:val="20"/>
              </w:rPr>
            </w:pPr>
            <w:r>
              <w:rPr>
                <w:rFonts w:ascii="Rotis Sans Serif Std" w:hAnsi="Rotis Sans Serif Std"/>
                <w:color w:val="5E6061"/>
                <w:sz w:val="20"/>
                <w:szCs w:val="20"/>
              </w:rPr>
              <w:t>49,74</w:t>
            </w:r>
            <w:r w:rsidR="00A95D36">
              <w:rPr>
                <w:rFonts w:ascii="Rotis Sans Serif Std" w:hAnsi="Rotis Sans Serif Std"/>
                <w:color w:val="5E6061"/>
                <w:sz w:val="20"/>
                <w:szCs w:val="20"/>
              </w:rPr>
              <w:t>%</w:t>
            </w:r>
          </w:p>
        </w:tc>
        <w:tc>
          <w:tcPr>
            <w:tcW w:w="2208"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18.914</w:t>
            </w:r>
          </w:p>
        </w:tc>
        <w:tc>
          <w:tcPr>
            <w:tcW w:w="2231"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268.543</w:t>
            </w:r>
          </w:p>
        </w:tc>
      </w:tr>
      <w:tr w:rsidR="00151CBE" w:rsidRPr="00EA5418" w:rsidTr="006A4EC7">
        <w:trPr>
          <w:trHeight w:val="150"/>
        </w:trPr>
        <w:tc>
          <w:tcPr>
            <w:tcW w:w="2795" w:type="dxa"/>
            <w:tcBorders>
              <w:top w:val="single" w:sz="24" w:space="0" w:color="FFFFFF"/>
              <w:left w:val="nil"/>
              <w:bottom w:val="single" w:sz="24" w:space="0" w:color="FFFFFF"/>
              <w:right w:val="single" w:sz="24" w:space="0" w:color="FFFFFF"/>
            </w:tcBorders>
            <w:shd w:val="clear" w:color="auto" w:fill="C00000"/>
          </w:tcPr>
          <w:p w:rsidR="00151CBE" w:rsidRPr="003E2B63" w:rsidRDefault="00151CBE" w:rsidP="006A4EC7">
            <w:pPr>
              <w:pStyle w:val="TEXTBOLD"/>
              <w:spacing w:line="276" w:lineRule="auto"/>
              <w:rPr>
                <w:rFonts w:cs="Times New Roman"/>
                <w:b w:val="0"/>
                <w:color w:val="FFFFFF"/>
                <w:sz w:val="20"/>
                <w:szCs w:val="20"/>
                <w:lang w:val="ca-ES" w:eastAsia="es-ES"/>
              </w:rPr>
            </w:pPr>
            <w:r w:rsidRPr="003E2B63">
              <w:rPr>
                <w:rFonts w:cs="Times New Roman"/>
                <w:b w:val="0"/>
                <w:color w:val="FFFFFF"/>
                <w:sz w:val="20"/>
                <w:szCs w:val="20"/>
                <w:lang w:val="ca-ES" w:eastAsia="es-ES"/>
              </w:rPr>
              <w:t>TRAMITACIONS NO EFECTIVES</w:t>
            </w:r>
          </w:p>
        </w:tc>
        <w:tc>
          <w:tcPr>
            <w:tcW w:w="1141" w:type="dxa"/>
            <w:tcBorders>
              <w:top w:val="single" w:sz="24" w:space="0" w:color="FFFFFF"/>
              <w:left w:val="single" w:sz="24"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104</w:t>
            </w:r>
          </w:p>
        </w:tc>
        <w:tc>
          <w:tcPr>
            <w:tcW w:w="1057"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A95D36">
            <w:pPr>
              <w:spacing w:line="276" w:lineRule="auto"/>
              <w:jc w:val="center"/>
              <w:rPr>
                <w:rFonts w:ascii="Rotis Sans Serif Std" w:hAnsi="Rotis Sans Serif Std"/>
                <w:color w:val="5E6061"/>
                <w:sz w:val="20"/>
                <w:szCs w:val="20"/>
              </w:rPr>
            </w:pPr>
            <w:r>
              <w:rPr>
                <w:rFonts w:ascii="Rotis Sans Serif Std" w:hAnsi="Rotis Sans Serif Std"/>
                <w:color w:val="5E6061"/>
                <w:sz w:val="20"/>
                <w:szCs w:val="20"/>
              </w:rPr>
              <w:t>15,45</w:t>
            </w:r>
            <w:r w:rsidR="00885699">
              <w:rPr>
                <w:rFonts w:ascii="Rotis Sans Serif Std" w:hAnsi="Rotis Sans Serif Std"/>
                <w:color w:val="5E6061"/>
                <w:sz w:val="20"/>
                <w:szCs w:val="20"/>
              </w:rPr>
              <w:t>%</w:t>
            </w:r>
          </w:p>
        </w:tc>
        <w:tc>
          <w:tcPr>
            <w:tcW w:w="2208"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111</w:t>
            </w:r>
          </w:p>
        </w:tc>
        <w:tc>
          <w:tcPr>
            <w:tcW w:w="2231"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23.079</w:t>
            </w:r>
          </w:p>
        </w:tc>
      </w:tr>
      <w:tr w:rsidR="00151CBE" w:rsidRPr="00EA5418" w:rsidTr="006A4EC7">
        <w:tc>
          <w:tcPr>
            <w:tcW w:w="2795" w:type="dxa"/>
            <w:tcBorders>
              <w:top w:val="single" w:sz="24" w:space="0" w:color="FFFFFF"/>
              <w:left w:val="nil"/>
              <w:bottom w:val="single" w:sz="2" w:space="0" w:color="FFFFFF"/>
              <w:right w:val="single" w:sz="24" w:space="0" w:color="FFFFFF"/>
            </w:tcBorders>
            <w:shd w:val="clear" w:color="auto" w:fill="C00000"/>
          </w:tcPr>
          <w:p w:rsidR="00151CBE" w:rsidRPr="003E2B63" w:rsidRDefault="00151CBE" w:rsidP="006A4EC7">
            <w:pPr>
              <w:pStyle w:val="TEXTBOLD"/>
              <w:spacing w:line="276" w:lineRule="auto"/>
              <w:jc w:val="center"/>
              <w:rPr>
                <w:rFonts w:cs="Times New Roman"/>
                <w:b w:val="0"/>
                <w:color w:val="FFFFFF"/>
                <w:sz w:val="20"/>
                <w:szCs w:val="20"/>
                <w:lang w:val="ca-ES" w:eastAsia="es-ES"/>
              </w:rPr>
            </w:pPr>
            <w:r w:rsidRPr="003E2B63">
              <w:rPr>
                <w:rFonts w:cs="Times New Roman"/>
                <w:b w:val="0"/>
                <w:color w:val="FFFFFF"/>
                <w:sz w:val="20"/>
                <w:szCs w:val="20"/>
                <w:lang w:val="ca-ES" w:eastAsia="es-ES"/>
              </w:rPr>
              <w:t>Intentat sense efecte</w:t>
            </w:r>
          </w:p>
        </w:tc>
        <w:tc>
          <w:tcPr>
            <w:tcW w:w="1141" w:type="dxa"/>
            <w:tcBorders>
              <w:top w:val="single" w:sz="24" w:space="0" w:color="FFFFFF"/>
              <w:left w:val="single" w:sz="24"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65</w:t>
            </w:r>
          </w:p>
        </w:tc>
        <w:tc>
          <w:tcPr>
            <w:tcW w:w="1057"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spacing w:line="276" w:lineRule="auto"/>
              <w:jc w:val="center"/>
              <w:rPr>
                <w:rFonts w:ascii="Rotis Sans Serif Std" w:hAnsi="Rotis Sans Serif Std"/>
                <w:color w:val="5E6061"/>
                <w:sz w:val="20"/>
                <w:szCs w:val="20"/>
              </w:rPr>
            </w:pPr>
            <w:r>
              <w:rPr>
                <w:rFonts w:ascii="Rotis Sans Serif Std" w:hAnsi="Rotis Sans Serif Std"/>
                <w:color w:val="5E6061"/>
                <w:sz w:val="20"/>
                <w:szCs w:val="20"/>
              </w:rPr>
              <w:t>62,5</w:t>
            </w:r>
            <w:r w:rsidR="00A95D36">
              <w:rPr>
                <w:rFonts w:ascii="Rotis Sans Serif Std" w:hAnsi="Rotis Sans Serif Std"/>
                <w:color w:val="5E6061"/>
                <w:sz w:val="20"/>
                <w:szCs w:val="20"/>
              </w:rPr>
              <w:t>%</w:t>
            </w:r>
          </w:p>
        </w:tc>
        <w:tc>
          <w:tcPr>
            <w:tcW w:w="2208"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66</w:t>
            </w:r>
          </w:p>
        </w:tc>
        <w:tc>
          <w:tcPr>
            <w:tcW w:w="2231"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12.855</w:t>
            </w:r>
          </w:p>
        </w:tc>
      </w:tr>
      <w:tr w:rsidR="00151CBE" w:rsidRPr="00EA5418" w:rsidTr="006A4EC7">
        <w:tc>
          <w:tcPr>
            <w:tcW w:w="2795" w:type="dxa"/>
            <w:tcBorders>
              <w:top w:val="single" w:sz="2" w:space="0" w:color="FFFFFF"/>
              <w:left w:val="nil"/>
              <w:bottom w:val="single" w:sz="2" w:space="0" w:color="FFFFFF"/>
              <w:right w:val="single" w:sz="24" w:space="0" w:color="FFFFFF"/>
            </w:tcBorders>
            <w:shd w:val="clear" w:color="auto" w:fill="C00000"/>
          </w:tcPr>
          <w:p w:rsidR="00151CBE" w:rsidRPr="003E2B63" w:rsidRDefault="00151CBE" w:rsidP="006A4EC7">
            <w:pPr>
              <w:pStyle w:val="TEXTBOLD"/>
              <w:spacing w:line="276" w:lineRule="auto"/>
              <w:jc w:val="center"/>
              <w:rPr>
                <w:rFonts w:cs="Times New Roman"/>
                <w:b w:val="0"/>
                <w:color w:val="FFFFFF"/>
                <w:sz w:val="20"/>
                <w:szCs w:val="20"/>
                <w:lang w:val="ca-ES" w:eastAsia="es-ES"/>
              </w:rPr>
            </w:pPr>
            <w:r w:rsidRPr="003E2B63">
              <w:rPr>
                <w:rFonts w:cs="Times New Roman"/>
                <w:b w:val="0"/>
                <w:color w:val="FFFFFF"/>
                <w:sz w:val="20"/>
                <w:szCs w:val="20"/>
                <w:lang w:val="ca-ES" w:eastAsia="es-ES"/>
              </w:rPr>
              <w:t>Desistits</w:t>
            </w:r>
          </w:p>
        </w:tc>
        <w:tc>
          <w:tcPr>
            <w:tcW w:w="1141" w:type="dxa"/>
            <w:tcBorders>
              <w:top w:val="single" w:sz="24" w:space="0" w:color="FFFFFF"/>
              <w:left w:val="single" w:sz="24"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26</w:t>
            </w:r>
          </w:p>
        </w:tc>
        <w:tc>
          <w:tcPr>
            <w:tcW w:w="1057"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spacing w:line="276" w:lineRule="auto"/>
              <w:jc w:val="center"/>
              <w:rPr>
                <w:rFonts w:ascii="Rotis Sans Serif Std" w:hAnsi="Rotis Sans Serif Std"/>
                <w:color w:val="5E6061"/>
                <w:sz w:val="20"/>
                <w:szCs w:val="20"/>
              </w:rPr>
            </w:pPr>
            <w:r>
              <w:rPr>
                <w:rFonts w:ascii="Rotis Sans Serif Std" w:hAnsi="Rotis Sans Serif Std"/>
                <w:color w:val="5E6061"/>
                <w:sz w:val="20"/>
                <w:szCs w:val="20"/>
              </w:rPr>
              <w:t>25</w:t>
            </w:r>
            <w:r w:rsidR="00A95D36">
              <w:rPr>
                <w:rFonts w:ascii="Rotis Sans Serif Std" w:hAnsi="Rotis Sans Serif Std"/>
                <w:color w:val="5E6061"/>
                <w:sz w:val="20"/>
                <w:szCs w:val="20"/>
              </w:rPr>
              <w:t>%</w:t>
            </w:r>
          </w:p>
        </w:tc>
        <w:tc>
          <w:tcPr>
            <w:tcW w:w="2208"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30</w:t>
            </w:r>
          </w:p>
        </w:tc>
        <w:tc>
          <w:tcPr>
            <w:tcW w:w="2231"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8.613</w:t>
            </w:r>
          </w:p>
        </w:tc>
      </w:tr>
      <w:tr w:rsidR="00151CBE" w:rsidRPr="00EA5418" w:rsidTr="006A4EC7">
        <w:trPr>
          <w:trHeight w:val="215"/>
        </w:trPr>
        <w:tc>
          <w:tcPr>
            <w:tcW w:w="2795" w:type="dxa"/>
            <w:tcBorders>
              <w:top w:val="single" w:sz="2" w:space="0" w:color="FFFFFF"/>
              <w:left w:val="nil"/>
              <w:bottom w:val="nil"/>
              <w:right w:val="single" w:sz="24" w:space="0" w:color="FFFFFF"/>
            </w:tcBorders>
            <w:shd w:val="clear" w:color="auto" w:fill="C00000"/>
          </w:tcPr>
          <w:p w:rsidR="00151CBE" w:rsidRPr="003E2B63" w:rsidRDefault="00151CBE" w:rsidP="006A4EC7">
            <w:pPr>
              <w:pStyle w:val="TEXTBOLD"/>
              <w:spacing w:line="276" w:lineRule="auto"/>
              <w:jc w:val="center"/>
              <w:rPr>
                <w:rFonts w:cs="Times New Roman"/>
                <w:b w:val="0"/>
                <w:color w:val="FFFFFF"/>
                <w:sz w:val="20"/>
                <w:szCs w:val="20"/>
                <w:lang w:val="ca-ES" w:eastAsia="es-ES"/>
              </w:rPr>
            </w:pPr>
            <w:r w:rsidRPr="003E2B63">
              <w:rPr>
                <w:rFonts w:cs="Times New Roman"/>
                <w:b w:val="0"/>
                <w:color w:val="FFFFFF"/>
                <w:sz w:val="20"/>
                <w:szCs w:val="20"/>
                <w:lang w:val="ca-ES" w:eastAsia="es-ES"/>
              </w:rPr>
              <w:t>Arxiu</w:t>
            </w:r>
          </w:p>
        </w:tc>
        <w:tc>
          <w:tcPr>
            <w:tcW w:w="1141" w:type="dxa"/>
            <w:tcBorders>
              <w:top w:val="single" w:sz="24" w:space="0" w:color="FFFFFF"/>
              <w:left w:val="single" w:sz="24" w:space="0" w:color="FFFFFF"/>
              <w:bottom w:val="nil"/>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13</w:t>
            </w:r>
          </w:p>
        </w:tc>
        <w:tc>
          <w:tcPr>
            <w:tcW w:w="1057" w:type="dxa"/>
            <w:tcBorders>
              <w:top w:val="single" w:sz="24" w:space="0" w:color="FFFFFF"/>
              <w:left w:val="single" w:sz="2" w:space="0" w:color="FFFFFF"/>
              <w:bottom w:val="nil"/>
              <w:right w:val="single" w:sz="2" w:space="0" w:color="FFFFFF"/>
            </w:tcBorders>
            <w:shd w:val="clear" w:color="auto" w:fill="F2DBDB"/>
            <w:vAlign w:val="center"/>
          </w:tcPr>
          <w:p w:rsidR="00151CBE" w:rsidRPr="003E2B63" w:rsidRDefault="0055439B" w:rsidP="006A4EC7">
            <w:pPr>
              <w:spacing w:line="276" w:lineRule="auto"/>
              <w:jc w:val="center"/>
              <w:rPr>
                <w:rFonts w:ascii="Rotis Sans Serif Std" w:hAnsi="Rotis Sans Serif Std"/>
                <w:color w:val="5E6061"/>
                <w:sz w:val="20"/>
                <w:szCs w:val="20"/>
              </w:rPr>
            </w:pPr>
            <w:r>
              <w:rPr>
                <w:rFonts w:ascii="Rotis Sans Serif Std" w:hAnsi="Rotis Sans Serif Std"/>
                <w:color w:val="5E6061"/>
                <w:sz w:val="20"/>
                <w:szCs w:val="20"/>
              </w:rPr>
              <w:t>12,5</w:t>
            </w:r>
            <w:r w:rsidR="00A95D36">
              <w:rPr>
                <w:rFonts w:ascii="Rotis Sans Serif Std" w:hAnsi="Rotis Sans Serif Std"/>
                <w:color w:val="5E6061"/>
                <w:sz w:val="20"/>
                <w:szCs w:val="20"/>
              </w:rPr>
              <w:t>32%</w:t>
            </w:r>
          </w:p>
        </w:tc>
        <w:tc>
          <w:tcPr>
            <w:tcW w:w="2208" w:type="dxa"/>
            <w:tcBorders>
              <w:top w:val="single" w:sz="24" w:space="0" w:color="FFFFFF"/>
              <w:left w:val="single" w:sz="2" w:space="0" w:color="FFFFFF"/>
              <w:bottom w:val="nil"/>
              <w:right w:val="single" w:sz="2" w:space="0" w:color="FFFFFF"/>
            </w:tcBorders>
            <w:shd w:val="clear" w:color="auto" w:fill="F2DBDB"/>
            <w:vAlign w:val="center"/>
          </w:tcPr>
          <w:p w:rsidR="00151CBE" w:rsidRPr="003E2B63" w:rsidRDefault="0055439B" w:rsidP="006A4EC7">
            <w:pPr>
              <w:pStyle w:val="TEXTBOLD"/>
              <w:spacing w:line="276" w:lineRule="auto"/>
              <w:jc w:val="center"/>
              <w:rPr>
                <w:b w:val="0"/>
                <w:lang w:val="ca-ES"/>
              </w:rPr>
            </w:pPr>
            <w:r>
              <w:rPr>
                <w:b w:val="0"/>
                <w:lang w:val="ca-ES"/>
              </w:rPr>
              <w:t>15</w:t>
            </w:r>
          </w:p>
        </w:tc>
        <w:tc>
          <w:tcPr>
            <w:tcW w:w="2231" w:type="dxa"/>
            <w:tcBorders>
              <w:top w:val="single" w:sz="24" w:space="0" w:color="FFFFFF"/>
              <w:left w:val="single" w:sz="2" w:space="0" w:color="FFFFFF"/>
              <w:bottom w:val="nil"/>
              <w:right w:val="nil"/>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1.611</w:t>
            </w:r>
          </w:p>
        </w:tc>
      </w:tr>
    </w:tbl>
    <w:p w:rsidR="00151CBE" w:rsidRDefault="00151CBE" w:rsidP="00151CBE">
      <w:pPr>
        <w:pStyle w:val="TEXTBOLD"/>
        <w:spacing w:line="276" w:lineRule="auto"/>
        <w:jc w:val="center"/>
        <w:rPr>
          <w:b w:val="0"/>
          <w:color w:val="404040"/>
          <w:sz w:val="18"/>
          <w:lang w:val="ca-ES"/>
        </w:rPr>
      </w:pPr>
      <w:r w:rsidRPr="00EA5418">
        <w:rPr>
          <w:b w:val="0"/>
          <w:color w:val="404040"/>
          <w:sz w:val="18"/>
          <w:lang w:val="ca-ES"/>
        </w:rPr>
        <w:t>Font: Elaboració pròpia a partir de les dades del Tribunal Laboral de Catalunya</w:t>
      </w:r>
    </w:p>
    <w:p w:rsidR="00151CBE" w:rsidRDefault="00151CBE" w:rsidP="00151CBE">
      <w:pPr>
        <w:pStyle w:val="TEXTBOLD"/>
        <w:spacing w:line="276" w:lineRule="auto"/>
        <w:jc w:val="center"/>
        <w:rPr>
          <w:b w:val="0"/>
          <w:lang w:val="ca-ES"/>
        </w:rPr>
      </w:pPr>
    </w:p>
    <w:p w:rsidR="00151CBE" w:rsidRPr="00EA5418" w:rsidRDefault="00151CBE" w:rsidP="00151CBE">
      <w:pPr>
        <w:pStyle w:val="TEXTBOLD"/>
        <w:spacing w:line="276" w:lineRule="auto"/>
        <w:jc w:val="center"/>
        <w:rPr>
          <w:bCs/>
          <w:sz w:val="24"/>
          <w:szCs w:val="24"/>
          <w:lang w:val="ca-ES"/>
        </w:rPr>
      </w:pPr>
      <w:r w:rsidRPr="00EA5418">
        <w:rPr>
          <w:bCs/>
          <w:sz w:val="24"/>
          <w:szCs w:val="24"/>
          <w:lang w:val="ca-ES"/>
        </w:rPr>
        <w:t>Evolució Expedients Tribunal Laboral de Catalunya</w:t>
      </w:r>
    </w:p>
    <w:p w:rsidR="00151CBE" w:rsidRPr="00EA5418" w:rsidRDefault="0055439B" w:rsidP="00151CBE">
      <w:pPr>
        <w:pStyle w:val="TEXTBOLD"/>
        <w:jc w:val="center"/>
        <w:rPr>
          <w:b w:val="0"/>
          <w:lang w:val="ca-ES"/>
        </w:rPr>
      </w:pPr>
      <w:r>
        <w:rPr>
          <w:noProof/>
          <w:lang w:val="es-ES" w:eastAsia="es-ES"/>
        </w:rPr>
        <w:drawing>
          <wp:inline distT="0" distB="0" distL="0" distR="0" wp14:anchorId="03BF145A" wp14:editId="31FBDB63">
            <wp:extent cx="5612130" cy="2764790"/>
            <wp:effectExtent l="0" t="0" r="26670" b="1651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51CBE" w:rsidRDefault="00151CBE" w:rsidP="004905FD">
      <w:pPr>
        <w:pStyle w:val="TEXTBOLD"/>
        <w:jc w:val="center"/>
        <w:rPr>
          <w:b w:val="0"/>
          <w:sz w:val="24"/>
          <w:szCs w:val="24"/>
          <w:u w:val="single"/>
          <w:lang w:val="ca-ES"/>
        </w:rPr>
      </w:pPr>
      <w:r w:rsidRPr="00EA5418">
        <w:rPr>
          <w:b w:val="0"/>
          <w:color w:val="404040"/>
          <w:sz w:val="18"/>
          <w:lang w:val="ca-ES"/>
        </w:rPr>
        <w:t>Font: Elaboració pròpia a partir de les dades del Tribunal Laboral de Catalunya</w:t>
      </w:r>
    </w:p>
    <w:p w:rsidR="00D836A3" w:rsidRPr="00D836A3" w:rsidRDefault="00D836A3" w:rsidP="00151CBE">
      <w:pPr>
        <w:pStyle w:val="TEXTBOLD"/>
        <w:spacing w:before="120" w:line="276" w:lineRule="auto"/>
        <w:rPr>
          <w:b w:val="0"/>
          <w:sz w:val="10"/>
          <w:szCs w:val="24"/>
          <w:u w:val="single"/>
          <w:lang w:val="ca-ES"/>
        </w:rPr>
      </w:pPr>
    </w:p>
    <w:p w:rsidR="004C1F59" w:rsidRPr="00087B75" w:rsidRDefault="00151CBE" w:rsidP="00151CBE">
      <w:pPr>
        <w:pStyle w:val="TEXTBOLD"/>
        <w:spacing w:before="120" w:line="276" w:lineRule="auto"/>
        <w:rPr>
          <w:b w:val="0"/>
          <w:sz w:val="4"/>
          <w:szCs w:val="24"/>
          <w:lang w:val="ca-ES"/>
        </w:rPr>
      </w:pPr>
      <w:proofErr w:type="spellStart"/>
      <w:r w:rsidRPr="00EA5418">
        <w:rPr>
          <w:b w:val="0"/>
          <w:sz w:val="24"/>
          <w:szCs w:val="24"/>
          <w:u w:val="single"/>
          <w:lang w:val="ca-ES"/>
        </w:rPr>
        <w:t>Interanualmen</w:t>
      </w:r>
      <w:r w:rsidRPr="00EA5418">
        <w:rPr>
          <w:b w:val="0"/>
          <w:sz w:val="24"/>
          <w:szCs w:val="24"/>
          <w:lang w:val="ca-ES"/>
        </w:rPr>
        <w:t>t</w:t>
      </w:r>
      <w:proofErr w:type="spellEnd"/>
      <w:r w:rsidRPr="00EA5418">
        <w:rPr>
          <w:b w:val="0"/>
          <w:sz w:val="24"/>
          <w:szCs w:val="24"/>
          <w:lang w:val="ca-ES"/>
        </w:rPr>
        <w:t xml:space="preserve">, el total d’expedients </w:t>
      </w:r>
      <w:r w:rsidR="00087B75">
        <w:rPr>
          <w:b w:val="0"/>
          <w:sz w:val="24"/>
          <w:szCs w:val="24"/>
          <w:lang w:val="ca-ES"/>
        </w:rPr>
        <w:t xml:space="preserve">han disminuït en un </w:t>
      </w:r>
      <w:r w:rsidR="0055439B">
        <w:rPr>
          <w:b w:val="0"/>
          <w:sz w:val="24"/>
          <w:szCs w:val="24"/>
          <w:lang w:val="ca-ES"/>
        </w:rPr>
        <w:t>13,02</w:t>
      </w:r>
      <w:r w:rsidRPr="00EA5418">
        <w:rPr>
          <w:b w:val="0"/>
          <w:sz w:val="24"/>
          <w:szCs w:val="24"/>
          <w:lang w:val="ca-ES"/>
        </w:rPr>
        <w:t xml:space="preserve">%, registrant-se un </w:t>
      </w:r>
      <w:r w:rsidR="00087B75">
        <w:rPr>
          <w:b w:val="0"/>
          <w:sz w:val="24"/>
          <w:szCs w:val="24"/>
          <w:lang w:val="ca-ES"/>
        </w:rPr>
        <w:t>descens</w:t>
      </w:r>
      <w:r w:rsidRPr="00B512DC">
        <w:rPr>
          <w:b w:val="0"/>
          <w:sz w:val="24"/>
          <w:szCs w:val="24"/>
          <w:lang w:val="ca-ES"/>
        </w:rPr>
        <w:t xml:space="preserve"> en</w:t>
      </w:r>
      <w:r w:rsidR="00087B75">
        <w:rPr>
          <w:b w:val="0"/>
          <w:sz w:val="24"/>
          <w:szCs w:val="24"/>
          <w:lang w:val="ca-ES"/>
        </w:rPr>
        <w:t xml:space="preserve"> tots els tipus de procediment</w:t>
      </w:r>
      <w:r w:rsidR="0055439B">
        <w:rPr>
          <w:b w:val="0"/>
          <w:sz w:val="24"/>
          <w:szCs w:val="24"/>
          <w:lang w:val="ca-ES"/>
        </w:rPr>
        <w:t>, llevat en les mediacions</w:t>
      </w:r>
      <w:r w:rsidR="00087B75">
        <w:rPr>
          <w:b w:val="0"/>
          <w:sz w:val="24"/>
          <w:szCs w:val="24"/>
          <w:lang w:val="ca-ES"/>
        </w:rPr>
        <w:t xml:space="preserve">. En aquest sentit, </w:t>
      </w:r>
      <w:r w:rsidR="0055439B">
        <w:rPr>
          <w:b w:val="0"/>
          <w:sz w:val="24"/>
          <w:szCs w:val="24"/>
          <w:lang w:val="ca-ES"/>
        </w:rPr>
        <w:t>els arbitratges s’han reduït en un 81,82%, les conciliacions en un 17,60% i les mediacions s’han incrementat en un 6,90%.</w:t>
      </w:r>
      <w:r w:rsidR="0055439B" w:rsidRPr="00087B75">
        <w:rPr>
          <w:b w:val="0"/>
          <w:sz w:val="4"/>
          <w:szCs w:val="24"/>
          <w:lang w:val="ca-ES"/>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7"/>
        <w:gridCol w:w="1564"/>
        <w:gridCol w:w="2048"/>
        <w:gridCol w:w="1649"/>
        <w:gridCol w:w="1596"/>
      </w:tblGrid>
      <w:tr w:rsidR="00151CBE" w:rsidRPr="00EA5418" w:rsidTr="006A4EC7">
        <w:trPr>
          <w:trHeight w:val="695"/>
        </w:trPr>
        <w:tc>
          <w:tcPr>
            <w:tcW w:w="2357" w:type="dxa"/>
            <w:tcBorders>
              <w:top w:val="nil"/>
              <w:left w:val="nil"/>
              <w:bottom w:val="single" w:sz="24" w:space="0" w:color="FFFFFF"/>
              <w:right w:val="single" w:sz="2" w:space="0" w:color="FFFFFF"/>
            </w:tcBorders>
            <w:shd w:val="clear" w:color="auto" w:fill="C00000"/>
            <w:vAlign w:val="center"/>
          </w:tcPr>
          <w:p w:rsidR="00151CBE" w:rsidRPr="003714CF" w:rsidRDefault="00151CBE" w:rsidP="006A4EC7">
            <w:pPr>
              <w:pStyle w:val="TEXTBOLD"/>
              <w:spacing w:line="276" w:lineRule="auto"/>
              <w:jc w:val="center"/>
              <w:rPr>
                <w:b w:val="0"/>
                <w:color w:val="auto"/>
                <w:lang w:val="ca-ES"/>
              </w:rPr>
            </w:pPr>
            <w:r w:rsidRPr="003714CF">
              <w:rPr>
                <w:b w:val="0"/>
                <w:color w:val="auto"/>
                <w:lang w:val="ca-ES"/>
              </w:rPr>
              <w:t xml:space="preserve"> CATALUNYA</w:t>
            </w:r>
          </w:p>
          <w:p w:rsidR="00151CBE" w:rsidRPr="003714CF" w:rsidRDefault="00151CBE" w:rsidP="0055439B">
            <w:pPr>
              <w:pStyle w:val="TEXTBOLD"/>
              <w:spacing w:line="276" w:lineRule="auto"/>
              <w:jc w:val="center"/>
              <w:rPr>
                <w:b w:val="0"/>
                <w:color w:val="auto"/>
                <w:lang w:val="ca-ES"/>
              </w:rPr>
            </w:pPr>
            <w:r w:rsidRPr="003714CF">
              <w:rPr>
                <w:b w:val="0"/>
                <w:color w:val="auto"/>
                <w:lang w:val="ca-ES"/>
              </w:rPr>
              <w:t xml:space="preserve">01/01 a </w:t>
            </w:r>
            <w:r w:rsidR="00BC1DD5" w:rsidRPr="003714CF">
              <w:rPr>
                <w:b w:val="0"/>
                <w:color w:val="auto"/>
                <w:lang w:val="ca-ES"/>
              </w:rPr>
              <w:t>30</w:t>
            </w:r>
            <w:r w:rsidRPr="003714CF">
              <w:rPr>
                <w:b w:val="0"/>
                <w:color w:val="auto"/>
                <w:lang w:val="ca-ES"/>
              </w:rPr>
              <w:t>/</w:t>
            </w:r>
            <w:r w:rsidR="00BC1DD5" w:rsidRPr="003714CF">
              <w:rPr>
                <w:b w:val="0"/>
                <w:color w:val="auto"/>
                <w:lang w:val="ca-ES"/>
              </w:rPr>
              <w:t>0</w:t>
            </w:r>
            <w:r w:rsidR="0055439B">
              <w:rPr>
                <w:b w:val="0"/>
                <w:color w:val="auto"/>
                <w:lang w:val="ca-ES"/>
              </w:rPr>
              <w:t>9</w:t>
            </w:r>
            <w:r w:rsidRPr="003714CF">
              <w:rPr>
                <w:b w:val="0"/>
                <w:color w:val="auto"/>
                <w:lang w:val="ca-ES"/>
              </w:rPr>
              <w:t xml:space="preserve"> </w:t>
            </w:r>
          </w:p>
        </w:tc>
        <w:tc>
          <w:tcPr>
            <w:tcW w:w="1564" w:type="dxa"/>
            <w:tcBorders>
              <w:top w:val="nil"/>
              <w:left w:val="single" w:sz="2" w:space="0" w:color="FFFFFF"/>
              <w:bottom w:val="single" w:sz="24" w:space="0" w:color="FFFFFF"/>
              <w:right w:val="single" w:sz="2" w:space="0" w:color="FFFFFF"/>
            </w:tcBorders>
            <w:shd w:val="clear" w:color="auto" w:fill="C00000"/>
            <w:vAlign w:val="center"/>
          </w:tcPr>
          <w:p w:rsidR="00151CBE" w:rsidRPr="003714CF" w:rsidRDefault="00151CBE" w:rsidP="006A4EC7">
            <w:pPr>
              <w:pStyle w:val="TEXTBOLD"/>
              <w:spacing w:line="276" w:lineRule="auto"/>
              <w:jc w:val="center"/>
              <w:rPr>
                <w:b w:val="0"/>
                <w:color w:val="auto"/>
                <w:lang w:val="ca-ES"/>
              </w:rPr>
            </w:pPr>
            <w:r w:rsidRPr="003714CF">
              <w:rPr>
                <w:b w:val="0"/>
                <w:color w:val="auto"/>
                <w:lang w:val="ca-ES"/>
              </w:rPr>
              <w:t>TOTAL</w:t>
            </w:r>
          </w:p>
        </w:tc>
        <w:tc>
          <w:tcPr>
            <w:tcW w:w="2048" w:type="dxa"/>
            <w:tcBorders>
              <w:top w:val="nil"/>
              <w:left w:val="single" w:sz="2" w:space="0" w:color="FFFFFF"/>
              <w:bottom w:val="single" w:sz="24" w:space="0" w:color="FFFFFF"/>
              <w:right w:val="single" w:sz="2" w:space="0" w:color="FFFFFF"/>
            </w:tcBorders>
            <w:shd w:val="clear" w:color="auto" w:fill="C00000"/>
            <w:vAlign w:val="center"/>
          </w:tcPr>
          <w:p w:rsidR="00151CBE" w:rsidRPr="003714CF" w:rsidRDefault="00151CBE" w:rsidP="006A4EC7">
            <w:pPr>
              <w:pStyle w:val="TEXTBOLD"/>
              <w:spacing w:line="276" w:lineRule="auto"/>
              <w:jc w:val="center"/>
              <w:rPr>
                <w:b w:val="0"/>
                <w:color w:val="auto"/>
                <w:lang w:val="ca-ES"/>
              </w:rPr>
            </w:pPr>
            <w:r w:rsidRPr="003714CF">
              <w:rPr>
                <w:b w:val="0"/>
                <w:color w:val="auto"/>
                <w:lang w:val="ca-ES"/>
              </w:rPr>
              <w:t>ARBITRATGES</w:t>
            </w:r>
          </w:p>
        </w:tc>
        <w:tc>
          <w:tcPr>
            <w:tcW w:w="1649" w:type="dxa"/>
            <w:tcBorders>
              <w:top w:val="nil"/>
              <w:left w:val="single" w:sz="2" w:space="0" w:color="FFFFFF"/>
              <w:bottom w:val="single" w:sz="24" w:space="0" w:color="FFFFFF"/>
              <w:right w:val="nil"/>
            </w:tcBorders>
            <w:shd w:val="clear" w:color="auto" w:fill="C00000"/>
            <w:vAlign w:val="center"/>
          </w:tcPr>
          <w:p w:rsidR="00151CBE" w:rsidRPr="003714CF" w:rsidRDefault="00151CBE" w:rsidP="006A4EC7">
            <w:pPr>
              <w:pStyle w:val="TEXTBOLD"/>
              <w:spacing w:line="276" w:lineRule="auto"/>
              <w:jc w:val="center"/>
              <w:rPr>
                <w:b w:val="0"/>
                <w:color w:val="auto"/>
                <w:lang w:val="ca-ES"/>
              </w:rPr>
            </w:pPr>
            <w:r w:rsidRPr="003714CF">
              <w:rPr>
                <w:b w:val="0"/>
                <w:color w:val="auto"/>
                <w:lang w:val="ca-ES"/>
              </w:rPr>
              <w:t>CONCILIACIONS</w:t>
            </w:r>
          </w:p>
        </w:tc>
        <w:tc>
          <w:tcPr>
            <w:tcW w:w="1596" w:type="dxa"/>
            <w:tcBorders>
              <w:top w:val="nil"/>
              <w:left w:val="single" w:sz="2" w:space="0" w:color="FFFFFF"/>
              <w:bottom w:val="single" w:sz="24" w:space="0" w:color="FFFFFF"/>
              <w:right w:val="nil"/>
            </w:tcBorders>
            <w:shd w:val="clear" w:color="auto" w:fill="C00000"/>
            <w:vAlign w:val="center"/>
          </w:tcPr>
          <w:p w:rsidR="00151CBE" w:rsidRPr="003714CF" w:rsidRDefault="00151CBE" w:rsidP="006A4EC7">
            <w:pPr>
              <w:pStyle w:val="TEXTBOLD"/>
              <w:spacing w:line="276" w:lineRule="auto"/>
              <w:jc w:val="center"/>
              <w:rPr>
                <w:b w:val="0"/>
                <w:color w:val="auto"/>
                <w:lang w:val="ca-ES"/>
              </w:rPr>
            </w:pPr>
            <w:r w:rsidRPr="003714CF">
              <w:rPr>
                <w:b w:val="0"/>
                <w:color w:val="auto"/>
                <w:lang w:val="ca-ES"/>
              </w:rPr>
              <w:t>MEDIACIONS</w:t>
            </w:r>
          </w:p>
        </w:tc>
      </w:tr>
      <w:tr w:rsidR="00151CBE" w:rsidRPr="00EA5418" w:rsidTr="006A4EC7">
        <w:tc>
          <w:tcPr>
            <w:tcW w:w="2357" w:type="dxa"/>
            <w:tcBorders>
              <w:top w:val="single" w:sz="24" w:space="0" w:color="FFFFFF"/>
              <w:left w:val="nil"/>
              <w:bottom w:val="single" w:sz="24" w:space="0" w:color="FFFFFF"/>
              <w:right w:val="single" w:sz="24" w:space="0" w:color="FFFFFF"/>
            </w:tcBorders>
            <w:shd w:val="clear" w:color="auto" w:fill="C00000"/>
          </w:tcPr>
          <w:p w:rsidR="00151CBE" w:rsidRPr="003E2B63" w:rsidRDefault="00087B75" w:rsidP="006A4EC7">
            <w:pPr>
              <w:pStyle w:val="TEXTBOLD"/>
              <w:spacing w:line="276" w:lineRule="auto"/>
              <w:jc w:val="center"/>
              <w:rPr>
                <w:rFonts w:cs="Times New Roman"/>
                <w:b w:val="0"/>
                <w:color w:val="FFFFFF"/>
                <w:sz w:val="20"/>
                <w:szCs w:val="20"/>
                <w:lang w:val="ca-ES" w:eastAsia="es-ES"/>
              </w:rPr>
            </w:pPr>
            <w:r>
              <w:rPr>
                <w:rFonts w:cs="Times New Roman"/>
                <w:b w:val="0"/>
                <w:color w:val="FFFFFF"/>
                <w:sz w:val="20"/>
                <w:szCs w:val="20"/>
                <w:lang w:val="ca-ES" w:eastAsia="es-ES"/>
              </w:rPr>
              <w:t>2018</w:t>
            </w:r>
          </w:p>
        </w:tc>
        <w:tc>
          <w:tcPr>
            <w:tcW w:w="1564" w:type="dxa"/>
            <w:tcBorders>
              <w:top w:val="single" w:sz="24" w:space="0" w:color="FFFFFF"/>
              <w:left w:val="single" w:sz="24"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675</w:t>
            </w:r>
          </w:p>
        </w:tc>
        <w:tc>
          <w:tcPr>
            <w:tcW w:w="2048"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723347" w:rsidP="006A4EC7">
            <w:pPr>
              <w:pStyle w:val="TEXTBOLD"/>
              <w:spacing w:line="276" w:lineRule="auto"/>
              <w:jc w:val="center"/>
              <w:rPr>
                <w:b w:val="0"/>
                <w:sz w:val="20"/>
                <w:szCs w:val="20"/>
                <w:lang w:val="ca-ES"/>
              </w:rPr>
            </w:pPr>
            <w:r>
              <w:rPr>
                <w:b w:val="0"/>
                <w:sz w:val="20"/>
                <w:szCs w:val="20"/>
                <w:lang w:val="ca-ES"/>
              </w:rPr>
              <w:t>2</w:t>
            </w:r>
          </w:p>
        </w:tc>
        <w:tc>
          <w:tcPr>
            <w:tcW w:w="1649"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723347" w:rsidP="006A4EC7">
            <w:pPr>
              <w:pStyle w:val="TEXTBOLD"/>
              <w:spacing w:line="276" w:lineRule="auto"/>
              <w:jc w:val="center"/>
              <w:rPr>
                <w:b w:val="0"/>
                <w:sz w:val="20"/>
                <w:szCs w:val="20"/>
                <w:lang w:val="ca-ES"/>
              </w:rPr>
            </w:pPr>
            <w:r>
              <w:rPr>
                <w:b w:val="0"/>
                <w:sz w:val="20"/>
                <w:szCs w:val="20"/>
                <w:lang w:val="ca-ES"/>
              </w:rPr>
              <w:t>487</w:t>
            </w:r>
          </w:p>
        </w:tc>
        <w:tc>
          <w:tcPr>
            <w:tcW w:w="1596" w:type="dxa"/>
            <w:tcBorders>
              <w:top w:val="single" w:sz="24" w:space="0" w:color="FFFFFF"/>
              <w:left w:val="single" w:sz="2" w:space="0" w:color="FFFFFF"/>
              <w:bottom w:val="single" w:sz="24" w:space="0" w:color="FFFFFF"/>
              <w:right w:val="nil"/>
            </w:tcBorders>
            <w:shd w:val="clear" w:color="auto" w:fill="F2DBDB"/>
          </w:tcPr>
          <w:p w:rsidR="00151CBE" w:rsidRPr="003E2B63" w:rsidRDefault="00723347" w:rsidP="006A4EC7">
            <w:pPr>
              <w:pStyle w:val="TEXTBOLD"/>
              <w:spacing w:line="276" w:lineRule="auto"/>
              <w:jc w:val="center"/>
              <w:rPr>
                <w:b w:val="0"/>
                <w:sz w:val="20"/>
                <w:szCs w:val="20"/>
                <w:lang w:val="ca-ES"/>
              </w:rPr>
            </w:pPr>
            <w:r>
              <w:rPr>
                <w:b w:val="0"/>
                <w:sz w:val="20"/>
                <w:szCs w:val="20"/>
                <w:lang w:val="ca-ES"/>
              </w:rPr>
              <w:t>186</w:t>
            </w:r>
          </w:p>
        </w:tc>
      </w:tr>
      <w:tr w:rsidR="00151CBE" w:rsidRPr="00EA5418" w:rsidTr="006A4EC7">
        <w:tc>
          <w:tcPr>
            <w:tcW w:w="2357" w:type="dxa"/>
            <w:tcBorders>
              <w:top w:val="single" w:sz="24" w:space="0" w:color="FFFFFF"/>
              <w:left w:val="nil"/>
              <w:bottom w:val="single" w:sz="24" w:space="0" w:color="FFFFFF"/>
              <w:right w:val="single" w:sz="24" w:space="0" w:color="FFFFFF"/>
            </w:tcBorders>
            <w:shd w:val="clear" w:color="auto" w:fill="C00000"/>
          </w:tcPr>
          <w:p w:rsidR="00151CBE" w:rsidRPr="003E2B63" w:rsidRDefault="003714CF" w:rsidP="006A4EC7">
            <w:pPr>
              <w:pStyle w:val="TEXTBOLD"/>
              <w:spacing w:line="276" w:lineRule="auto"/>
              <w:jc w:val="center"/>
              <w:rPr>
                <w:rFonts w:cs="Times New Roman"/>
                <w:b w:val="0"/>
                <w:color w:val="FFFFFF"/>
                <w:sz w:val="20"/>
                <w:szCs w:val="20"/>
                <w:lang w:val="ca-ES" w:eastAsia="es-ES"/>
              </w:rPr>
            </w:pPr>
            <w:r>
              <w:rPr>
                <w:rFonts w:cs="Times New Roman"/>
                <w:b w:val="0"/>
                <w:color w:val="FFFFFF"/>
                <w:sz w:val="20"/>
                <w:szCs w:val="20"/>
                <w:lang w:val="ca-ES" w:eastAsia="es-ES"/>
              </w:rPr>
              <w:t>2017</w:t>
            </w:r>
          </w:p>
        </w:tc>
        <w:tc>
          <w:tcPr>
            <w:tcW w:w="1564" w:type="dxa"/>
            <w:tcBorders>
              <w:top w:val="single" w:sz="24" w:space="0" w:color="FFFFFF"/>
              <w:left w:val="single" w:sz="24" w:space="0" w:color="FFFFFF"/>
              <w:bottom w:val="single" w:sz="24" w:space="0" w:color="FFFFFF"/>
              <w:right w:val="single" w:sz="2" w:space="0" w:color="FFFFFF"/>
            </w:tcBorders>
            <w:shd w:val="clear" w:color="auto" w:fill="F2DBDB"/>
            <w:vAlign w:val="center"/>
          </w:tcPr>
          <w:p w:rsidR="00151CBE" w:rsidRPr="003E2B63" w:rsidRDefault="0055439B" w:rsidP="006A4EC7">
            <w:pPr>
              <w:pStyle w:val="TEXTBOLD"/>
              <w:spacing w:line="276" w:lineRule="auto"/>
              <w:jc w:val="center"/>
              <w:rPr>
                <w:b w:val="0"/>
                <w:sz w:val="20"/>
                <w:szCs w:val="20"/>
                <w:lang w:val="ca-ES"/>
              </w:rPr>
            </w:pPr>
            <w:r>
              <w:rPr>
                <w:b w:val="0"/>
                <w:sz w:val="20"/>
                <w:szCs w:val="20"/>
                <w:lang w:val="ca-ES"/>
              </w:rPr>
              <w:t>776</w:t>
            </w:r>
          </w:p>
        </w:tc>
        <w:tc>
          <w:tcPr>
            <w:tcW w:w="2048" w:type="dxa"/>
            <w:tcBorders>
              <w:top w:val="single" w:sz="24" w:space="0" w:color="FFFFFF"/>
              <w:left w:val="single" w:sz="2" w:space="0" w:color="FFFFFF"/>
              <w:bottom w:val="single" w:sz="24" w:space="0" w:color="FFFFFF"/>
              <w:right w:val="single" w:sz="2" w:space="0" w:color="FFFFFF"/>
            </w:tcBorders>
            <w:shd w:val="clear" w:color="auto" w:fill="F2DBDB"/>
            <w:vAlign w:val="center"/>
          </w:tcPr>
          <w:p w:rsidR="00151CBE" w:rsidRPr="003E2B63" w:rsidRDefault="00723347" w:rsidP="006A4EC7">
            <w:pPr>
              <w:pStyle w:val="TEXTBOLD"/>
              <w:spacing w:line="276" w:lineRule="auto"/>
              <w:jc w:val="center"/>
              <w:rPr>
                <w:b w:val="0"/>
                <w:sz w:val="20"/>
                <w:szCs w:val="20"/>
                <w:lang w:val="ca-ES"/>
              </w:rPr>
            </w:pPr>
            <w:r>
              <w:rPr>
                <w:b w:val="0"/>
                <w:sz w:val="20"/>
                <w:szCs w:val="20"/>
                <w:lang w:val="ca-ES"/>
              </w:rPr>
              <w:t>11</w:t>
            </w:r>
          </w:p>
        </w:tc>
        <w:tc>
          <w:tcPr>
            <w:tcW w:w="1649"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723347" w:rsidP="006A4EC7">
            <w:pPr>
              <w:pStyle w:val="TEXTBOLD"/>
              <w:spacing w:line="276" w:lineRule="auto"/>
              <w:jc w:val="center"/>
              <w:rPr>
                <w:b w:val="0"/>
                <w:sz w:val="20"/>
                <w:szCs w:val="20"/>
                <w:lang w:val="ca-ES"/>
              </w:rPr>
            </w:pPr>
            <w:r>
              <w:rPr>
                <w:b w:val="0"/>
                <w:sz w:val="20"/>
                <w:szCs w:val="20"/>
                <w:lang w:val="ca-ES"/>
              </w:rPr>
              <w:t>591</w:t>
            </w:r>
          </w:p>
        </w:tc>
        <w:tc>
          <w:tcPr>
            <w:tcW w:w="1596" w:type="dxa"/>
            <w:tcBorders>
              <w:top w:val="single" w:sz="24" w:space="0" w:color="FFFFFF"/>
              <w:left w:val="single" w:sz="2" w:space="0" w:color="FFFFFF"/>
              <w:bottom w:val="single" w:sz="24" w:space="0" w:color="FFFFFF"/>
              <w:right w:val="nil"/>
            </w:tcBorders>
            <w:shd w:val="clear" w:color="auto" w:fill="F2DBDB"/>
          </w:tcPr>
          <w:p w:rsidR="00151CBE" w:rsidRPr="003E2B63" w:rsidRDefault="00723347" w:rsidP="006A4EC7">
            <w:pPr>
              <w:pStyle w:val="TEXTBOLD"/>
              <w:spacing w:line="276" w:lineRule="auto"/>
              <w:jc w:val="center"/>
              <w:rPr>
                <w:b w:val="0"/>
                <w:sz w:val="20"/>
                <w:szCs w:val="20"/>
                <w:lang w:val="ca-ES"/>
              </w:rPr>
            </w:pPr>
            <w:r>
              <w:rPr>
                <w:b w:val="0"/>
                <w:sz w:val="20"/>
                <w:szCs w:val="20"/>
                <w:lang w:val="ca-ES"/>
              </w:rPr>
              <w:t>174</w:t>
            </w:r>
          </w:p>
        </w:tc>
      </w:tr>
      <w:tr w:rsidR="00151CBE" w:rsidRPr="00EA5418" w:rsidTr="006A4EC7">
        <w:tc>
          <w:tcPr>
            <w:tcW w:w="2357" w:type="dxa"/>
            <w:tcBorders>
              <w:top w:val="single" w:sz="24" w:space="0" w:color="FFFFFF"/>
              <w:left w:val="nil"/>
              <w:bottom w:val="single" w:sz="24" w:space="0" w:color="FFFFFF"/>
              <w:right w:val="single" w:sz="24" w:space="0" w:color="FFFFFF"/>
            </w:tcBorders>
            <w:shd w:val="clear" w:color="auto" w:fill="C00000"/>
          </w:tcPr>
          <w:p w:rsidR="00151CBE" w:rsidRPr="003E2B63" w:rsidRDefault="00151CBE" w:rsidP="006A4EC7">
            <w:pPr>
              <w:pStyle w:val="TEXTBOLD"/>
              <w:spacing w:line="276" w:lineRule="auto"/>
              <w:jc w:val="center"/>
              <w:rPr>
                <w:rFonts w:cs="Times New Roman"/>
                <w:b w:val="0"/>
                <w:color w:val="FFFFFF"/>
                <w:sz w:val="20"/>
                <w:szCs w:val="20"/>
                <w:lang w:val="ca-ES" w:eastAsia="es-ES"/>
              </w:rPr>
            </w:pPr>
            <w:r w:rsidRPr="003E2B63">
              <w:rPr>
                <w:rFonts w:cs="Times New Roman"/>
                <w:b w:val="0"/>
                <w:color w:val="FFFFFF"/>
                <w:sz w:val="20"/>
                <w:szCs w:val="20"/>
                <w:lang w:val="ca-ES" w:eastAsia="es-ES"/>
              </w:rPr>
              <w:t>DIFERÈNCIA</w:t>
            </w:r>
          </w:p>
        </w:tc>
        <w:tc>
          <w:tcPr>
            <w:tcW w:w="1564" w:type="dxa"/>
            <w:tcBorders>
              <w:top w:val="single" w:sz="24" w:space="0" w:color="FFFFFF"/>
              <w:left w:val="single" w:sz="24" w:space="0" w:color="FFFFFF"/>
              <w:bottom w:val="single" w:sz="24" w:space="0" w:color="FFFFFF"/>
              <w:right w:val="single" w:sz="4" w:space="0" w:color="FFFFFF"/>
            </w:tcBorders>
            <w:shd w:val="clear" w:color="auto" w:fill="F2DBDB"/>
            <w:vAlign w:val="center"/>
          </w:tcPr>
          <w:p w:rsidR="00151CBE" w:rsidRPr="003E2B63" w:rsidRDefault="00723347" w:rsidP="006A4EC7">
            <w:pPr>
              <w:pStyle w:val="TEXTBOLD"/>
              <w:spacing w:line="276" w:lineRule="auto"/>
              <w:jc w:val="center"/>
              <w:rPr>
                <w:b w:val="0"/>
                <w:sz w:val="20"/>
                <w:szCs w:val="20"/>
                <w:lang w:val="ca-ES"/>
              </w:rPr>
            </w:pPr>
            <w:r>
              <w:rPr>
                <w:b w:val="0"/>
                <w:sz w:val="20"/>
                <w:szCs w:val="20"/>
                <w:lang w:val="ca-ES"/>
              </w:rPr>
              <w:t>-101</w:t>
            </w:r>
          </w:p>
        </w:tc>
        <w:tc>
          <w:tcPr>
            <w:tcW w:w="2048" w:type="dxa"/>
            <w:tcBorders>
              <w:top w:val="single" w:sz="24" w:space="0" w:color="FFFFFF"/>
              <w:left w:val="single" w:sz="4" w:space="0" w:color="FFFFFF"/>
              <w:bottom w:val="single" w:sz="24" w:space="0" w:color="FFFFFF"/>
              <w:right w:val="single" w:sz="2" w:space="0" w:color="FFFFFF"/>
            </w:tcBorders>
            <w:shd w:val="clear" w:color="auto" w:fill="F2DBDB"/>
            <w:vAlign w:val="center"/>
          </w:tcPr>
          <w:p w:rsidR="00151CBE" w:rsidRPr="00C80048" w:rsidRDefault="00723347" w:rsidP="006A4EC7">
            <w:pPr>
              <w:pStyle w:val="TEXTBOLD"/>
              <w:spacing w:line="276" w:lineRule="auto"/>
              <w:jc w:val="center"/>
              <w:rPr>
                <w:b w:val="0"/>
                <w:sz w:val="20"/>
                <w:szCs w:val="20"/>
                <w:lang w:val="ca-ES"/>
              </w:rPr>
            </w:pPr>
            <w:r>
              <w:rPr>
                <w:b w:val="0"/>
                <w:sz w:val="20"/>
                <w:szCs w:val="20"/>
                <w:lang w:val="ca-ES"/>
              </w:rPr>
              <w:t>-9</w:t>
            </w:r>
          </w:p>
        </w:tc>
        <w:tc>
          <w:tcPr>
            <w:tcW w:w="1649"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1C1207" w:rsidP="00723347">
            <w:pPr>
              <w:pStyle w:val="TEXTBOLD"/>
              <w:spacing w:line="276" w:lineRule="auto"/>
              <w:jc w:val="center"/>
              <w:rPr>
                <w:b w:val="0"/>
                <w:sz w:val="20"/>
                <w:szCs w:val="20"/>
                <w:lang w:val="ca-ES"/>
              </w:rPr>
            </w:pPr>
            <w:r>
              <w:rPr>
                <w:b w:val="0"/>
                <w:sz w:val="20"/>
                <w:szCs w:val="20"/>
                <w:lang w:val="ca-ES"/>
              </w:rPr>
              <w:t>-</w:t>
            </w:r>
            <w:r w:rsidR="00723347">
              <w:rPr>
                <w:b w:val="0"/>
                <w:sz w:val="20"/>
                <w:szCs w:val="20"/>
                <w:lang w:val="ca-ES"/>
              </w:rPr>
              <w:t>104</w:t>
            </w:r>
          </w:p>
        </w:tc>
        <w:tc>
          <w:tcPr>
            <w:tcW w:w="1596" w:type="dxa"/>
            <w:tcBorders>
              <w:top w:val="single" w:sz="24" w:space="0" w:color="FFFFFF"/>
              <w:left w:val="single" w:sz="2" w:space="0" w:color="FFFFFF"/>
              <w:bottom w:val="single" w:sz="24" w:space="0" w:color="FFFFFF"/>
              <w:right w:val="nil"/>
            </w:tcBorders>
            <w:shd w:val="clear" w:color="auto" w:fill="F2DBDB"/>
          </w:tcPr>
          <w:p w:rsidR="00151CBE" w:rsidRPr="003E2B63" w:rsidRDefault="00723347" w:rsidP="006A4EC7">
            <w:pPr>
              <w:pStyle w:val="TEXTBOLD"/>
              <w:spacing w:line="276" w:lineRule="auto"/>
              <w:jc w:val="center"/>
              <w:rPr>
                <w:b w:val="0"/>
                <w:sz w:val="20"/>
                <w:szCs w:val="20"/>
                <w:lang w:val="ca-ES"/>
              </w:rPr>
            </w:pPr>
            <w:r>
              <w:rPr>
                <w:b w:val="0"/>
                <w:sz w:val="20"/>
                <w:szCs w:val="20"/>
                <w:lang w:val="ca-ES"/>
              </w:rPr>
              <w:t>12</w:t>
            </w:r>
          </w:p>
        </w:tc>
      </w:tr>
      <w:tr w:rsidR="00151CBE" w:rsidRPr="00EA5418" w:rsidTr="006A4EC7">
        <w:trPr>
          <w:trHeight w:val="231"/>
        </w:trPr>
        <w:tc>
          <w:tcPr>
            <w:tcW w:w="2357" w:type="dxa"/>
            <w:tcBorders>
              <w:top w:val="single" w:sz="24" w:space="0" w:color="FFFFFF"/>
              <w:left w:val="nil"/>
              <w:bottom w:val="single" w:sz="2" w:space="0" w:color="FFFFFF"/>
              <w:right w:val="single" w:sz="24" w:space="0" w:color="FFFFFF"/>
            </w:tcBorders>
            <w:shd w:val="clear" w:color="auto" w:fill="C00000"/>
          </w:tcPr>
          <w:p w:rsidR="00151CBE" w:rsidRPr="003E2B63" w:rsidRDefault="00151CBE" w:rsidP="006A4EC7">
            <w:pPr>
              <w:pStyle w:val="TEXTBOLD"/>
              <w:spacing w:line="276" w:lineRule="auto"/>
              <w:jc w:val="center"/>
              <w:rPr>
                <w:rFonts w:cs="Times New Roman"/>
                <w:b w:val="0"/>
                <w:color w:val="FFFFFF"/>
                <w:sz w:val="20"/>
                <w:szCs w:val="20"/>
                <w:lang w:val="ca-ES" w:eastAsia="es-ES"/>
              </w:rPr>
            </w:pPr>
            <w:r w:rsidRPr="003E2B63">
              <w:rPr>
                <w:rFonts w:cs="Times New Roman"/>
                <w:b w:val="0"/>
                <w:color w:val="FFFFFF"/>
                <w:sz w:val="20"/>
                <w:szCs w:val="20"/>
                <w:lang w:val="ca-ES" w:eastAsia="es-ES"/>
              </w:rPr>
              <w:t>%</w:t>
            </w:r>
          </w:p>
        </w:tc>
        <w:tc>
          <w:tcPr>
            <w:tcW w:w="1564" w:type="dxa"/>
            <w:tcBorders>
              <w:top w:val="single" w:sz="24" w:space="0" w:color="FFFFFF"/>
              <w:left w:val="single" w:sz="24" w:space="0" w:color="FFFFFF"/>
              <w:bottom w:val="single" w:sz="24" w:space="0" w:color="FFFFFF"/>
              <w:right w:val="single" w:sz="4" w:space="0" w:color="FFFFFF"/>
            </w:tcBorders>
            <w:shd w:val="clear" w:color="auto" w:fill="F2DBDB"/>
            <w:vAlign w:val="center"/>
          </w:tcPr>
          <w:p w:rsidR="00151CBE" w:rsidRPr="003E2B63" w:rsidRDefault="00723347" w:rsidP="006A4EC7">
            <w:pPr>
              <w:pStyle w:val="TEXTBOLD"/>
              <w:spacing w:line="276" w:lineRule="auto"/>
              <w:jc w:val="center"/>
              <w:rPr>
                <w:b w:val="0"/>
                <w:sz w:val="20"/>
                <w:szCs w:val="20"/>
                <w:lang w:val="ca-ES"/>
              </w:rPr>
            </w:pPr>
            <w:r>
              <w:rPr>
                <w:b w:val="0"/>
                <w:sz w:val="20"/>
                <w:szCs w:val="20"/>
                <w:lang w:val="ca-ES"/>
              </w:rPr>
              <w:t>-13,02</w:t>
            </w:r>
            <w:r w:rsidR="001C1207">
              <w:rPr>
                <w:b w:val="0"/>
                <w:sz w:val="20"/>
                <w:szCs w:val="20"/>
                <w:lang w:val="ca-ES"/>
              </w:rPr>
              <w:t>%</w:t>
            </w:r>
          </w:p>
        </w:tc>
        <w:tc>
          <w:tcPr>
            <w:tcW w:w="2048" w:type="dxa"/>
            <w:tcBorders>
              <w:top w:val="single" w:sz="24" w:space="0" w:color="FFFFFF"/>
              <w:left w:val="single" w:sz="4" w:space="0" w:color="FFFFFF"/>
              <w:bottom w:val="single" w:sz="24" w:space="0" w:color="FFFFFF"/>
              <w:right w:val="single" w:sz="2" w:space="0" w:color="FFFFFF"/>
            </w:tcBorders>
            <w:shd w:val="clear" w:color="auto" w:fill="F2DBDB"/>
            <w:vAlign w:val="center"/>
          </w:tcPr>
          <w:p w:rsidR="00151CBE" w:rsidRPr="003E2B63" w:rsidRDefault="007803B2" w:rsidP="00723347">
            <w:pPr>
              <w:pStyle w:val="TEXTBOLD"/>
              <w:spacing w:line="276" w:lineRule="auto"/>
              <w:jc w:val="center"/>
              <w:rPr>
                <w:b w:val="0"/>
                <w:sz w:val="20"/>
                <w:szCs w:val="20"/>
                <w:lang w:val="ca-ES"/>
              </w:rPr>
            </w:pPr>
            <w:r>
              <w:rPr>
                <w:b w:val="0"/>
                <w:sz w:val="20"/>
                <w:szCs w:val="20"/>
                <w:lang w:val="ca-ES"/>
              </w:rPr>
              <w:t>-</w:t>
            </w:r>
            <w:r w:rsidR="00723347">
              <w:rPr>
                <w:b w:val="0"/>
                <w:sz w:val="20"/>
                <w:szCs w:val="20"/>
                <w:lang w:val="ca-ES"/>
              </w:rPr>
              <w:t>81,82</w:t>
            </w:r>
            <w:r w:rsidR="00151CBE">
              <w:rPr>
                <w:b w:val="0"/>
                <w:sz w:val="20"/>
                <w:szCs w:val="20"/>
                <w:lang w:val="ca-ES"/>
              </w:rPr>
              <w:t>%</w:t>
            </w:r>
          </w:p>
        </w:tc>
        <w:tc>
          <w:tcPr>
            <w:tcW w:w="1649" w:type="dxa"/>
            <w:tcBorders>
              <w:top w:val="single" w:sz="24" w:space="0" w:color="FFFFFF"/>
              <w:left w:val="single" w:sz="2" w:space="0" w:color="FFFFFF"/>
              <w:bottom w:val="single" w:sz="24" w:space="0" w:color="FFFFFF"/>
              <w:right w:val="nil"/>
            </w:tcBorders>
            <w:shd w:val="clear" w:color="auto" w:fill="F2DBDB"/>
            <w:vAlign w:val="center"/>
          </w:tcPr>
          <w:p w:rsidR="00151CBE" w:rsidRPr="003E2B63" w:rsidRDefault="001C1207" w:rsidP="00723347">
            <w:pPr>
              <w:pStyle w:val="TEXTBOLD"/>
              <w:spacing w:line="276" w:lineRule="auto"/>
              <w:jc w:val="center"/>
              <w:rPr>
                <w:b w:val="0"/>
                <w:sz w:val="20"/>
                <w:szCs w:val="20"/>
                <w:lang w:val="ca-ES"/>
              </w:rPr>
            </w:pPr>
            <w:r>
              <w:rPr>
                <w:b w:val="0"/>
                <w:sz w:val="20"/>
                <w:szCs w:val="20"/>
                <w:lang w:val="ca-ES"/>
              </w:rPr>
              <w:t>-</w:t>
            </w:r>
            <w:r w:rsidR="00723347">
              <w:rPr>
                <w:b w:val="0"/>
                <w:sz w:val="20"/>
                <w:szCs w:val="20"/>
                <w:lang w:val="ca-ES"/>
              </w:rPr>
              <w:t>17,60</w:t>
            </w:r>
            <w:r w:rsidR="00151CBE">
              <w:rPr>
                <w:b w:val="0"/>
                <w:sz w:val="20"/>
                <w:szCs w:val="20"/>
                <w:lang w:val="ca-ES"/>
              </w:rPr>
              <w:t>%</w:t>
            </w:r>
          </w:p>
        </w:tc>
        <w:tc>
          <w:tcPr>
            <w:tcW w:w="1596" w:type="dxa"/>
            <w:tcBorders>
              <w:top w:val="single" w:sz="24" w:space="0" w:color="FFFFFF"/>
              <w:left w:val="single" w:sz="2" w:space="0" w:color="FFFFFF"/>
              <w:bottom w:val="single" w:sz="24" w:space="0" w:color="FFFFFF"/>
              <w:right w:val="nil"/>
            </w:tcBorders>
            <w:shd w:val="clear" w:color="auto" w:fill="F2DBDB"/>
          </w:tcPr>
          <w:p w:rsidR="00151CBE" w:rsidRPr="003E2B63" w:rsidRDefault="00723347" w:rsidP="006A4EC7">
            <w:pPr>
              <w:pStyle w:val="TEXTBOLD"/>
              <w:spacing w:line="276" w:lineRule="auto"/>
              <w:jc w:val="center"/>
              <w:rPr>
                <w:b w:val="0"/>
                <w:sz w:val="20"/>
                <w:szCs w:val="20"/>
                <w:lang w:val="ca-ES"/>
              </w:rPr>
            </w:pPr>
            <w:r>
              <w:rPr>
                <w:b w:val="0"/>
                <w:sz w:val="20"/>
                <w:szCs w:val="20"/>
                <w:lang w:val="ca-ES"/>
              </w:rPr>
              <w:t>6,90</w:t>
            </w:r>
            <w:r w:rsidR="00151CBE">
              <w:rPr>
                <w:b w:val="0"/>
                <w:sz w:val="20"/>
                <w:szCs w:val="20"/>
                <w:lang w:val="ca-ES"/>
              </w:rPr>
              <w:t>%</w:t>
            </w:r>
          </w:p>
        </w:tc>
      </w:tr>
    </w:tbl>
    <w:p w:rsidR="00151CBE" w:rsidRPr="004B6A46" w:rsidRDefault="00151CBE" w:rsidP="00151CBE">
      <w:pPr>
        <w:pStyle w:val="TEXTBOLD"/>
        <w:spacing w:line="276" w:lineRule="auto"/>
        <w:jc w:val="center"/>
        <w:rPr>
          <w:b w:val="0"/>
          <w:color w:val="404040"/>
          <w:sz w:val="18"/>
          <w:lang w:val="ca-ES"/>
        </w:rPr>
      </w:pPr>
      <w:r w:rsidRPr="00EA5418">
        <w:rPr>
          <w:b w:val="0"/>
          <w:color w:val="404040"/>
          <w:sz w:val="18"/>
          <w:lang w:val="ca-ES"/>
        </w:rPr>
        <w:t>Font: Elaboració pròpia a partir de les dades del Tribunal Laboral de Catalunya</w:t>
      </w:r>
    </w:p>
    <w:p w:rsidR="004C1F59" w:rsidRDefault="004C1F59" w:rsidP="00151CBE">
      <w:pPr>
        <w:pStyle w:val="TEXTBOLD"/>
        <w:spacing w:before="120" w:line="276" w:lineRule="auto"/>
        <w:rPr>
          <w:b w:val="0"/>
          <w:sz w:val="24"/>
          <w:szCs w:val="24"/>
          <w:lang w:val="ca-ES"/>
        </w:rPr>
      </w:pPr>
    </w:p>
    <w:p w:rsidR="00151CBE" w:rsidRDefault="00151CBE" w:rsidP="00151CBE">
      <w:pPr>
        <w:pStyle w:val="TEXTBOLD"/>
        <w:spacing w:before="120" w:line="276" w:lineRule="auto"/>
        <w:rPr>
          <w:b w:val="0"/>
          <w:sz w:val="24"/>
          <w:szCs w:val="24"/>
          <w:lang w:val="ca-ES"/>
        </w:rPr>
      </w:pPr>
      <w:r w:rsidRPr="00EA5418">
        <w:rPr>
          <w:b w:val="0"/>
          <w:sz w:val="24"/>
          <w:szCs w:val="24"/>
          <w:lang w:val="ca-ES"/>
        </w:rPr>
        <w:t xml:space="preserve">En atenció a la </w:t>
      </w:r>
      <w:r w:rsidRPr="00EA5418">
        <w:rPr>
          <w:b w:val="0"/>
          <w:sz w:val="24"/>
          <w:szCs w:val="24"/>
          <w:u w:val="single"/>
          <w:lang w:val="ca-ES"/>
        </w:rPr>
        <w:t>causa al·legada</w:t>
      </w:r>
      <w:r>
        <w:rPr>
          <w:b w:val="0"/>
          <w:sz w:val="24"/>
          <w:szCs w:val="24"/>
          <w:lang w:val="ca-ES"/>
        </w:rPr>
        <w:t xml:space="preserve">, destacar que el </w:t>
      </w:r>
      <w:r w:rsidR="0017177C">
        <w:rPr>
          <w:b w:val="0"/>
          <w:sz w:val="24"/>
          <w:szCs w:val="24"/>
          <w:lang w:val="ca-ES"/>
        </w:rPr>
        <w:t>22,54</w:t>
      </w:r>
      <w:r w:rsidRPr="00EA5418">
        <w:rPr>
          <w:b w:val="0"/>
          <w:sz w:val="24"/>
          <w:szCs w:val="24"/>
          <w:lang w:val="ca-ES"/>
        </w:rPr>
        <w:t>%</w:t>
      </w:r>
      <w:r>
        <w:rPr>
          <w:b w:val="0"/>
          <w:sz w:val="24"/>
          <w:szCs w:val="24"/>
          <w:lang w:val="ca-ES"/>
        </w:rPr>
        <w:t xml:space="preserve"> </w:t>
      </w:r>
      <w:r w:rsidRPr="00EA5418">
        <w:rPr>
          <w:b w:val="0"/>
          <w:sz w:val="24"/>
          <w:szCs w:val="24"/>
          <w:lang w:val="ca-ES"/>
        </w:rPr>
        <w:t xml:space="preserve">ha sigut per qüestions </w:t>
      </w:r>
      <w:r>
        <w:rPr>
          <w:b w:val="0"/>
          <w:sz w:val="24"/>
          <w:szCs w:val="24"/>
          <w:lang w:val="ca-ES"/>
        </w:rPr>
        <w:t xml:space="preserve">salarials, </w:t>
      </w:r>
      <w:r w:rsidRPr="00EA5418">
        <w:rPr>
          <w:b w:val="0"/>
          <w:sz w:val="24"/>
          <w:szCs w:val="24"/>
          <w:lang w:val="ca-ES"/>
        </w:rPr>
        <w:t>seguides per conflictes per</w:t>
      </w:r>
      <w:r>
        <w:rPr>
          <w:b w:val="0"/>
          <w:sz w:val="24"/>
          <w:szCs w:val="24"/>
          <w:lang w:val="ca-ES"/>
        </w:rPr>
        <w:t xml:space="preserve"> </w:t>
      </w:r>
      <w:r w:rsidRPr="00EA5418">
        <w:rPr>
          <w:b w:val="0"/>
          <w:sz w:val="24"/>
          <w:szCs w:val="24"/>
          <w:lang w:val="ca-ES"/>
        </w:rPr>
        <w:t>jornada</w:t>
      </w:r>
      <w:r>
        <w:rPr>
          <w:b w:val="0"/>
          <w:sz w:val="24"/>
          <w:szCs w:val="24"/>
          <w:lang w:val="ca-ES"/>
        </w:rPr>
        <w:t xml:space="preserve">/calendari/vacances amb un </w:t>
      </w:r>
      <w:r w:rsidR="0017177C">
        <w:rPr>
          <w:b w:val="0"/>
          <w:sz w:val="24"/>
          <w:szCs w:val="24"/>
          <w:lang w:val="ca-ES"/>
        </w:rPr>
        <w:t>18,39</w:t>
      </w:r>
      <w:r>
        <w:rPr>
          <w:b w:val="0"/>
          <w:sz w:val="24"/>
          <w:szCs w:val="24"/>
          <w:lang w:val="ca-ES"/>
        </w:rPr>
        <w:t xml:space="preserve">%, </w:t>
      </w:r>
      <w:r w:rsidR="00E7640C" w:rsidRPr="00EA5418">
        <w:rPr>
          <w:b w:val="0"/>
          <w:sz w:val="24"/>
          <w:szCs w:val="24"/>
          <w:lang w:val="ca-ES"/>
        </w:rPr>
        <w:t xml:space="preserve">l’incompliment de Conveni Col·lectiu/pacte d’empresa </w:t>
      </w:r>
      <w:r w:rsidR="00E7640C">
        <w:rPr>
          <w:b w:val="0"/>
          <w:sz w:val="24"/>
          <w:szCs w:val="24"/>
          <w:lang w:val="ca-ES"/>
        </w:rPr>
        <w:t xml:space="preserve">amb un </w:t>
      </w:r>
      <w:r w:rsidR="0017177C">
        <w:rPr>
          <w:b w:val="0"/>
          <w:sz w:val="24"/>
          <w:szCs w:val="24"/>
          <w:lang w:val="ca-ES"/>
        </w:rPr>
        <w:t>13,98% i qüestions relatives a la categoria professional amb un 5,29%.</w:t>
      </w:r>
    </w:p>
    <w:p w:rsidR="00151CBE" w:rsidRPr="00D836A3" w:rsidRDefault="00151CBE" w:rsidP="00151CBE">
      <w:pPr>
        <w:rPr>
          <w:rFonts w:ascii="Rotis Sans Serif Std" w:hAnsi="Rotis Sans Serif Std" w:cs="RotisSansSerifStd-Regular"/>
          <w:color w:val="5E6061"/>
          <w:sz w:val="6"/>
          <w:lang w:eastAsia="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2093"/>
        <w:gridCol w:w="2129"/>
      </w:tblGrid>
      <w:tr w:rsidR="00151CBE" w:rsidRPr="00EA5418" w:rsidTr="006A4EC7">
        <w:trPr>
          <w:jc w:val="center"/>
        </w:trPr>
        <w:tc>
          <w:tcPr>
            <w:tcW w:w="9298" w:type="dxa"/>
            <w:gridSpan w:val="3"/>
            <w:tcBorders>
              <w:top w:val="single" w:sz="4" w:space="0" w:color="FFFFFF"/>
              <w:left w:val="single" w:sz="4" w:space="0" w:color="FFFFFF"/>
              <w:bottom w:val="single" w:sz="24" w:space="0" w:color="FFFFFF"/>
              <w:right w:val="single" w:sz="2" w:space="0" w:color="FFFFFF"/>
            </w:tcBorders>
            <w:shd w:val="clear" w:color="auto" w:fill="C00000"/>
          </w:tcPr>
          <w:p w:rsidR="00151CBE" w:rsidRPr="003E2B63" w:rsidRDefault="00151CBE" w:rsidP="0017177C">
            <w:pPr>
              <w:pStyle w:val="TEXTBOLD"/>
              <w:spacing w:line="276" w:lineRule="auto"/>
              <w:jc w:val="center"/>
              <w:rPr>
                <w:b w:val="0"/>
                <w:lang w:val="ca-ES"/>
              </w:rPr>
            </w:pPr>
            <w:r w:rsidRPr="003E2B63">
              <w:rPr>
                <w:sz w:val="24"/>
                <w:szCs w:val="24"/>
                <w:lang w:val="ca-ES"/>
              </w:rPr>
              <w:br w:type="page"/>
            </w:r>
            <w:r w:rsidRPr="003E2B63">
              <w:rPr>
                <w:b w:val="0"/>
                <w:color w:val="auto"/>
                <w:lang w:val="ca-ES"/>
              </w:rPr>
              <w:t xml:space="preserve">           </w:t>
            </w:r>
            <w:r>
              <w:rPr>
                <w:b w:val="0"/>
                <w:color w:val="auto"/>
                <w:lang w:val="ca-ES"/>
              </w:rPr>
              <w:t xml:space="preserve">TIPUS PROCEDIMENT </w:t>
            </w:r>
            <w:r w:rsidR="0010148F">
              <w:rPr>
                <w:b w:val="0"/>
                <w:color w:val="auto"/>
                <w:lang w:val="ca-ES"/>
              </w:rPr>
              <w:t>GENER-</w:t>
            </w:r>
            <w:r w:rsidR="0017177C">
              <w:rPr>
                <w:b w:val="0"/>
                <w:color w:val="auto"/>
                <w:lang w:val="ca-ES"/>
              </w:rPr>
              <w:t>SETEMBRE</w:t>
            </w:r>
            <w:r w:rsidR="0010148F">
              <w:rPr>
                <w:b w:val="0"/>
                <w:color w:val="auto"/>
                <w:lang w:val="ca-ES"/>
              </w:rPr>
              <w:t xml:space="preserve"> </w:t>
            </w:r>
            <w:r w:rsidRPr="003E2B63">
              <w:rPr>
                <w:b w:val="0"/>
                <w:color w:val="auto"/>
                <w:lang w:val="ca-ES"/>
              </w:rPr>
              <w:t>201</w:t>
            </w:r>
            <w:r w:rsidR="00330D17">
              <w:rPr>
                <w:b w:val="0"/>
                <w:color w:val="auto"/>
                <w:lang w:val="ca-ES"/>
              </w:rPr>
              <w:t>8</w:t>
            </w:r>
            <w:r w:rsidRPr="003E2B63">
              <w:rPr>
                <w:rStyle w:val="Refdenotaalpie"/>
                <w:rFonts w:cs="RotisSansSerifStd-Regular"/>
                <w:b w:val="0"/>
                <w:color w:val="auto"/>
                <w:lang w:val="ca-ES"/>
              </w:rPr>
              <w:footnoteReference w:id="10"/>
            </w:r>
          </w:p>
        </w:tc>
      </w:tr>
      <w:tr w:rsidR="00151CBE" w:rsidRPr="00EA5418" w:rsidTr="004905FD">
        <w:trPr>
          <w:trHeight w:val="143"/>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151CBE" w:rsidRPr="003E2B63" w:rsidRDefault="00151CBE" w:rsidP="006A4EC7">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Salari</w:t>
            </w:r>
          </w:p>
        </w:tc>
        <w:tc>
          <w:tcPr>
            <w:tcW w:w="2093" w:type="dxa"/>
            <w:tcBorders>
              <w:top w:val="single" w:sz="4" w:space="0" w:color="FFFFFF"/>
              <w:left w:val="single" w:sz="24" w:space="0" w:color="FFFFFF"/>
              <w:bottom w:val="single" w:sz="4" w:space="0" w:color="FFFFFF"/>
              <w:right w:val="single" w:sz="4" w:space="0" w:color="FFFFFF"/>
            </w:tcBorders>
            <w:shd w:val="clear" w:color="auto" w:fill="F2DBDB"/>
            <w:vAlign w:val="center"/>
          </w:tcPr>
          <w:p w:rsidR="00151CBE" w:rsidRPr="003E2B63" w:rsidRDefault="0017177C" w:rsidP="006A4EC7">
            <w:pPr>
              <w:spacing w:line="276" w:lineRule="auto"/>
              <w:jc w:val="center"/>
              <w:rPr>
                <w:rFonts w:ascii="Rotis Sans Serif Std" w:hAnsi="Rotis Sans Serif Std"/>
                <w:color w:val="5E6061"/>
              </w:rPr>
            </w:pPr>
            <w:r>
              <w:rPr>
                <w:rFonts w:ascii="Rotis Sans Serif Std" w:hAnsi="Rotis Sans Serif Std"/>
                <w:color w:val="5E6061"/>
              </w:rPr>
              <w:t>179</w:t>
            </w:r>
          </w:p>
        </w:tc>
        <w:tc>
          <w:tcPr>
            <w:tcW w:w="2129" w:type="dxa"/>
            <w:tcBorders>
              <w:top w:val="single" w:sz="4" w:space="0" w:color="FFFFFF"/>
              <w:left w:val="single" w:sz="4" w:space="0" w:color="FFFFFF"/>
              <w:bottom w:val="single" w:sz="4" w:space="0" w:color="FFFFFF"/>
              <w:right w:val="single" w:sz="2" w:space="0" w:color="FFFFFF"/>
            </w:tcBorders>
            <w:shd w:val="clear" w:color="auto" w:fill="F2DBDB"/>
            <w:vAlign w:val="bottom"/>
          </w:tcPr>
          <w:p w:rsidR="00151CBE" w:rsidRPr="003E2B63" w:rsidRDefault="0017177C" w:rsidP="006A4EC7">
            <w:pPr>
              <w:spacing w:line="276" w:lineRule="auto"/>
              <w:jc w:val="center"/>
              <w:rPr>
                <w:rFonts w:ascii="Rotis Sans Serif Std" w:hAnsi="Rotis Sans Serif Std"/>
                <w:color w:val="5E6061"/>
              </w:rPr>
            </w:pPr>
            <w:r>
              <w:rPr>
                <w:rFonts w:ascii="Rotis Sans Serif Std" w:hAnsi="Rotis Sans Serif Std"/>
                <w:color w:val="5E6061"/>
              </w:rPr>
              <w:t>22,54%</w:t>
            </w:r>
          </w:p>
        </w:tc>
      </w:tr>
      <w:tr w:rsidR="00151CBE" w:rsidRPr="00EA5418" w:rsidTr="006A4EC7">
        <w:trPr>
          <w:trHeight w:val="393"/>
          <w:jc w:val="center"/>
        </w:trPr>
        <w:tc>
          <w:tcPr>
            <w:tcW w:w="5076" w:type="dxa"/>
            <w:tcBorders>
              <w:top w:val="single" w:sz="24" w:space="0" w:color="FFFFFF"/>
              <w:left w:val="single" w:sz="4" w:space="0" w:color="FFFFFF"/>
              <w:right w:val="single" w:sz="24" w:space="0" w:color="FFFFFF"/>
            </w:tcBorders>
            <w:shd w:val="clear" w:color="auto" w:fill="C00000"/>
            <w:vAlign w:val="center"/>
          </w:tcPr>
          <w:p w:rsidR="00151CBE" w:rsidRPr="003E2B63" w:rsidRDefault="00151CBE" w:rsidP="006A4EC7">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 xml:space="preserve">Jornada/calendari/vacances </w:t>
            </w:r>
          </w:p>
        </w:tc>
        <w:tc>
          <w:tcPr>
            <w:tcW w:w="2093" w:type="dxa"/>
            <w:tcBorders>
              <w:top w:val="single" w:sz="4" w:space="0" w:color="FFFFFF"/>
              <w:left w:val="single" w:sz="24" w:space="0" w:color="FFFFFF"/>
              <w:bottom w:val="single" w:sz="4" w:space="0" w:color="FFFFFF"/>
              <w:right w:val="single" w:sz="4" w:space="0" w:color="FFFFFF"/>
            </w:tcBorders>
            <w:shd w:val="clear" w:color="auto" w:fill="F2DBDB"/>
            <w:vAlign w:val="center"/>
          </w:tcPr>
          <w:p w:rsidR="00151CBE" w:rsidRPr="003E2B63" w:rsidRDefault="0017177C" w:rsidP="006A4EC7">
            <w:pPr>
              <w:spacing w:line="276" w:lineRule="auto"/>
              <w:jc w:val="center"/>
              <w:rPr>
                <w:rFonts w:ascii="Rotis Sans Serif Std" w:hAnsi="Rotis Sans Serif Std"/>
                <w:color w:val="5E6061"/>
              </w:rPr>
            </w:pPr>
            <w:r>
              <w:rPr>
                <w:rFonts w:ascii="Rotis Sans Serif Std" w:hAnsi="Rotis Sans Serif Std"/>
                <w:color w:val="5E6061"/>
              </w:rPr>
              <w:t>146</w:t>
            </w:r>
          </w:p>
        </w:tc>
        <w:tc>
          <w:tcPr>
            <w:tcW w:w="2129" w:type="dxa"/>
            <w:tcBorders>
              <w:top w:val="single" w:sz="4" w:space="0" w:color="FFFFFF"/>
              <w:left w:val="single" w:sz="4" w:space="0" w:color="FFFFFF"/>
              <w:bottom w:val="single" w:sz="4" w:space="0" w:color="FFFFFF"/>
              <w:right w:val="single" w:sz="2" w:space="0" w:color="FFFFFF"/>
            </w:tcBorders>
            <w:shd w:val="clear" w:color="auto" w:fill="F2DBDB"/>
            <w:vAlign w:val="bottom"/>
          </w:tcPr>
          <w:p w:rsidR="00151CBE" w:rsidRPr="003E2B63" w:rsidRDefault="0017177C" w:rsidP="006A4EC7">
            <w:pPr>
              <w:spacing w:line="276" w:lineRule="auto"/>
              <w:jc w:val="center"/>
              <w:rPr>
                <w:rFonts w:ascii="Rotis Sans Serif Std" w:hAnsi="Rotis Sans Serif Std"/>
                <w:color w:val="5E6061"/>
              </w:rPr>
            </w:pPr>
            <w:r>
              <w:rPr>
                <w:rFonts w:ascii="Rotis Sans Serif Std" w:hAnsi="Rotis Sans Serif Std"/>
                <w:color w:val="5E6061"/>
              </w:rPr>
              <w:t>18,39</w:t>
            </w:r>
            <w:r w:rsidR="00800278">
              <w:rPr>
                <w:rFonts w:ascii="Rotis Sans Serif Std" w:hAnsi="Rotis Sans Serif Std"/>
                <w:color w:val="5E6061"/>
              </w:rPr>
              <w:t>%</w:t>
            </w:r>
          </w:p>
        </w:tc>
      </w:tr>
      <w:tr w:rsidR="00151CBE" w:rsidRPr="00EA5418" w:rsidTr="006A4EC7">
        <w:trPr>
          <w:trHeight w:val="239"/>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151CBE" w:rsidRPr="003E2B63" w:rsidRDefault="00E7640C" w:rsidP="00E7640C">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 xml:space="preserve">Incompliment Conv. Col/pacte empresa </w:t>
            </w:r>
          </w:p>
        </w:tc>
        <w:tc>
          <w:tcPr>
            <w:tcW w:w="2093" w:type="dxa"/>
            <w:tcBorders>
              <w:top w:val="single" w:sz="4" w:space="0" w:color="FFFFFF"/>
              <w:left w:val="single" w:sz="24" w:space="0" w:color="FFFFFF"/>
              <w:bottom w:val="single" w:sz="4" w:space="0" w:color="FFFFFF"/>
              <w:right w:val="single" w:sz="4" w:space="0" w:color="FFFFFF"/>
            </w:tcBorders>
            <w:shd w:val="clear" w:color="auto" w:fill="F2DBDB"/>
            <w:vAlign w:val="center"/>
          </w:tcPr>
          <w:p w:rsidR="00151CBE" w:rsidRPr="003E2B63" w:rsidRDefault="0017177C" w:rsidP="006A4EC7">
            <w:pPr>
              <w:spacing w:line="276" w:lineRule="auto"/>
              <w:jc w:val="center"/>
              <w:rPr>
                <w:rFonts w:ascii="Rotis Sans Serif Std" w:hAnsi="Rotis Sans Serif Std"/>
                <w:color w:val="5E6061"/>
              </w:rPr>
            </w:pPr>
            <w:r>
              <w:rPr>
                <w:rFonts w:ascii="Rotis Sans Serif Std" w:hAnsi="Rotis Sans Serif Std"/>
                <w:color w:val="5E6061"/>
              </w:rPr>
              <w:t>111</w:t>
            </w:r>
          </w:p>
        </w:tc>
        <w:tc>
          <w:tcPr>
            <w:tcW w:w="2129" w:type="dxa"/>
            <w:tcBorders>
              <w:top w:val="single" w:sz="4" w:space="0" w:color="FFFFFF"/>
              <w:left w:val="single" w:sz="4" w:space="0" w:color="FFFFFF"/>
              <w:bottom w:val="single" w:sz="4" w:space="0" w:color="FFFFFF"/>
              <w:right w:val="single" w:sz="2" w:space="0" w:color="FFFFFF"/>
            </w:tcBorders>
            <w:shd w:val="clear" w:color="auto" w:fill="F2DBDB"/>
            <w:vAlign w:val="bottom"/>
          </w:tcPr>
          <w:p w:rsidR="00151CBE" w:rsidRPr="003E2B63" w:rsidRDefault="0017177C" w:rsidP="006A4EC7">
            <w:pPr>
              <w:spacing w:line="276" w:lineRule="auto"/>
              <w:jc w:val="center"/>
              <w:rPr>
                <w:rFonts w:ascii="Rotis Sans Serif Std" w:hAnsi="Rotis Sans Serif Std"/>
                <w:color w:val="5E6061"/>
              </w:rPr>
            </w:pPr>
            <w:r>
              <w:rPr>
                <w:rFonts w:ascii="Rotis Sans Serif Std" w:hAnsi="Rotis Sans Serif Std"/>
                <w:color w:val="5E6061"/>
              </w:rPr>
              <w:t>13,98</w:t>
            </w:r>
            <w:r w:rsidR="00800278">
              <w:rPr>
                <w:rFonts w:ascii="Rotis Sans Serif Std" w:hAnsi="Rotis Sans Serif Std"/>
                <w:color w:val="5E6061"/>
              </w:rPr>
              <w:t>%</w:t>
            </w:r>
          </w:p>
        </w:tc>
      </w:tr>
      <w:tr w:rsidR="00151CBE" w:rsidRPr="00EA5418" w:rsidTr="006A4EC7">
        <w:trPr>
          <w:trHeight w:val="249"/>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151CBE" w:rsidRPr="003E2B63" w:rsidRDefault="0017177C" w:rsidP="0017177C">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 xml:space="preserve">Categoria professional </w:t>
            </w:r>
          </w:p>
        </w:tc>
        <w:tc>
          <w:tcPr>
            <w:tcW w:w="2093" w:type="dxa"/>
            <w:tcBorders>
              <w:top w:val="single" w:sz="4" w:space="0" w:color="FFFFFF"/>
              <w:left w:val="single" w:sz="24" w:space="0" w:color="FFFFFF"/>
              <w:bottom w:val="single" w:sz="2" w:space="0" w:color="FFFFFF"/>
              <w:right w:val="single" w:sz="4" w:space="0" w:color="FFFFFF"/>
            </w:tcBorders>
            <w:shd w:val="clear" w:color="auto" w:fill="F2DBDB"/>
            <w:vAlign w:val="center"/>
          </w:tcPr>
          <w:p w:rsidR="00151CBE" w:rsidRPr="003E2B63" w:rsidRDefault="0017177C" w:rsidP="006A4EC7">
            <w:pPr>
              <w:spacing w:line="276" w:lineRule="auto"/>
              <w:jc w:val="center"/>
              <w:rPr>
                <w:rFonts w:ascii="Rotis Sans Serif Std" w:hAnsi="Rotis Sans Serif Std"/>
                <w:color w:val="5E6061"/>
              </w:rPr>
            </w:pPr>
            <w:r>
              <w:rPr>
                <w:rFonts w:ascii="Rotis Sans Serif Std" w:hAnsi="Rotis Sans Serif Std"/>
                <w:color w:val="5E6061"/>
              </w:rPr>
              <w:t>42</w:t>
            </w:r>
          </w:p>
        </w:tc>
        <w:tc>
          <w:tcPr>
            <w:tcW w:w="2129" w:type="dxa"/>
            <w:tcBorders>
              <w:top w:val="single" w:sz="4" w:space="0" w:color="FFFFFF"/>
              <w:left w:val="single" w:sz="4" w:space="0" w:color="FFFFFF"/>
              <w:bottom w:val="single" w:sz="2" w:space="0" w:color="FFFFFF"/>
              <w:right w:val="single" w:sz="2" w:space="0" w:color="FFFFFF"/>
            </w:tcBorders>
            <w:shd w:val="clear" w:color="auto" w:fill="F2DBDB"/>
            <w:vAlign w:val="bottom"/>
          </w:tcPr>
          <w:p w:rsidR="00151CBE" w:rsidRPr="003E2B63" w:rsidRDefault="0017177C" w:rsidP="006A4EC7">
            <w:pPr>
              <w:spacing w:line="276" w:lineRule="auto"/>
              <w:jc w:val="center"/>
              <w:rPr>
                <w:rFonts w:ascii="Rotis Sans Serif Std" w:hAnsi="Rotis Sans Serif Std"/>
                <w:color w:val="5E6061"/>
              </w:rPr>
            </w:pPr>
            <w:r>
              <w:rPr>
                <w:rFonts w:ascii="Rotis Sans Serif Std" w:hAnsi="Rotis Sans Serif Std"/>
                <w:color w:val="5E6061"/>
              </w:rPr>
              <w:t>5,29</w:t>
            </w:r>
            <w:r w:rsidR="00800278">
              <w:rPr>
                <w:rFonts w:ascii="Rotis Sans Serif Std" w:hAnsi="Rotis Sans Serif Std"/>
                <w:color w:val="5E6061"/>
              </w:rPr>
              <w:t>%</w:t>
            </w:r>
          </w:p>
        </w:tc>
      </w:tr>
      <w:tr w:rsidR="00151CBE" w:rsidRPr="00EA5418" w:rsidTr="006A4EC7">
        <w:trPr>
          <w:trHeight w:val="211"/>
          <w:jc w:val="center"/>
        </w:trPr>
        <w:tc>
          <w:tcPr>
            <w:tcW w:w="5076" w:type="dxa"/>
            <w:tcBorders>
              <w:top w:val="single" w:sz="24" w:space="0" w:color="FFFFFF"/>
              <w:left w:val="single" w:sz="4" w:space="0" w:color="FFFFFF"/>
              <w:right w:val="single" w:sz="24" w:space="0" w:color="FFFFFF"/>
            </w:tcBorders>
            <w:shd w:val="clear" w:color="auto" w:fill="C00000"/>
            <w:vAlign w:val="center"/>
          </w:tcPr>
          <w:p w:rsidR="00151CBE" w:rsidRPr="003E2B63" w:rsidRDefault="0017177C" w:rsidP="00E7640C">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Negociació col·lectiva-pacte empresa</w:t>
            </w:r>
          </w:p>
        </w:tc>
        <w:tc>
          <w:tcPr>
            <w:tcW w:w="2093" w:type="dxa"/>
            <w:tcBorders>
              <w:top w:val="single" w:sz="2" w:space="0" w:color="FFFFFF"/>
              <w:left w:val="single" w:sz="24" w:space="0" w:color="FFFFFF"/>
              <w:bottom w:val="single" w:sz="2" w:space="0" w:color="FFFFFF"/>
              <w:right w:val="single" w:sz="4" w:space="0" w:color="FFFFFF"/>
            </w:tcBorders>
            <w:shd w:val="clear" w:color="auto" w:fill="F2DBDB"/>
            <w:vAlign w:val="center"/>
          </w:tcPr>
          <w:p w:rsidR="00151CBE" w:rsidRPr="003E2B63" w:rsidRDefault="0017177C" w:rsidP="006A4EC7">
            <w:pPr>
              <w:spacing w:line="276" w:lineRule="auto"/>
              <w:jc w:val="center"/>
              <w:rPr>
                <w:rFonts w:ascii="Rotis Sans Serif Std" w:hAnsi="Rotis Sans Serif Std"/>
                <w:color w:val="5E6061"/>
              </w:rPr>
            </w:pPr>
            <w:r>
              <w:rPr>
                <w:rFonts w:ascii="Rotis Sans Serif Std" w:hAnsi="Rotis Sans Serif Std"/>
                <w:color w:val="5E6061"/>
              </w:rPr>
              <w:t>38</w:t>
            </w:r>
          </w:p>
        </w:tc>
        <w:tc>
          <w:tcPr>
            <w:tcW w:w="2129" w:type="dxa"/>
            <w:tcBorders>
              <w:top w:val="single" w:sz="2" w:space="0" w:color="FFFFFF"/>
              <w:left w:val="single" w:sz="4" w:space="0" w:color="FFFFFF"/>
              <w:bottom w:val="single" w:sz="2" w:space="0" w:color="FFFFFF"/>
              <w:right w:val="single" w:sz="2" w:space="0" w:color="FFFFFF"/>
            </w:tcBorders>
            <w:shd w:val="clear" w:color="auto" w:fill="F2DBDB"/>
            <w:vAlign w:val="bottom"/>
          </w:tcPr>
          <w:p w:rsidR="00151CBE" w:rsidRPr="003E2B63" w:rsidRDefault="0017177C" w:rsidP="00E7640C">
            <w:pPr>
              <w:spacing w:line="276" w:lineRule="auto"/>
              <w:jc w:val="center"/>
              <w:rPr>
                <w:rFonts w:ascii="Rotis Sans Serif Std" w:hAnsi="Rotis Sans Serif Std"/>
                <w:color w:val="5E6061"/>
              </w:rPr>
            </w:pPr>
            <w:r>
              <w:rPr>
                <w:rFonts w:ascii="Rotis Sans Serif Std" w:hAnsi="Rotis Sans Serif Std"/>
                <w:color w:val="5E6061"/>
              </w:rPr>
              <w:t>4,79</w:t>
            </w:r>
            <w:r w:rsidR="00800278">
              <w:rPr>
                <w:rFonts w:ascii="Rotis Sans Serif Std" w:hAnsi="Rotis Sans Serif Std"/>
                <w:color w:val="5E6061"/>
              </w:rPr>
              <w:t>%</w:t>
            </w:r>
          </w:p>
        </w:tc>
      </w:tr>
      <w:tr w:rsidR="00151CBE" w:rsidRPr="00EA5418" w:rsidTr="006A4EC7">
        <w:trPr>
          <w:trHeight w:val="239"/>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151CBE" w:rsidRPr="003E2B63" w:rsidRDefault="008B6BBB" w:rsidP="008B6BBB">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 xml:space="preserve">Interpretació /aplicació Conv. Col/pacte de empresa </w:t>
            </w:r>
          </w:p>
        </w:tc>
        <w:tc>
          <w:tcPr>
            <w:tcW w:w="2093" w:type="dxa"/>
            <w:tcBorders>
              <w:top w:val="single" w:sz="2" w:space="0" w:color="FFFFFF"/>
              <w:left w:val="single" w:sz="24" w:space="0" w:color="FFFFFF"/>
              <w:bottom w:val="single" w:sz="2" w:space="0" w:color="FFFFFF"/>
              <w:right w:val="single" w:sz="2" w:space="0" w:color="FFFFFF"/>
            </w:tcBorders>
            <w:shd w:val="clear" w:color="auto" w:fill="F2DBDB"/>
            <w:vAlign w:val="center"/>
          </w:tcPr>
          <w:p w:rsidR="00151CBE" w:rsidRPr="003E2B63" w:rsidRDefault="008B6BBB" w:rsidP="00E7640C">
            <w:pPr>
              <w:spacing w:line="276" w:lineRule="auto"/>
              <w:jc w:val="center"/>
              <w:rPr>
                <w:rFonts w:ascii="Rotis Sans Serif Std" w:hAnsi="Rotis Sans Serif Std"/>
                <w:color w:val="5E6061"/>
              </w:rPr>
            </w:pPr>
            <w:r>
              <w:rPr>
                <w:rFonts w:ascii="Rotis Sans Serif Std" w:hAnsi="Rotis Sans Serif Std"/>
                <w:color w:val="5E6061"/>
              </w:rPr>
              <w:t>32</w:t>
            </w:r>
          </w:p>
        </w:tc>
        <w:tc>
          <w:tcPr>
            <w:tcW w:w="2129" w:type="dxa"/>
            <w:tcBorders>
              <w:top w:val="single" w:sz="2" w:space="0" w:color="FFFFFF"/>
              <w:left w:val="single" w:sz="2" w:space="0" w:color="FFFFFF"/>
              <w:bottom w:val="single" w:sz="2" w:space="0" w:color="FFFFFF"/>
              <w:right w:val="single" w:sz="2" w:space="0" w:color="FFFFFF"/>
            </w:tcBorders>
            <w:shd w:val="clear" w:color="auto" w:fill="F2DBDB"/>
            <w:vAlign w:val="bottom"/>
          </w:tcPr>
          <w:p w:rsidR="00151CBE" w:rsidRPr="003E2B63" w:rsidRDefault="008B6BBB" w:rsidP="00E7640C">
            <w:pPr>
              <w:spacing w:line="276" w:lineRule="auto"/>
              <w:jc w:val="center"/>
              <w:rPr>
                <w:rFonts w:ascii="Rotis Sans Serif Std" w:hAnsi="Rotis Sans Serif Std"/>
                <w:color w:val="5E6061"/>
              </w:rPr>
            </w:pPr>
            <w:r>
              <w:rPr>
                <w:rFonts w:ascii="Rotis Sans Serif Std" w:hAnsi="Rotis Sans Serif Std"/>
                <w:color w:val="5E6061"/>
              </w:rPr>
              <w:t>4,03</w:t>
            </w:r>
            <w:r w:rsidR="00800278">
              <w:rPr>
                <w:rFonts w:ascii="Rotis Sans Serif Std" w:hAnsi="Rotis Sans Serif Std"/>
                <w:color w:val="5E6061"/>
              </w:rPr>
              <w:t>%</w:t>
            </w:r>
          </w:p>
        </w:tc>
      </w:tr>
      <w:tr w:rsidR="00151CBE" w:rsidRPr="00EA5418" w:rsidTr="006A4EC7">
        <w:trPr>
          <w:trHeight w:val="291"/>
          <w:jc w:val="center"/>
        </w:trPr>
        <w:tc>
          <w:tcPr>
            <w:tcW w:w="5076" w:type="dxa"/>
            <w:tcBorders>
              <w:top w:val="single" w:sz="24" w:space="0" w:color="FFFFFF"/>
              <w:left w:val="single" w:sz="4" w:space="0" w:color="FFFFFF"/>
              <w:bottom w:val="single" w:sz="2" w:space="0" w:color="FFFFFF"/>
              <w:right w:val="single" w:sz="24" w:space="0" w:color="FFFFFF"/>
            </w:tcBorders>
            <w:shd w:val="clear" w:color="auto" w:fill="C00000"/>
            <w:vAlign w:val="center"/>
          </w:tcPr>
          <w:p w:rsidR="00151CBE" w:rsidRPr="003E2B63" w:rsidRDefault="00800278" w:rsidP="00800278">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 xml:space="preserve">Modificació substancial de les condicions de treball </w:t>
            </w:r>
          </w:p>
        </w:tc>
        <w:tc>
          <w:tcPr>
            <w:tcW w:w="2093" w:type="dxa"/>
            <w:tcBorders>
              <w:top w:val="single" w:sz="2" w:space="0" w:color="FFFFFF"/>
              <w:left w:val="single" w:sz="24" w:space="0" w:color="FFFFFF"/>
              <w:bottom w:val="single" w:sz="2" w:space="0" w:color="FFFFFF"/>
              <w:right w:val="single" w:sz="2" w:space="0" w:color="FFFFFF"/>
            </w:tcBorders>
            <w:shd w:val="clear" w:color="auto" w:fill="F2DBDB"/>
            <w:vAlign w:val="center"/>
          </w:tcPr>
          <w:p w:rsidR="00151CBE" w:rsidRPr="003E2B63" w:rsidRDefault="008B6BBB" w:rsidP="006A4EC7">
            <w:pPr>
              <w:spacing w:line="276" w:lineRule="auto"/>
              <w:jc w:val="center"/>
              <w:rPr>
                <w:rFonts w:ascii="Rotis Sans Serif Std" w:hAnsi="Rotis Sans Serif Std"/>
                <w:color w:val="5E6061"/>
              </w:rPr>
            </w:pPr>
            <w:r>
              <w:rPr>
                <w:rFonts w:ascii="Rotis Sans Serif Std" w:hAnsi="Rotis Sans Serif Std"/>
                <w:color w:val="5E6061"/>
              </w:rPr>
              <w:t>29</w:t>
            </w:r>
          </w:p>
        </w:tc>
        <w:tc>
          <w:tcPr>
            <w:tcW w:w="2129" w:type="dxa"/>
            <w:tcBorders>
              <w:top w:val="single" w:sz="2" w:space="0" w:color="FFFFFF"/>
              <w:left w:val="single" w:sz="2" w:space="0" w:color="FFFFFF"/>
              <w:bottom w:val="single" w:sz="2" w:space="0" w:color="FFFFFF"/>
              <w:right w:val="single" w:sz="2" w:space="0" w:color="FFFFFF"/>
            </w:tcBorders>
            <w:shd w:val="clear" w:color="auto" w:fill="F2DBDB"/>
            <w:vAlign w:val="bottom"/>
          </w:tcPr>
          <w:p w:rsidR="00151CBE" w:rsidRPr="003E2B63" w:rsidRDefault="008B6BBB" w:rsidP="008B6BBB">
            <w:pPr>
              <w:spacing w:line="276" w:lineRule="auto"/>
              <w:jc w:val="center"/>
              <w:rPr>
                <w:rFonts w:ascii="Rotis Sans Serif Std" w:hAnsi="Rotis Sans Serif Std"/>
                <w:color w:val="5E6061"/>
              </w:rPr>
            </w:pPr>
            <w:r>
              <w:rPr>
                <w:rFonts w:ascii="Rotis Sans Serif Std" w:hAnsi="Rotis Sans Serif Std"/>
                <w:color w:val="5E6061"/>
              </w:rPr>
              <w:t>3,65</w:t>
            </w:r>
            <w:r w:rsidR="00800278">
              <w:rPr>
                <w:rFonts w:ascii="Rotis Sans Serif Std" w:hAnsi="Rotis Sans Serif Std"/>
                <w:color w:val="5E6061"/>
              </w:rPr>
              <w:t>%</w:t>
            </w:r>
          </w:p>
        </w:tc>
      </w:tr>
      <w:tr w:rsidR="00151CBE" w:rsidRPr="00EA5418" w:rsidTr="006A4EC7">
        <w:trPr>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151CBE" w:rsidRPr="003E2B63" w:rsidRDefault="008B6BBB" w:rsidP="00800278">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Acomiadaments objectius</w:t>
            </w:r>
          </w:p>
        </w:tc>
        <w:tc>
          <w:tcPr>
            <w:tcW w:w="2093" w:type="dxa"/>
            <w:tcBorders>
              <w:top w:val="single" w:sz="2" w:space="0" w:color="FFFFFF"/>
              <w:left w:val="single" w:sz="24" w:space="0" w:color="FFFFFF"/>
              <w:bottom w:val="single" w:sz="2" w:space="0" w:color="FFFFFF"/>
              <w:right w:val="single" w:sz="4" w:space="0" w:color="FFFFFF"/>
            </w:tcBorders>
            <w:shd w:val="clear" w:color="auto" w:fill="F2DBDB"/>
            <w:vAlign w:val="center"/>
          </w:tcPr>
          <w:p w:rsidR="00151CBE" w:rsidRPr="003E2B63" w:rsidRDefault="008B6BBB" w:rsidP="006A4EC7">
            <w:pPr>
              <w:spacing w:line="276" w:lineRule="auto"/>
              <w:jc w:val="center"/>
              <w:rPr>
                <w:rFonts w:ascii="Rotis Sans Serif Std" w:hAnsi="Rotis Sans Serif Std"/>
                <w:color w:val="5E6061"/>
              </w:rPr>
            </w:pPr>
            <w:r>
              <w:rPr>
                <w:rFonts w:ascii="Rotis Sans Serif Std" w:hAnsi="Rotis Sans Serif Std"/>
                <w:color w:val="5E6061"/>
              </w:rPr>
              <w:t>28</w:t>
            </w:r>
          </w:p>
        </w:tc>
        <w:tc>
          <w:tcPr>
            <w:tcW w:w="2129" w:type="dxa"/>
            <w:tcBorders>
              <w:top w:val="single" w:sz="2" w:space="0" w:color="FFFFFF"/>
              <w:left w:val="single" w:sz="4" w:space="0" w:color="FFFFFF"/>
              <w:bottom w:val="single" w:sz="2" w:space="0" w:color="FFFFFF"/>
              <w:right w:val="single" w:sz="2" w:space="0" w:color="FFFFFF"/>
            </w:tcBorders>
            <w:shd w:val="clear" w:color="auto" w:fill="F2DBDB"/>
            <w:vAlign w:val="bottom"/>
          </w:tcPr>
          <w:p w:rsidR="00151CBE" w:rsidRPr="003E2B63" w:rsidRDefault="00800278" w:rsidP="008B6BBB">
            <w:pPr>
              <w:spacing w:line="276" w:lineRule="auto"/>
              <w:jc w:val="center"/>
              <w:rPr>
                <w:rFonts w:ascii="Rotis Sans Serif Std" w:hAnsi="Rotis Sans Serif Std"/>
                <w:color w:val="5E6061"/>
              </w:rPr>
            </w:pPr>
            <w:r>
              <w:rPr>
                <w:rFonts w:ascii="Rotis Sans Serif Std" w:hAnsi="Rotis Sans Serif Std"/>
                <w:color w:val="5E6061"/>
              </w:rPr>
              <w:t>3,</w:t>
            </w:r>
            <w:r w:rsidR="008B6BBB">
              <w:rPr>
                <w:rFonts w:ascii="Rotis Sans Serif Std" w:hAnsi="Rotis Sans Serif Std"/>
                <w:color w:val="5E6061"/>
              </w:rPr>
              <w:t>53</w:t>
            </w:r>
            <w:r>
              <w:rPr>
                <w:rFonts w:ascii="Rotis Sans Serif Std" w:hAnsi="Rotis Sans Serif Std"/>
                <w:color w:val="5E6061"/>
              </w:rPr>
              <w:t>%</w:t>
            </w:r>
          </w:p>
        </w:tc>
      </w:tr>
      <w:tr w:rsidR="00151CBE" w:rsidRPr="00EA5418" w:rsidTr="006A4EC7">
        <w:trPr>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151CBE" w:rsidRPr="003E2B63" w:rsidRDefault="008B6BBB" w:rsidP="008B6BBB">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Vaga</w:t>
            </w:r>
            <w:r>
              <w:rPr>
                <w:rFonts w:ascii="Rotis Sans Serif Std" w:hAnsi="Rotis Sans Serif Std"/>
                <w:color w:val="FFFFFF"/>
                <w:sz w:val="20"/>
                <w:szCs w:val="20"/>
              </w:rPr>
              <w:t xml:space="preserve"> </w:t>
            </w:r>
          </w:p>
        </w:tc>
        <w:tc>
          <w:tcPr>
            <w:tcW w:w="2093" w:type="dxa"/>
            <w:tcBorders>
              <w:top w:val="single" w:sz="2" w:space="0" w:color="FFFFFF"/>
              <w:left w:val="single" w:sz="24" w:space="0" w:color="FFFFFF"/>
              <w:bottom w:val="single" w:sz="2" w:space="0" w:color="FFFFFF"/>
              <w:right w:val="single" w:sz="4" w:space="0" w:color="FFFFFF"/>
            </w:tcBorders>
            <w:shd w:val="clear" w:color="auto" w:fill="F2DBDB"/>
            <w:vAlign w:val="center"/>
          </w:tcPr>
          <w:p w:rsidR="00151CBE" w:rsidRPr="003E2B63" w:rsidRDefault="008B6BBB" w:rsidP="006A4EC7">
            <w:pPr>
              <w:spacing w:line="276" w:lineRule="auto"/>
              <w:jc w:val="center"/>
              <w:rPr>
                <w:rFonts w:ascii="Rotis Sans Serif Std" w:hAnsi="Rotis Sans Serif Std"/>
                <w:color w:val="5E6061"/>
              </w:rPr>
            </w:pPr>
            <w:r>
              <w:rPr>
                <w:rFonts w:ascii="Rotis Sans Serif Std" w:hAnsi="Rotis Sans Serif Std"/>
                <w:color w:val="5E6061"/>
              </w:rPr>
              <w:t>25</w:t>
            </w:r>
          </w:p>
        </w:tc>
        <w:tc>
          <w:tcPr>
            <w:tcW w:w="2129" w:type="dxa"/>
            <w:tcBorders>
              <w:top w:val="single" w:sz="2" w:space="0" w:color="FFFFFF"/>
              <w:left w:val="single" w:sz="4" w:space="0" w:color="FFFFFF"/>
              <w:bottom w:val="single" w:sz="2" w:space="0" w:color="FFFFFF"/>
              <w:right w:val="single" w:sz="2" w:space="0" w:color="FFFFFF"/>
            </w:tcBorders>
            <w:shd w:val="clear" w:color="auto" w:fill="F2DBDB"/>
            <w:vAlign w:val="bottom"/>
          </w:tcPr>
          <w:p w:rsidR="00151CBE" w:rsidRPr="003E2B63" w:rsidRDefault="008B6BBB" w:rsidP="00E7640C">
            <w:pPr>
              <w:spacing w:line="276" w:lineRule="auto"/>
              <w:jc w:val="center"/>
              <w:rPr>
                <w:rFonts w:ascii="Rotis Sans Serif Std" w:hAnsi="Rotis Sans Serif Std"/>
                <w:color w:val="5E6061"/>
              </w:rPr>
            </w:pPr>
            <w:r>
              <w:rPr>
                <w:rFonts w:ascii="Rotis Sans Serif Std" w:hAnsi="Rotis Sans Serif Std"/>
                <w:color w:val="5E6061"/>
              </w:rPr>
              <w:t>3,15</w:t>
            </w:r>
            <w:r w:rsidR="00800278">
              <w:rPr>
                <w:rFonts w:ascii="Rotis Sans Serif Std" w:hAnsi="Rotis Sans Serif Std"/>
                <w:color w:val="5E6061"/>
              </w:rPr>
              <w:t>%</w:t>
            </w:r>
          </w:p>
        </w:tc>
      </w:tr>
      <w:tr w:rsidR="00151CBE" w:rsidRPr="00EA5418" w:rsidTr="006A4EC7">
        <w:trPr>
          <w:jc w:val="center"/>
        </w:trPr>
        <w:tc>
          <w:tcPr>
            <w:tcW w:w="5076" w:type="dxa"/>
            <w:tcBorders>
              <w:top w:val="single" w:sz="24" w:space="0" w:color="FFFFFF"/>
              <w:left w:val="single" w:sz="4" w:space="0" w:color="FFFFFF"/>
              <w:bottom w:val="single" w:sz="2" w:space="0" w:color="FFFFFF"/>
              <w:right w:val="single" w:sz="24" w:space="0" w:color="FFFFFF"/>
            </w:tcBorders>
            <w:shd w:val="clear" w:color="auto" w:fill="C00000"/>
            <w:vAlign w:val="center"/>
          </w:tcPr>
          <w:p w:rsidR="00151CBE" w:rsidRPr="003E2B63" w:rsidRDefault="008B6BBB" w:rsidP="008B6BBB">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Salut laboral</w:t>
            </w:r>
            <w:r>
              <w:rPr>
                <w:rFonts w:ascii="Rotis Sans Serif Std" w:hAnsi="Rotis Sans Serif Std"/>
                <w:color w:val="FFFFFF"/>
                <w:sz w:val="20"/>
                <w:szCs w:val="20"/>
              </w:rPr>
              <w:t xml:space="preserve"> </w:t>
            </w:r>
          </w:p>
        </w:tc>
        <w:tc>
          <w:tcPr>
            <w:tcW w:w="2093" w:type="dxa"/>
            <w:tcBorders>
              <w:top w:val="single" w:sz="2" w:space="0" w:color="FFFFFF"/>
              <w:left w:val="single" w:sz="24" w:space="0" w:color="FFFFFF"/>
              <w:bottom w:val="single" w:sz="2" w:space="0" w:color="FFFFFF"/>
              <w:right w:val="single" w:sz="4" w:space="0" w:color="FFFFFF"/>
            </w:tcBorders>
            <w:shd w:val="clear" w:color="auto" w:fill="F2DBDB"/>
            <w:vAlign w:val="center"/>
          </w:tcPr>
          <w:p w:rsidR="00151CBE" w:rsidRPr="003E2B63" w:rsidRDefault="008B6BBB" w:rsidP="006A4EC7">
            <w:pPr>
              <w:spacing w:line="276" w:lineRule="auto"/>
              <w:jc w:val="center"/>
              <w:rPr>
                <w:rFonts w:ascii="Rotis Sans Serif Std" w:hAnsi="Rotis Sans Serif Std"/>
                <w:color w:val="5E6061"/>
              </w:rPr>
            </w:pPr>
            <w:r>
              <w:rPr>
                <w:rFonts w:ascii="Rotis Sans Serif Std" w:hAnsi="Rotis Sans Serif Std"/>
                <w:color w:val="5E6061"/>
              </w:rPr>
              <w:t>22</w:t>
            </w:r>
          </w:p>
        </w:tc>
        <w:tc>
          <w:tcPr>
            <w:tcW w:w="2129" w:type="dxa"/>
            <w:tcBorders>
              <w:top w:val="single" w:sz="2" w:space="0" w:color="FFFFFF"/>
              <w:left w:val="single" w:sz="4" w:space="0" w:color="FFFFFF"/>
              <w:bottom w:val="single" w:sz="2" w:space="0" w:color="FFFFFF"/>
              <w:right w:val="single" w:sz="2" w:space="0" w:color="FFFFFF"/>
            </w:tcBorders>
            <w:shd w:val="clear" w:color="auto" w:fill="F2DBDB"/>
            <w:vAlign w:val="bottom"/>
          </w:tcPr>
          <w:p w:rsidR="00151CBE" w:rsidRPr="003E2B63" w:rsidRDefault="0091013E" w:rsidP="008B6BBB">
            <w:pPr>
              <w:spacing w:line="276" w:lineRule="auto"/>
              <w:jc w:val="center"/>
              <w:rPr>
                <w:rFonts w:ascii="Rotis Sans Serif Std" w:hAnsi="Rotis Sans Serif Std"/>
                <w:color w:val="5E6061"/>
              </w:rPr>
            </w:pPr>
            <w:r>
              <w:rPr>
                <w:rFonts w:ascii="Rotis Sans Serif Std" w:hAnsi="Rotis Sans Serif Std"/>
                <w:color w:val="5E6061"/>
              </w:rPr>
              <w:t>2,</w:t>
            </w:r>
            <w:r w:rsidR="008B6BBB">
              <w:rPr>
                <w:rFonts w:ascii="Rotis Sans Serif Std" w:hAnsi="Rotis Sans Serif Std"/>
                <w:color w:val="5E6061"/>
              </w:rPr>
              <w:t>77</w:t>
            </w:r>
            <w:r w:rsidR="00800278">
              <w:rPr>
                <w:rFonts w:ascii="Rotis Sans Serif Std" w:hAnsi="Rotis Sans Serif Std"/>
                <w:color w:val="5E6061"/>
              </w:rPr>
              <w:t>%</w:t>
            </w:r>
          </w:p>
        </w:tc>
      </w:tr>
      <w:tr w:rsidR="00151CBE" w:rsidRPr="00EA5418" w:rsidTr="006A4EC7">
        <w:trPr>
          <w:jc w:val="center"/>
        </w:trPr>
        <w:tc>
          <w:tcPr>
            <w:tcW w:w="5076" w:type="dxa"/>
            <w:tcBorders>
              <w:top w:val="single" w:sz="24" w:space="0" w:color="FFFFFF"/>
              <w:left w:val="single" w:sz="4" w:space="0" w:color="FFFFFF"/>
              <w:bottom w:val="single" w:sz="2" w:space="0" w:color="FFFFFF"/>
              <w:right w:val="single" w:sz="24" w:space="0" w:color="FFFFFF"/>
            </w:tcBorders>
            <w:shd w:val="clear" w:color="auto" w:fill="C00000"/>
            <w:vAlign w:val="center"/>
          </w:tcPr>
          <w:p w:rsidR="00151CBE" w:rsidRPr="003E2B63" w:rsidRDefault="008B6BBB" w:rsidP="006A4EC7">
            <w:pPr>
              <w:spacing w:line="276" w:lineRule="auto"/>
              <w:jc w:val="center"/>
              <w:rPr>
                <w:rFonts w:ascii="Rotis Sans Serif Std" w:hAnsi="Rotis Sans Serif Std"/>
                <w:color w:val="FFFFFF"/>
                <w:sz w:val="20"/>
                <w:szCs w:val="20"/>
              </w:rPr>
            </w:pPr>
            <w:r>
              <w:rPr>
                <w:rFonts w:ascii="Rotis Sans Serif Std" w:hAnsi="Rotis Sans Serif Std"/>
                <w:color w:val="FFFFFF"/>
                <w:sz w:val="20"/>
                <w:szCs w:val="20"/>
              </w:rPr>
              <w:t>Dret d’informació</w:t>
            </w:r>
          </w:p>
        </w:tc>
        <w:tc>
          <w:tcPr>
            <w:tcW w:w="2093" w:type="dxa"/>
            <w:tcBorders>
              <w:top w:val="single" w:sz="2" w:space="0" w:color="FFFFFF"/>
              <w:left w:val="single" w:sz="24" w:space="0" w:color="FFFFFF"/>
              <w:bottom w:val="single" w:sz="2" w:space="0" w:color="FFFFFF"/>
              <w:right w:val="single" w:sz="4" w:space="0" w:color="FFFFFF"/>
            </w:tcBorders>
            <w:shd w:val="clear" w:color="auto" w:fill="F2DBDB"/>
            <w:vAlign w:val="center"/>
          </w:tcPr>
          <w:p w:rsidR="00151CBE" w:rsidRPr="003E2B63" w:rsidRDefault="008B6BBB" w:rsidP="006A4EC7">
            <w:pPr>
              <w:spacing w:line="276" w:lineRule="auto"/>
              <w:jc w:val="center"/>
              <w:rPr>
                <w:rFonts w:ascii="Rotis Sans Serif Std" w:hAnsi="Rotis Sans Serif Std"/>
                <w:color w:val="5E6061"/>
              </w:rPr>
            </w:pPr>
            <w:r>
              <w:rPr>
                <w:rFonts w:ascii="Rotis Sans Serif Std" w:hAnsi="Rotis Sans Serif Std"/>
                <w:color w:val="5E6061"/>
              </w:rPr>
              <w:t>21</w:t>
            </w:r>
          </w:p>
        </w:tc>
        <w:tc>
          <w:tcPr>
            <w:tcW w:w="2129" w:type="dxa"/>
            <w:tcBorders>
              <w:top w:val="single" w:sz="2" w:space="0" w:color="FFFFFF"/>
              <w:left w:val="single" w:sz="4" w:space="0" w:color="FFFFFF"/>
              <w:bottom w:val="single" w:sz="2" w:space="0" w:color="FFFFFF"/>
              <w:right w:val="single" w:sz="2" w:space="0" w:color="FFFFFF"/>
            </w:tcBorders>
            <w:shd w:val="clear" w:color="auto" w:fill="F2DBDB"/>
            <w:vAlign w:val="bottom"/>
          </w:tcPr>
          <w:p w:rsidR="00151CBE" w:rsidRPr="003E2B63" w:rsidRDefault="0091013E" w:rsidP="008B6BBB">
            <w:pPr>
              <w:spacing w:line="276" w:lineRule="auto"/>
              <w:jc w:val="center"/>
              <w:rPr>
                <w:rFonts w:ascii="Rotis Sans Serif Std" w:hAnsi="Rotis Sans Serif Std"/>
                <w:color w:val="5E6061"/>
              </w:rPr>
            </w:pPr>
            <w:r>
              <w:rPr>
                <w:rFonts w:ascii="Rotis Sans Serif Std" w:hAnsi="Rotis Sans Serif Std"/>
                <w:color w:val="5E6061"/>
              </w:rPr>
              <w:t>2,</w:t>
            </w:r>
            <w:r w:rsidR="008B6BBB">
              <w:rPr>
                <w:rFonts w:ascii="Rotis Sans Serif Std" w:hAnsi="Rotis Sans Serif Std"/>
                <w:color w:val="5E6061"/>
              </w:rPr>
              <w:t>64</w:t>
            </w:r>
            <w:r w:rsidR="00800278">
              <w:rPr>
                <w:rFonts w:ascii="Rotis Sans Serif Std" w:hAnsi="Rotis Sans Serif Std"/>
                <w:color w:val="5E6061"/>
              </w:rPr>
              <w:t>%</w:t>
            </w:r>
          </w:p>
        </w:tc>
      </w:tr>
      <w:tr w:rsidR="008B6BBB" w:rsidRPr="00EA5418" w:rsidTr="006A4EC7">
        <w:trPr>
          <w:jc w:val="center"/>
        </w:trPr>
        <w:tc>
          <w:tcPr>
            <w:tcW w:w="5076" w:type="dxa"/>
            <w:tcBorders>
              <w:top w:val="single" w:sz="24" w:space="0" w:color="FFFFFF"/>
              <w:left w:val="single" w:sz="4" w:space="0" w:color="FFFFFF"/>
              <w:bottom w:val="single" w:sz="2" w:space="0" w:color="FFFFFF"/>
              <w:right w:val="single" w:sz="24" w:space="0" w:color="FFFFFF"/>
            </w:tcBorders>
            <w:shd w:val="clear" w:color="auto" w:fill="C00000"/>
            <w:vAlign w:val="center"/>
          </w:tcPr>
          <w:p w:rsidR="008B6BBB" w:rsidRDefault="008B6BBB" w:rsidP="006A4EC7">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Organització del treball</w:t>
            </w:r>
          </w:p>
        </w:tc>
        <w:tc>
          <w:tcPr>
            <w:tcW w:w="2093" w:type="dxa"/>
            <w:tcBorders>
              <w:top w:val="single" w:sz="2" w:space="0" w:color="FFFFFF"/>
              <w:left w:val="single" w:sz="24" w:space="0" w:color="FFFFFF"/>
              <w:bottom w:val="single" w:sz="2" w:space="0" w:color="FFFFFF"/>
              <w:right w:val="single" w:sz="4" w:space="0" w:color="FFFFFF"/>
            </w:tcBorders>
            <w:shd w:val="clear" w:color="auto" w:fill="F2DBDB"/>
            <w:vAlign w:val="center"/>
          </w:tcPr>
          <w:p w:rsidR="008B6BBB" w:rsidRDefault="008B6BBB" w:rsidP="006A4EC7">
            <w:pPr>
              <w:spacing w:line="276" w:lineRule="auto"/>
              <w:jc w:val="center"/>
              <w:rPr>
                <w:rFonts w:ascii="Rotis Sans Serif Std" w:hAnsi="Rotis Sans Serif Std"/>
                <w:color w:val="5E6061"/>
              </w:rPr>
            </w:pPr>
            <w:r>
              <w:rPr>
                <w:rFonts w:ascii="Rotis Sans Serif Std" w:hAnsi="Rotis Sans Serif Std"/>
                <w:color w:val="5E6061"/>
              </w:rPr>
              <w:t>18</w:t>
            </w:r>
          </w:p>
        </w:tc>
        <w:tc>
          <w:tcPr>
            <w:tcW w:w="2129" w:type="dxa"/>
            <w:tcBorders>
              <w:top w:val="single" w:sz="2" w:space="0" w:color="FFFFFF"/>
              <w:left w:val="single" w:sz="4" w:space="0" w:color="FFFFFF"/>
              <w:bottom w:val="single" w:sz="2" w:space="0" w:color="FFFFFF"/>
              <w:right w:val="single" w:sz="2" w:space="0" w:color="FFFFFF"/>
            </w:tcBorders>
            <w:shd w:val="clear" w:color="auto" w:fill="F2DBDB"/>
            <w:vAlign w:val="bottom"/>
          </w:tcPr>
          <w:p w:rsidR="008B6BBB" w:rsidRDefault="008B6BBB" w:rsidP="008B6BBB">
            <w:pPr>
              <w:spacing w:line="276" w:lineRule="auto"/>
              <w:jc w:val="center"/>
              <w:rPr>
                <w:rFonts w:ascii="Rotis Sans Serif Std" w:hAnsi="Rotis Sans Serif Std"/>
                <w:color w:val="5E6061"/>
              </w:rPr>
            </w:pPr>
            <w:r>
              <w:rPr>
                <w:rFonts w:ascii="Rotis Sans Serif Std" w:hAnsi="Rotis Sans Serif Std"/>
                <w:color w:val="5E6061"/>
              </w:rPr>
              <w:t>2,27%</w:t>
            </w:r>
          </w:p>
        </w:tc>
      </w:tr>
      <w:tr w:rsidR="008B6BBB" w:rsidRPr="00EA5418" w:rsidTr="006A4EC7">
        <w:trPr>
          <w:jc w:val="center"/>
        </w:trPr>
        <w:tc>
          <w:tcPr>
            <w:tcW w:w="5076" w:type="dxa"/>
            <w:tcBorders>
              <w:top w:val="single" w:sz="24" w:space="0" w:color="FFFFFF"/>
              <w:left w:val="single" w:sz="4" w:space="0" w:color="FFFFFF"/>
              <w:bottom w:val="single" w:sz="2" w:space="0" w:color="FFFFFF"/>
              <w:right w:val="single" w:sz="24" w:space="0" w:color="FFFFFF"/>
            </w:tcBorders>
            <w:shd w:val="clear" w:color="auto" w:fill="C00000"/>
            <w:vAlign w:val="center"/>
          </w:tcPr>
          <w:p w:rsidR="008B6BBB" w:rsidRDefault="008B6BBB" w:rsidP="006A4EC7">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Drets sindicals</w:t>
            </w:r>
          </w:p>
        </w:tc>
        <w:tc>
          <w:tcPr>
            <w:tcW w:w="2093" w:type="dxa"/>
            <w:tcBorders>
              <w:top w:val="single" w:sz="2" w:space="0" w:color="FFFFFF"/>
              <w:left w:val="single" w:sz="24" w:space="0" w:color="FFFFFF"/>
              <w:bottom w:val="single" w:sz="2" w:space="0" w:color="FFFFFF"/>
              <w:right w:val="single" w:sz="4" w:space="0" w:color="FFFFFF"/>
            </w:tcBorders>
            <w:shd w:val="clear" w:color="auto" w:fill="F2DBDB"/>
            <w:vAlign w:val="center"/>
          </w:tcPr>
          <w:p w:rsidR="008B6BBB" w:rsidRDefault="008B6BBB" w:rsidP="006A4EC7">
            <w:pPr>
              <w:spacing w:line="276" w:lineRule="auto"/>
              <w:jc w:val="center"/>
              <w:rPr>
                <w:rFonts w:ascii="Rotis Sans Serif Std" w:hAnsi="Rotis Sans Serif Std"/>
                <w:color w:val="5E6061"/>
              </w:rPr>
            </w:pPr>
            <w:r>
              <w:rPr>
                <w:rFonts w:ascii="Rotis Sans Serif Std" w:hAnsi="Rotis Sans Serif Std"/>
                <w:color w:val="5E6061"/>
              </w:rPr>
              <w:t>18</w:t>
            </w:r>
          </w:p>
        </w:tc>
        <w:tc>
          <w:tcPr>
            <w:tcW w:w="2129" w:type="dxa"/>
            <w:tcBorders>
              <w:top w:val="single" w:sz="2" w:space="0" w:color="FFFFFF"/>
              <w:left w:val="single" w:sz="4" w:space="0" w:color="FFFFFF"/>
              <w:bottom w:val="single" w:sz="2" w:space="0" w:color="FFFFFF"/>
              <w:right w:val="single" w:sz="2" w:space="0" w:color="FFFFFF"/>
            </w:tcBorders>
            <w:shd w:val="clear" w:color="auto" w:fill="F2DBDB"/>
            <w:vAlign w:val="bottom"/>
          </w:tcPr>
          <w:p w:rsidR="008B6BBB" w:rsidRDefault="008B6BBB" w:rsidP="008B6BBB">
            <w:pPr>
              <w:spacing w:line="276" w:lineRule="auto"/>
              <w:jc w:val="center"/>
              <w:rPr>
                <w:rFonts w:ascii="Rotis Sans Serif Std" w:hAnsi="Rotis Sans Serif Std"/>
                <w:color w:val="5E6061"/>
              </w:rPr>
            </w:pPr>
            <w:r>
              <w:rPr>
                <w:rFonts w:ascii="Rotis Sans Serif Std" w:hAnsi="Rotis Sans Serif Std"/>
                <w:color w:val="5E6061"/>
              </w:rPr>
              <w:t>2,27%</w:t>
            </w:r>
          </w:p>
        </w:tc>
      </w:tr>
      <w:tr w:rsidR="00151CBE" w:rsidRPr="00EA5418" w:rsidTr="006A4EC7">
        <w:trPr>
          <w:trHeight w:val="305"/>
          <w:jc w:val="center"/>
        </w:trPr>
        <w:tc>
          <w:tcPr>
            <w:tcW w:w="5076" w:type="dxa"/>
            <w:tcBorders>
              <w:top w:val="single" w:sz="24" w:space="0" w:color="FFFFFF"/>
              <w:left w:val="single" w:sz="4" w:space="0" w:color="FFFFFF"/>
              <w:right w:val="single" w:sz="24" w:space="0" w:color="FFFFFF"/>
            </w:tcBorders>
            <w:shd w:val="clear" w:color="auto" w:fill="C00000"/>
            <w:vAlign w:val="center"/>
          </w:tcPr>
          <w:p w:rsidR="00151CBE" w:rsidRPr="003E2B63" w:rsidRDefault="008B6BBB" w:rsidP="008B6BBB">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Subrogació</w:t>
            </w:r>
            <w:r>
              <w:rPr>
                <w:rFonts w:ascii="Rotis Sans Serif Std" w:hAnsi="Rotis Sans Serif Std"/>
                <w:color w:val="FFFFFF"/>
                <w:sz w:val="20"/>
                <w:szCs w:val="20"/>
              </w:rPr>
              <w:t xml:space="preserve"> </w:t>
            </w:r>
          </w:p>
        </w:tc>
        <w:tc>
          <w:tcPr>
            <w:tcW w:w="2093" w:type="dxa"/>
            <w:tcBorders>
              <w:top w:val="single" w:sz="2" w:space="0" w:color="FFFFFF"/>
              <w:left w:val="single" w:sz="24" w:space="0" w:color="FFFFFF"/>
              <w:bottom w:val="single" w:sz="2" w:space="0" w:color="FFFFFF"/>
              <w:right w:val="single" w:sz="4" w:space="0" w:color="FFFFFF"/>
            </w:tcBorders>
            <w:shd w:val="clear" w:color="auto" w:fill="F2DBDB"/>
            <w:vAlign w:val="center"/>
          </w:tcPr>
          <w:p w:rsidR="00151CBE" w:rsidRPr="003E2B63" w:rsidRDefault="008B6BBB" w:rsidP="006A4EC7">
            <w:pPr>
              <w:spacing w:line="276" w:lineRule="auto"/>
              <w:jc w:val="center"/>
              <w:rPr>
                <w:rFonts w:ascii="Rotis Sans Serif Std" w:hAnsi="Rotis Sans Serif Std"/>
                <w:color w:val="5E6061"/>
              </w:rPr>
            </w:pPr>
            <w:r>
              <w:rPr>
                <w:rFonts w:ascii="Rotis Sans Serif Std" w:hAnsi="Rotis Sans Serif Std"/>
                <w:color w:val="5E6061"/>
              </w:rPr>
              <w:t>15</w:t>
            </w:r>
          </w:p>
        </w:tc>
        <w:tc>
          <w:tcPr>
            <w:tcW w:w="2129" w:type="dxa"/>
            <w:tcBorders>
              <w:top w:val="single" w:sz="2" w:space="0" w:color="FFFFFF"/>
              <w:left w:val="single" w:sz="4" w:space="0" w:color="FFFFFF"/>
              <w:bottom w:val="single" w:sz="2" w:space="0" w:color="FFFFFF"/>
              <w:right w:val="single" w:sz="2" w:space="0" w:color="FFFFFF"/>
            </w:tcBorders>
            <w:shd w:val="clear" w:color="auto" w:fill="F2DBDB"/>
            <w:vAlign w:val="bottom"/>
          </w:tcPr>
          <w:p w:rsidR="00151CBE" w:rsidRPr="003E2B63" w:rsidRDefault="008B6BBB" w:rsidP="00E7640C">
            <w:pPr>
              <w:spacing w:line="276" w:lineRule="auto"/>
              <w:jc w:val="center"/>
              <w:rPr>
                <w:rFonts w:ascii="Rotis Sans Serif Std" w:hAnsi="Rotis Sans Serif Std"/>
                <w:color w:val="5E6061"/>
              </w:rPr>
            </w:pPr>
            <w:r>
              <w:rPr>
                <w:rFonts w:ascii="Rotis Sans Serif Std" w:hAnsi="Rotis Sans Serif Std"/>
                <w:color w:val="5E6061"/>
              </w:rPr>
              <w:t>1,89</w:t>
            </w:r>
            <w:r w:rsidR="00800278">
              <w:rPr>
                <w:rFonts w:ascii="Rotis Sans Serif Std" w:hAnsi="Rotis Sans Serif Std"/>
                <w:color w:val="5E6061"/>
              </w:rPr>
              <w:t>%</w:t>
            </w:r>
          </w:p>
        </w:tc>
      </w:tr>
      <w:tr w:rsidR="00151CBE" w:rsidRPr="00EA5418" w:rsidTr="006A4EC7">
        <w:trPr>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151CBE" w:rsidRPr="003E2B63" w:rsidRDefault="008B6BBB" w:rsidP="00800278">
            <w:pPr>
              <w:spacing w:line="276" w:lineRule="auto"/>
              <w:jc w:val="center"/>
              <w:rPr>
                <w:rFonts w:ascii="Rotis Sans Serif Std" w:hAnsi="Rotis Sans Serif Std"/>
                <w:color w:val="FFFFFF"/>
                <w:sz w:val="20"/>
                <w:szCs w:val="20"/>
              </w:rPr>
            </w:pPr>
            <w:r>
              <w:rPr>
                <w:rFonts w:ascii="Rotis Sans Serif Std" w:hAnsi="Rotis Sans Serif Std"/>
                <w:color w:val="FFFFFF"/>
                <w:sz w:val="20"/>
                <w:szCs w:val="20"/>
              </w:rPr>
              <w:t>C</w:t>
            </w:r>
            <w:r w:rsidRPr="003E2B63">
              <w:rPr>
                <w:rFonts w:ascii="Rotis Sans Serif Std" w:hAnsi="Rotis Sans Serif Std"/>
                <w:color w:val="FFFFFF"/>
                <w:sz w:val="20"/>
                <w:szCs w:val="20"/>
              </w:rPr>
              <w:t>ontractació</w:t>
            </w:r>
          </w:p>
        </w:tc>
        <w:tc>
          <w:tcPr>
            <w:tcW w:w="2093" w:type="dxa"/>
            <w:tcBorders>
              <w:top w:val="single" w:sz="2" w:space="0" w:color="FFFFFF"/>
              <w:left w:val="single" w:sz="24" w:space="0" w:color="FFFFFF"/>
              <w:bottom w:val="single" w:sz="4" w:space="0" w:color="FFFFFF"/>
              <w:right w:val="single" w:sz="4" w:space="0" w:color="FFFFFF"/>
            </w:tcBorders>
            <w:shd w:val="clear" w:color="auto" w:fill="F2DBDB"/>
            <w:vAlign w:val="center"/>
          </w:tcPr>
          <w:p w:rsidR="00151CBE" w:rsidRPr="003E2B63" w:rsidRDefault="008B6BBB" w:rsidP="006A4EC7">
            <w:pPr>
              <w:spacing w:line="276" w:lineRule="auto"/>
              <w:jc w:val="center"/>
              <w:rPr>
                <w:rFonts w:ascii="Rotis Sans Serif Std" w:hAnsi="Rotis Sans Serif Std"/>
                <w:color w:val="5E6061"/>
              </w:rPr>
            </w:pPr>
            <w:r>
              <w:rPr>
                <w:rFonts w:ascii="Rotis Sans Serif Std" w:hAnsi="Rotis Sans Serif Std"/>
                <w:color w:val="5E6061"/>
              </w:rPr>
              <w:t>13</w:t>
            </w:r>
          </w:p>
        </w:tc>
        <w:tc>
          <w:tcPr>
            <w:tcW w:w="2129" w:type="dxa"/>
            <w:tcBorders>
              <w:top w:val="single" w:sz="2" w:space="0" w:color="FFFFFF"/>
              <w:left w:val="single" w:sz="4" w:space="0" w:color="FFFFFF"/>
              <w:bottom w:val="single" w:sz="4" w:space="0" w:color="FFFFFF"/>
              <w:right w:val="single" w:sz="2" w:space="0" w:color="FFFFFF"/>
            </w:tcBorders>
            <w:shd w:val="clear" w:color="auto" w:fill="F2DBDB"/>
            <w:vAlign w:val="bottom"/>
          </w:tcPr>
          <w:p w:rsidR="00151CBE" w:rsidRPr="003E2B63" w:rsidRDefault="008B6BBB" w:rsidP="00E7640C">
            <w:pPr>
              <w:spacing w:line="276" w:lineRule="auto"/>
              <w:jc w:val="center"/>
              <w:rPr>
                <w:rFonts w:ascii="Rotis Sans Serif Std" w:hAnsi="Rotis Sans Serif Std"/>
                <w:color w:val="5E6061"/>
              </w:rPr>
            </w:pPr>
            <w:r>
              <w:rPr>
                <w:rFonts w:ascii="Rotis Sans Serif Std" w:hAnsi="Rotis Sans Serif Std"/>
                <w:color w:val="5E6061"/>
              </w:rPr>
              <w:t>1,64</w:t>
            </w:r>
            <w:r w:rsidR="00800278">
              <w:rPr>
                <w:rFonts w:ascii="Rotis Sans Serif Std" w:hAnsi="Rotis Sans Serif Std"/>
                <w:color w:val="5E6061"/>
              </w:rPr>
              <w:t>%</w:t>
            </w:r>
          </w:p>
        </w:tc>
      </w:tr>
      <w:tr w:rsidR="00151CBE" w:rsidRPr="00EA5418" w:rsidTr="006A4EC7">
        <w:trPr>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151CBE" w:rsidRPr="003E2B63" w:rsidRDefault="0091013E" w:rsidP="00800278">
            <w:pPr>
              <w:spacing w:line="276" w:lineRule="auto"/>
              <w:jc w:val="center"/>
              <w:rPr>
                <w:rFonts w:ascii="Rotis Sans Serif Std" w:hAnsi="Rotis Sans Serif Std"/>
                <w:color w:val="FFFFFF"/>
                <w:sz w:val="20"/>
                <w:szCs w:val="20"/>
              </w:rPr>
            </w:pPr>
            <w:r>
              <w:rPr>
                <w:rFonts w:ascii="Rotis Sans Serif Std" w:hAnsi="Rotis Sans Serif Std"/>
                <w:color w:val="FFFFFF"/>
                <w:sz w:val="20"/>
                <w:szCs w:val="20"/>
              </w:rPr>
              <w:t>Formació professional</w:t>
            </w:r>
          </w:p>
        </w:tc>
        <w:tc>
          <w:tcPr>
            <w:tcW w:w="2093" w:type="dxa"/>
            <w:tcBorders>
              <w:top w:val="single" w:sz="2" w:space="0" w:color="FFFFFF"/>
              <w:left w:val="single" w:sz="24" w:space="0" w:color="FFFFFF"/>
              <w:bottom w:val="single" w:sz="4" w:space="0" w:color="FFFFFF"/>
              <w:right w:val="single" w:sz="4" w:space="0" w:color="FFFFFF"/>
            </w:tcBorders>
            <w:shd w:val="clear" w:color="auto" w:fill="F2DBDB"/>
            <w:vAlign w:val="center"/>
          </w:tcPr>
          <w:p w:rsidR="00151CBE" w:rsidRPr="003E2B63" w:rsidRDefault="00800278" w:rsidP="006A4EC7">
            <w:pPr>
              <w:spacing w:line="276" w:lineRule="auto"/>
              <w:jc w:val="center"/>
              <w:rPr>
                <w:rFonts w:ascii="Rotis Sans Serif Std" w:hAnsi="Rotis Sans Serif Std"/>
                <w:color w:val="5E6061"/>
              </w:rPr>
            </w:pPr>
            <w:r>
              <w:rPr>
                <w:rFonts w:ascii="Rotis Sans Serif Std" w:hAnsi="Rotis Sans Serif Std"/>
                <w:color w:val="5E6061"/>
              </w:rPr>
              <w:t>8</w:t>
            </w:r>
          </w:p>
        </w:tc>
        <w:tc>
          <w:tcPr>
            <w:tcW w:w="2129" w:type="dxa"/>
            <w:tcBorders>
              <w:top w:val="single" w:sz="2" w:space="0" w:color="FFFFFF"/>
              <w:left w:val="single" w:sz="4" w:space="0" w:color="FFFFFF"/>
              <w:bottom w:val="single" w:sz="4" w:space="0" w:color="FFFFFF"/>
              <w:right w:val="single" w:sz="2" w:space="0" w:color="FFFFFF"/>
            </w:tcBorders>
            <w:shd w:val="clear" w:color="auto" w:fill="F2DBDB"/>
            <w:vAlign w:val="bottom"/>
          </w:tcPr>
          <w:p w:rsidR="00151CBE" w:rsidRPr="003E2B63" w:rsidRDefault="008B6BBB" w:rsidP="00962CAF">
            <w:pPr>
              <w:spacing w:line="276" w:lineRule="auto"/>
              <w:jc w:val="center"/>
              <w:rPr>
                <w:rFonts w:ascii="Rotis Sans Serif Std" w:hAnsi="Rotis Sans Serif Std"/>
                <w:color w:val="5E6061"/>
              </w:rPr>
            </w:pPr>
            <w:r>
              <w:rPr>
                <w:rFonts w:ascii="Rotis Sans Serif Std" w:hAnsi="Rotis Sans Serif Std"/>
                <w:color w:val="5E6061"/>
              </w:rPr>
              <w:t>1,01</w:t>
            </w:r>
            <w:r w:rsidR="00800278">
              <w:rPr>
                <w:rFonts w:ascii="Rotis Sans Serif Std" w:hAnsi="Rotis Sans Serif Std"/>
                <w:color w:val="5E6061"/>
              </w:rPr>
              <w:t>%</w:t>
            </w:r>
          </w:p>
        </w:tc>
      </w:tr>
      <w:tr w:rsidR="00151CBE" w:rsidRPr="00EA5418" w:rsidTr="006A4EC7">
        <w:trPr>
          <w:trHeight w:val="244"/>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151CBE" w:rsidRPr="003E2B63" w:rsidRDefault="0091013E" w:rsidP="00800278">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Drets socials</w:t>
            </w:r>
          </w:p>
        </w:tc>
        <w:tc>
          <w:tcPr>
            <w:tcW w:w="2093" w:type="dxa"/>
            <w:tcBorders>
              <w:top w:val="single" w:sz="4" w:space="0" w:color="FFFFFF"/>
              <w:left w:val="single" w:sz="24" w:space="0" w:color="FFFFFF"/>
              <w:bottom w:val="single" w:sz="24" w:space="0" w:color="FFFFFF"/>
              <w:right w:val="single" w:sz="4" w:space="0" w:color="FFFFFF"/>
            </w:tcBorders>
            <w:shd w:val="clear" w:color="auto" w:fill="F2DBDB"/>
            <w:vAlign w:val="center"/>
          </w:tcPr>
          <w:p w:rsidR="00151CBE" w:rsidRPr="003E2B63" w:rsidRDefault="00A12D29" w:rsidP="006A4EC7">
            <w:pPr>
              <w:spacing w:line="276" w:lineRule="auto"/>
              <w:jc w:val="center"/>
              <w:rPr>
                <w:rFonts w:ascii="Rotis Sans Serif Std" w:hAnsi="Rotis Sans Serif Std"/>
                <w:color w:val="5E6061"/>
              </w:rPr>
            </w:pPr>
            <w:r>
              <w:rPr>
                <w:rFonts w:ascii="Rotis Sans Serif Std" w:hAnsi="Rotis Sans Serif Std"/>
                <w:color w:val="5E6061"/>
              </w:rPr>
              <w:t>8</w:t>
            </w:r>
          </w:p>
        </w:tc>
        <w:tc>
          <w:tcPr>
            <w:tcW w:w="2129" w:type="dxa"/>
            <w:tcBorders>
              <w:top w:val="single" w:sz="4" w:space="0" w:color="FFFFFF"/>
              <w:left w:val="single" w:sz="4" w:space="0" w:color="FFFFFF"/>
              <w:bottom w:val="single" w:sz="24" w:space="0" w:color="FFFFFF"/>
              <w:right w:val="single" w:sz="2" w:space="0" w:color="FFFFFF"/>
            </w:tcBorders>
            <w:shd w:val="clear" w:color="auto" w:fill="F2DBDB"/>
            <w:vAlign w:val="bottom"/>
          </w:tcPr>
          <w:p w:rsidR="00151CBE" w:rsidRPr="003E2B63" w:rsidRDefault="00800278" w:rsidP="008B6BBB">
            <w:pPr>
              <w:spacing w:line="276" w:lineRule="auto"/>
              <w:jc w:val="center"/>
              <w:rPr>
                <w:rFonts w:ascii="Rotis Sans Serif Std" w:hAnsi="Rotis Sans Serif Std"/>
                <w:color w:val="5E6061"/>
              </w:rPr>
            </w:pPr>
            <w:r>
              <w:rPr>
                <w:rFonts w:ascii="Rotis Sans Serif Std" w:hAnsi="Rotis Sans Serif Std"/>
                <w:color w:val="5E6061"/>
              </w:rPr>
              <w:t>1,</w:t>
            </w:r>
            <w:r w:rsidR="008B6BBB">
              <w:rPr>
                <w:rFonts w:ascii="Rotis Sans Serif Std" w:hAnsi="Rotis Sans Serif Std"/>
                <w:color w:val="5E6061"/>
              </w:rPr>
              <w:t>01</w:t>
            </w:r>
            <w:r w:rsidR="00962CAF">
              <w:rPr>
                <w:rFonts w:ascii="Rotis Sans Serif Std" w:hAnsi="Rotis Sans Serif Std"/>
                <w:color w:val="5E6061"/>
              </w:rPr>
              <w:t>0</w:t>
            </w:r>
            <w:r>
              <w:rPr>
                <w:rFonts w:ascii="Rotis Sans Serif Std" w:hAnsi="Rotis Sans Serif Std"/>
                <w:color w:val="5E6061"/>
              </w:rPr>
              <w:t>%</w:t>
            </w:r>
          </w:p>
        </w:tc>
      </w:tr>
      <w:tr w:rsidR="00800278" w:rsidRPr="00EA5418" w:rsidTr="006A4EC7">
        <w:trPr>
          <w:trHeight w:val="244"/>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800278" w:rsidRDefault="008B6BBB" w:rsidP="008B6BBB">
            <w:pPr>
              <w:spacing w:line="276" w:lineRule="auto"/>
              <w:jc w:val="center"/>
              <w:rPr>
                <w:rFonts w:ascii="Rotis Sans Serif Std" w:hAnsi="Rotis Sans Serif Std"/>
                <w:color w:val="FFFFFF"/>
                <w:sz w:val="20"/>
                <w:szCs w:val="20"/>
              </w:rPr>
            </w:pPr>
            <w:r>
              <w:rPr>
                <w:rFonts w:ascii="Rotis Sans Serif Std" w:hAnsi="Rotis Sans Serif Std"/>
                <w:color w:val="FFFFFF"/>
                <w:sz w:val="20"/>
                <w:szCs w:val="20"/>
              </w:rPr>
              <w:t>Incompliment acords/laudes TLC</w:t>
            </w:r>
          </w:p>
        </w:tc>
        <w:tc>
          <w:tcPr>
            <w:tcW w:w="2093" w:type="dxa"/>
            <w:tcBorders>
              <w:top w:val="single" w:sz="4" w:space="0" w:color="FFFFFF"/>
              <w:left w:val="single" w:sz="24" w:space="0" w:color="FFFFFF"/>
              <w:bottom w:val="single" w:sz="24" w:space="0" w:color="FFFFFF"/>
              <w:right w:val="single" w:sz="4" w:space="0" w:color="FFFFFF"/>
            </w:tcBorders>
            <w:shd w:val="clear" w:color="auto" w:fill="F2DBDB"/>
            <w:vAlign w:val="center"/>
          </w:tcPr>
          <w:p w:rsidR="00800278" w:rsidRDefault="008B6BBB" w:rsidP="006A4EC7">
            <w:pPr>
              <w:spacing w:line="276" w:lineRule="auto"/>
              <w:jc w:val="center"/>
              <w:rPr>
                <w:rFonts w:ascii="Rotis Sans Serif Std" w:hAnsi="Rotis Sans Serif Std"/>
                <w:color w:val="5E6061"/>
              </w:rPr>
            </w:pPr>
            <w:r>
              <w:rPr>
                <w:rFonts w:ascii="Rotis Sans Serif Std" w:hAnsi="Rotis Sans Serif Std"/>
                <w:color w:val="5E6061"/>
              </w:rPr>
              <w:t>8</w:t>
            </w:r>
          </w:p>
        </w:tc>
        <w:tc>
          <w:tcPr>
            <w:tcW w:w="2129" w:type="dxa"/>
            <w:tcBorders>
              <w:top w:val="single" w:sz="4" w:space="0" w:color="FFFFFF"/>
              <w:left w:val="single" w:sz="4" w:space="0" w:color="FFFFFF"/>
              <w:bottom w:val="single" w:sz="24" w:space="0" w:color="FFFFFF"/>
              <w:right w:val="single" w:sz="2" w:space="0" w:color="FFFFFF"/>
            </w:tcBorders>
            <w:shd w:val="clear" w:color="auto" w:fill="F2DBDB"/>
            <w:vAlign w:val="bottom"/>
          </w:tcPr>
          <w:p w:rsidR="00800278" w:rsidRDefault="00A12D29" w:rsidP="008B6BBB">
            <w:pPr>
              <w:spacing w:line="276" w:lineRule="auto"/>
              <w:jc w:val="center"/>
              <w:rPr>
                <w:rFonts w:ascii="Rotis Sans Serif Std" w:hAnsi="Rotis Sans Serif Std"/>
                <w:color w:val="5E6061"/>
              </w:rPr>
            </w:pPr>
            <w:r>
              <w:rPr>
                <w:rFonts w:ascii="Rotis Sans Serif Std" w:hAnsi="Rotis Sans Serif Std"/>
                <w:color w:val="5E6061"/>
              </w:rPr>
              <w:t>1,</w:t>
            </w:r>
            <w:r w:rsidR="008B6BBB">
              <w:rPr>
                <w:rFonts w:ascii="Rotis Sans Serif Std" w:hAnsi="Rotis Sans Serif Std"/>
                <w:color w:val="5E6061"/>
              </w:rPr>
              <w:t>01</w:t>
            </w:r>
            <w:r w:rsidR="00800278">
              <w:rPr>
                <w:rFonts w:ascii="Rotis Sans Serif Std" w:hAnsi="Rotis Sans Serif Std"/>
                <w:color w:val="5E6061"/>
              </w:rPr>
              <w:t>%</w:t>
            </w:r>
          </w:p>
        </w:tc>
      </w:tr>
      <w:tr w:rsidR="00151CBE" w:rsidRPr="00EA5418" w:rsidTr="006A4EC7">
        <w:trPr>
          <w:trHeight w:val="244"/>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151CBE" w:rsidRPr="003E2B63" w:rsidRDefault="008B6BBB" w:rsidP="00A12D29">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Incapacitat Temporal</w:t>
            </w:r>
          </w:p>
        </w:tc>
        <w:tc>
          <w:tcPr>
            <w:tcW w:w="2093" w:type="dxa"/>
            <w:tcBorders>
              <w:top w:val="single" w:sz="4" w:space="0" w:color="FFFFFF"/>
              <w:left w:val="single" w:sz="24" w:space="0" w:color="FFFFFF"/>
              <w:bottom w:val="single" w:sz="4" w:space="0" w:color="FFFFFF"/>
              <w:right w:val="single" w:sz="4" w:space="0" w:color="FFFFFF"/>
            </w:tcBorders>
            <w:shd w:val="clear" w:color="auto" w:fill="F2DBDB"/>
            <w:vAlign w:val="center"/>
          </w:tcPr>
          <w:p w:rsidR="00151CBE" w:rsidRPr="003E2B63" w:rsidRDefault="008B6BBB" w:rsidP="006A4EC7">
            <w:pPr>
              <w:spacing w:line="276" w:lineRule="auto"/>
              <w:jc w:val="center"/>
              <w:rPr>
                <w:rFonts w:ascii="Rotis Sans Serif Std" w:hAnsi="Rotis Sans Serif Std"/>
                <w:color w:val="5E6061"/>
              </w:rPr>
            </w:pPr>
            <w:r>
              <w:rPr>
                <w:rFonts w:ascii="Rotis Sans Serif Std" w:hAnsi="Rotis Sans Serif Std"/>
                <w:color w:val="5E6061"/>
              </w:rPr>
              <w:t>7</w:t>
            </w:r>
          </w:p>
        </w:tc>
        <w:tc>
          <w:tcPr>
            <w:tcW w:w="2129" w:type="dxa"/>
            <w:tcBorders>
              <w:top w:val="single" w:sz="4" w:space="0" w:color="FFFFFF"/>
              <w:left w:val="single" w:sz="4" w:space="0" w:color="FFFFFF"/>
              <w:bottom w:val="single" w:sz="4" w:space="0" w:color="FFFFFF"/>
              <w:right w:val="single" w:sz="2" w:space="0" w:color="FFFFFF"/>
            </w:tcBorders>
            <w:shd w:val="clear" w:color="auto" w:fill="F2DBDB"/>
            <w:vAlign w:val="bottom"/>
          </w:tcPr>
          <w:p w:rsidR="00151CBE" w:rsidRPr="003E2B63" w:rsidRDefault="008B6BBB" w:rsidP="00962CAF">
            <w:pPr>
              <w:spacing w:line="276" w:lineRule="auto"/>
              <w:jc w:val="center"/>
              <w:rPr>
                <w:rFonts w:ascii="Rotis Sans Serif Std" w:hAnsi="Rotis Sans Serif Std"/>
                <w:color w:val="5E6061"/>
              </w:rPr>
            </w:pPr>
            <w:r>
              <w:rPr>
                <w:rFonts w:ascii="Rotis Sans Serif Std" w:hAnsi="Rotis Sans Serif Std"/>
                <w:color w:val="5E6061"/>
              </w:rPr>
              <w:t>0,88</w:t>
            </w:r>
            <w:r w:rsidR="00800278">
              <w:rPr>
                <w:rFonts w:ascii="Rotis Sans Serif Std" w:hAnsi="Rotis Sans Serif Std"/>
                <w:color w:val="5E6061"/>
              </w:rPr>
              <w:t>%</w:t>
            </w:r>
          </w:p>
        </w:tc>
      </w:tr>
      <w:tr w:rsidR="00800278" w:rsidRPr="00EA5418" w:rsidTr="006A4EC7">
        <w:trPr>
          <w:trHeight w:val="244"/>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800278" w:rsidRPr="003E2B63" w:rsidRDefault="008B6BBB" w:rsidP="006A4EC7">
            <w:pPr>
              <w:spacing w:line="276" w:lineRule="auto"/>
              <w:jc w:val="center"/>
              <w:rPr>
                <w:rFonts w:ascii="Rotis Sans Serif Std" w:hAnsi="Rotis Sans Serif Std"/>
                <w:color w:val="FFFFFF"/>
                <w:sz w:val="20"/>
                <w:szCs w:val="20"/>
              </w:rPr>
            </w:pPr>
            <w:r>
              <w:rPr>
                <w:rFonts w:ascii="Rotis Sans Serif Std" w:hAnsi="Rotis Sans Serif Std"/>
                <w:color w:val="FFFFFF"/>
                <w:sz w:val="20"/>
                <w:szCs w:val="20"/>
              </w:rPr>
              <w:t>Trasllat de centre de treball</w:t>
            </w:r>
          </w:p>
        </w:tc>
        <w:tc>
          <w:tcPr>
            <w:tcW w:w="2093" w:type="dxa"/>
            <w:tcBorders>
              <w:top w:val="single" w:sz="4" w:space="0" w:color="FFFFFF"/>
              <w:left w:val="single" w:sz="24" w:space="0" w:color="FFFFFF"/>
              <w:bottom w:val="single" w:sz="4" w:space="0" w:color="FFFFFF"/>
              <w:right w:val="single" w:sz="4" w:space="0" w:color="FFFFFF"/>
            </w:tcBorders>
            <w:shd w:val="clear" w:color="auto" w:fill="F2DBDB"/>
            <w:vAlign w:val="center"/>
          </w:tcPr>
          <w:p w:rsidR="00800278" w:rsidRDefault="008B6BBB" w:rsidP="006A4EC7">
            <w:pPr>
              <w:spacing w:line="276" w:lineRule="auto"/>
              <w:jc w:val="center"/>
              <w:rPr>
                <w:rFonts w:ascii="Rotis Sans Serif Std" w:hAnsi="Rotis Sans Serif Std"/>
                <w:color w:val="5E6061"/>
              </w:rPr>
            </w:pPr>
            <w:r>
              <w:rPr>
                <w:rFonts w:ascii="Rotis Sans Serif Std" w:hAnsi="Rotis Sans Serif Std"/>
                <w:color w:val="5E6061"/>
              </w:rPr>
              <w:t>3</w:t>
            </w:r>
          </w:p>
        </w:tc>
        <w:tc>
          <w:tcPr>
            <w:tcW w:w="2129" w:type="dxa"/>
            <w:tcBorders>
              <w:top w:val="single" w:sz="4" w:space="0" w:color="FFFFFF"/>
              <w:left w:val="single" w:sz="4" w:space="0" w:color="FFFFFF"/>
              <w:bottom w:val="single" w:sz="4" w:space="0" w:color="FFFFFF"/>
              <w:right w:val="single" w:sz="2" w:space="0" w:color="FFFFFF"/>
            </w:tcBorders>
            <w:shd w:val="clear" w:color="auto" w:fill="F2DBDB"/>
            <w:vAlign w:val="bottom"/>
          </w:tcPr>
          <w:p w:rsidR="00800278" w:rsidRDefault="008B6BBB" w:rsidP="00962CAF">
            <w:pPr>
              <w:spacing w:line="276" w:lineRule="auto"/>
              <w:jc w:val="center"/>
              <w:rPr>
                <w:rFonts w:ascii="Rotis Sans Serif Std" w:hAnsi="Rotis Sans Serif Std"/>
                <w:color w:val="5E6061"/>
              </w:rPr>
            </w:pPr>
            <w:r>
              <w:rPr>
                <w:rFonts w:ascii="Rotis Sans Serif Std" w:hAnsi="Rotis Sans Serif Std"/>
                <w:color w:val="5E6061"/>
              </w:rPr>
              <w:t>0,38%</w:t>
            </w:r>
          </w:p>
        </w:tc>
      </w:tr>
      <w:tr w:rsidR="00800278" w:rsidRPr="00EA5418" w:rsidTr="006A4EC7">
        <w:trPr>
          <w:trHeight w:val="244"/>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800278" w:rsidRPr="003E2B63" w:rsidRDefault="008B6BBB" w:rsidP="006A4EC7">
            <w:pPr>
              <w:spacing w:line="276" w:lineRule="auto"/>
              <w:jc w:val="center"/>
              <w:rPr>
                <w:rFonts w:ascii="Rotis Sans Serif Std" w:hAnsi="Rotis Sans Serif Std"/>
                <w:color w:val="FFFFFF"/>
                <w:sz w:val="20"/>
                <w:szCs w:val="20"/>
              </w:rPr>
            </w:pPr>
            <w:r>
              <w:rPr>
                <w:rFonts w:ascii="Rotis Sans Serif Std" w:hAnsi="Rotis Sans Serif Std"/>
                <w:color w:val="FFFFFF"/>
                <w:sz w:val="20"/>
                <w:szCs w:val="20"/>
              </w:rPr>
              <w:t>Pla de viabilitat/reestructuració</w:t>
            </w:r>
          </w:p>
        </w:tc>
        <w:tc>
          <w:tcPr>
            <w:tcW w:w="2093" w:type="dxa"/>
            <w:tcBorders>
              <w:top w:val="single" w:sz="4" w:space="0" w:color="FFFFFF"/>
              <w:left w:val="single" w:sz="24" w:space="0" w:color="FFFFFF"/>
              <w:bottom w:val="single" w:sz="4" w:space="0" w:color="FFFFFF"/>
              <w:right w:val="single" w:sz="4" w:space="0" w:color="FFFFFF"/>
            </w:tcBorders>
            <w:shd w:val="clear" w:color="auto" w:fill="F2DBDB"/>
            <w:vAlign w:val="center"/>
          </w:tcPr>
          <w:p w:rsidR="00800278" w:rsidRDefault="008B6BBB" w:rsidP="00800278">
            <w:pPr>
              <w:spacing w:line="276" w:lineRule="auto"/>
              <w:jc w:val="center"/>
              <w:rPr>
                <w:rFonts w:ascii="Rotis Sans Serif Std" w:hAnsi="Rotis Sans Serif Std"/>
                <w:color w:val="5E6061"/>
              </w:rPr>
            </w:pPr>
            <w:r>
              <w:rPr>
                <w:rFonts w:ascii="Rotis Sans Serif Std" w:hAnsi="Rotis Sans Serif Std"/>
                <w:color w:val="5E6061"/>
              </w:rPr>
              <w:t>1</w:t>
            </w:r>
          </w:p>
        </w:tc>
        <w:tc>
          <w:tcPr>
            <w:tcW w:w="2129" w:type="dxa"/>
            <w:tcBorders>
              <w:top w:val="single" w:sz="4" w:space="0" w:color="FFFFFF"/>
              <w:left w:val="single" w:sz="4" w:space="0" w:color="FFFFFF"/>
              <w:bottom w:val="single" w:sz="4" w:space="0" w:color="FFFFFF"/>
              <w:right w:val="single" w:sz="2" w:space="0" w:color="FFFFFF"/>
            </w:tcBorders>
            <w:shd w:val="clear" w:color="auto" w:fill="F2DBDB"/>
            <w:vAlign w:val="bottom"/>
          </w:tcPr>
          <w:p w:rsidR="00800278" w:rsidRDefault="008B6BBB" w:rsidP="00962CAF">
            <w:pPr>
              <w:spacing w:line="276" w:lineRule="auto"/>
              <w:jc w:val="center"/>
              <w:rPr>
                <w:rFonts w:ascii="Rotis Sans Serif Std" w:hAnsi="Rotis Sans Serif Std"/>
                <w:color w:val="5E6061"/>
              </w:rPr>
            </w:pPr>
            <w:r>
              <w:rPr>
                <w:rFonts w:ascii="Rotis Sans Serif Std" w:hAnsi="Rotis Sans Serif Std"/>
                <w:color w:val="5E6061"/>
              </w:rPr>
              <w:t>0,13%</w:t>
            </w:r>
          </w:p>
        </w:tc>
      </w:tr>
      <w:tr w:rsidR="00800278" w:rsidRPr="00EA5418" w:rsidTr="006A4EC7">
        <w:trPr>
          <w:trHeight w:val="244"/>
          <w:jc w:val="center"/>
        </w:trPr>
        <w:tc>
          <w:tcPr>
            <w:tcW w:w="5076" w:type="dxa"/>
            <w:tcBorders>
              <w:top w:val="single" w:sz="24" w:space="0" w:color="FFFFFF"/>
              <w:left w:val="single" w:sz="4" w:space="0" w:color="FFFFFF"/>
              <w:bottom w:val="single" w:sz="24" w:space="0" w:color="FFFFFF"/>
              <w:right w:val="single" w:sz="24" w:space="0" w:color="FFFFFF"/>
            </w:tcBorders>
            <w:shd w:val="clear" w:color="auto" w:fill="C00000"/>
            <w:vAlign w:val="center"/>
          </w:tcPr>
          <w:p w:rsidR="00800278" w:rsidRPr="003E2B63" w:rsidRDefault="00800278" w:rsidP="006A4EC7">
            <w:pPr>
              <w:spacing w:line="276" w:lineRule="auto"/>
              <w:jc w:val="center"/>
              <w:rPr>
                <w:rFonts w:ascii="Rotis Sans Serif Std" w:hAnsi="Rotis Sans Serif Std"/>
                <w:color w:val="FFFFFF"/>
                <w:sz w:val="20"/>
                <w:szCs w:val="20"/>
              </w:rPr>
            </w:pPr>
            <w:r w:rsidRPr="003E2B63">
              <w:rPr>
                <w:rFonts w:ascii="Rotis Sans Serif Std" w:hAnsi="Rotis Sans Serif Std"/>
                <w:color w:val="FFFFFF"/>
                <w:sz w:val="20"/>
                <w:szCs w:val="20"/>
              </w:rPr>
              <w:t>Altres causes laborals</w:t>
            </w:r>
          </w:p>
        </w:tc>
        <w:tc>
          <w:tcPr>
            <w:tcW w:w="2093" w:type="dxa"/>
            <w:tcBorders>
              <w:top w:val="single" w:sz="4" w:space="0" w:color="FFFFFF"/>
              <w:left w:val="single" w:sz="24" w:space="0" w:color="FFFFFF"/>
              <w:bottom w:val="single" w:sz="24" w:space="0" w:color="FFFFFF"/>
              <w:right w:val="single" w:sz="4" w:space="0" w:color="FFFFFF"/>
            </w:tcBorders>
            <w:shd w:val="clear" w:color="auto" w:fill="F2DBDB"/>
            <w:vAlign w:val="center"/>
          </w:tcPr>
          <w:p w:rsidR="00800278" w:rsidRPr="003E2B63" w:rsidRDefault="008B6BBB" w:rsidP="006A4EC7">
            <w:pPr>
              <w:spacing w:line="276" w:lineRule="auto"/>
              <w:jc w:val="center"/>
              <w:rPr>
                <w:rFonts w:ascii="Rotis Sans Serif Std" w:hAnsi="Rotis Sans Serif Std"/>
                <w:color w:val="5E6061"/>
              </w:rPr>
            </w:pPr>
            <w:r>
              <w:rPr>
                <w:rFonts w:ascii="Rotis Sans Serif Std" w:hAnsi="Rotis Sans Serif Std"/>
                <w:color w:val="5E6061"/>
              </w:rPr>
              <w:t>22</w:t>
            </w:r>
          </w:p>
        </w:tc>
        <w:tc>
          <w:tcPr>
            <w:tcW w:w="2129" w:type="dxa"/>
            <w:tcBorders>
              <w:top w:val="single" w:sz="4" w:space="0" w:color="FFFFFF"/>
              <w:left w:val="single" w:sz="4" w:space="0" w:color="FFFFFF"/>
              <w:bottom w:val="single" w:sz="24" w:space="0" w:color="FFFFFF"/>
              <w:right w:val="single" w:sz="2" w:space="0" w:color="FFFFFF"/>
            </w:tcBorders>
            <w:shd w:val="clear" w:color="auto" w:fill="F2DBDB"/>
            <w:vAlign w:val="bottom"/>
          </w:tcPr>
          <w:p w:rsidR="00800278" w:rsidRPr="003E2B63" w:rsidRDefault="008B6BBB" w:rsidP="00962CAF">
            <w:pPr>
              <w:spacing w:line="276" w:lineRule="auto"/>
              <w:jc w:val="center"/>
              <w:rPr>
                <w:rFonts w:ascii="Rotis Sans Serif Std" w:hAnsi="Rotis Sans Serif Std"/>
                <w:color w:val="5E6061"/>
              </w:rPr>
            </w:pPr>
            <w:r>
              <w:rPr>
                <w:rFonts w:ascii="Rotis Sans Serif Std" w:hAnsi="Rotis Sans Serif Std"/>
                <w:color w:val="5E6061"/>
              </w:rPr>
              <w:t>2,77</w:t>
            </w:r>
            <w:r w:rsidR="00F85317">
              <w:rPr>
                <w:rFonts w:ascii="Rotis Sans Serif Std" w:hAnsi="Rotis Sans Serif Std"/>
                <w:color w:val="5E6061"/>
              </w:rPr>
              <w:t>%</w:t>
            </w:r>
          </w:p>
        </w:tc>
      </w:tr>
    </w:tbl>
    <w:p w:rsidR="00151CBE" w:rsidRPr="00224809" w:rsidRDefault="00151CBE" w:rsidP="00151CBE">
      <w:pPr>
        <w:pStyle w:val="TEXTBOLD"/>
        <w:spacing w:line="276" w:lineRule="auto"/>
        <w:jc w:val="center"/>
        <w:rPr>
          <w:b w:val="0"/>
          <w:lang w:val="ca-ES"/>
        </w:rPr>
      </w:pPr>
      <w:r w:rsidRPr="00EA5418">
        <w:rPr>
          <w:b w:val="0"/>
          <w:color w:val="404040"/>
          <w:sz w:val="18"/>
          <w:lang w:val="ca-ES"/>
        </w:rPr>
        <w:t>Font: Elaboració pròpia a partir de les dades del Tribunal Laboral de Catalunya</w:t>
      </w:r>
    </w:p>
    <w:p w:rsidR="00151CBE" w:rsidRPr="00EA5418" w:rsidRDefault="00151CBE" w:rsidP="00151CBE">
      <w:pPr>
        <w:pStyle w:val="TEXTBOLD"/>
        <w:spacing w:line="276" w:lineRule="auto"/>
        <w:rPr>
          <w:b w:val="0"/>
          <w:sz w:val="24"/>
          <w:szCs w:val="24"/>
          <w:lang w:val="ca-ES"/>
        </w:rPr>
      </w:pPr>
      <w:r w:rsidRPr="00EA5418">
        <w:rPr>
          <w:b w:val="0"/>
          <w:sz w:val="24"/>
          <w:szCs w:val="24"/>
          <w:lang w:val="ca-ES"/>
        </w:rPr>
        <w:t xml:space="preserve">Pel que fa a la </w:t>
      </w:r>
      <w:r w:rsidRPr="00EA5418">
        <w:rPr>
          <w:b w:val="0"/>
          <w:sz w:val="24"/>
          <w:szCs w:val="24"/>
          <w:u w:val="single"/>
          <w:lang w:val="ca-ES"/>
        </w:rPr>
        <w:t>dimensió de l’empresa</w:t>
      </w:r>
      <w:r w:rsidRPr="00EA5418">
        <w:rPr>
          <w:b w:val="0"/>
          <w:sz w:val="24"/>
          <w:szCs w:val="24"/>
          <w:lang w:val="ca-ES"/>
        </w:rPr>
        <w:t xml:space="preserve">, el </w:t>
      </w:r>
      <w:r w:rsidR="00494D59">
        <w:rPr>
          <w:b w:val="0"/>
          <w:sz w:val="24"/>
          <w:szCs w:val="24"/>
          <w:lang w:val="ca-ES"/>
        </w:rPr>
        <w:t>23</w:t>
      </w:r>
      <w:r w:rsidRPr="00EA5418">
        <w:rPr>
          <w:b w:val="0"/>
          <w:sz w:val="24"/>
          <w:szCs w:val="24"/>
          <w:lang w:val="ca-ES"/>
        </w:rPr>
        <w:t xml:space="preserve">% es correspon a empreses de menys de 50 treballadors, el </w:t>
      </w:r>
      <w:r w:rsidR="003039AC">
        <w:rPr>
          <w:b w:val="0"/>
          <w:sz w:val="24"/>
          <w:szCs w:val="24"/>
          <w:lang w:val="ca-ES"/>
        </w:rPr>
        <w:t>20</w:t>
      </w:r>
      <w:r w:rsidRPr="00EA5418">
        <w:rPr>
          <w:b w:val="0"/>
          <w:sz w:val="24"/>
          <w:szCs w:val="24"/>
          <w:lang w:val="ca-ES"/>
        </w:rPr>
        <w:t xml:space="preserve">% a empreses de 50 a 100 treballadors, el </w:t>
      </w:r>
      <w:r w:rsidR="00494D59">
        <w:rPr>
          <w:b w:val="0"/>
          <w:sz w:val="24"/>
          <w:szCs w:val="24"/>
          <w:lang w:val="ca-ES"/>
        </w:rPr>
        <w:t>2</w:t>
      </w:r>
      <w:r w:rsidR="003039AC">
        <w:rPr>
          <w:b w:val="0"/>
          <w:sz w:val="24"/>
          <w:szCs w:val="24"/>
          <w:lang w:val="ca-ES"/>
        </w:rPr>
        <w:t>7</w:t>
      </w:r>
      <w:r w:rsidRPr="00EA5418">
        <w:rPr>
          <w:b w:val="0"/>
          <w:sz w:val="24"/>
          <w:szCs w:val="24"/>
          <w:lang w:val="ca-ES"/>
        </w:rPr>
        <w:t xml:space="preserve">% a empreses de 101 a 250 treballadors, el </w:t>
      </w:r>
      <w:r w:rsidR="00672D2D">
        <w:rPr>
          <w:b w:val="0"/>
          <w:sz w:val="24"/>
          <w:szCs w:val="24"/>
          <w:lang w:val="ca-ES"/>
        </w:rPr>
        <w:t>1</w:t>
      </w:r>
      <w:r w:rsidR="003039AC">
        <w:rPr>
          <w:b w:val="0"/>
          <w:sz w:val="24"/>
          <w:szCs w:val="24"/>
          <w:lang w:val="ca-ES"/>
        </w:rPr>
        <w:t>4</w:t>
      </w:r>
      <w:r w:rsidRPr="00EA5418">
        <w:rPr>
          <w:b w:val="0"/>
          <w:sz w:val="24"/>
          <w:szCs w:val="24"/>
          <w:lang w:val="ca-ES"/>
        </w:rPr>
        <w:t xml:space="preserve">% empreses de 251 a 500 treballadors i, per últim, el </w:t>
      </w:r>
      <w:r w:rsidR="003039AC">
        <w:rPr>
          <w:b w:val="0"/>
          <w:sz w:val="24"/>
          <w:szCs w:val="24"/>
          <w:lang w:val="ca-ES"/>
        </w:rPr>
        <w:t>16</w:t>
      </w:r>
      <w:r w:rsidRPr="00EA5418">
        <w:rPr>
          <w:b w:val="0"/>
          <w:sz w:val="24"/>
          <w:szCs w:val="24"/>
          <w:lang w:val="ca-ES"/>
        </w:rPr>
        <w:t>% empreses de més de 500 treballadors.</w:t>
      </w:r>
    </w:p>
    <w:p w:rsidR="00151CBE" w:rsidRPr="00EA5418" w:rsidRDefault="00151CBE" w:rsidP="00151CBE">
      <w:pPr>
        <w:pStyle w:val="TEXTBOLD"/>
        <w:spacing w:line="276" w:lineRule="auto"/>
        <w:rPr>
          <w:b w:val="0"/>
          <w:lang w:val="ca-ES"/>
        </w:rPr>
      </w:pPr>
    </w:p>
    <w:p w:rsidR="00151CBE" w:rsidRPr="00EA5418" w:rsidRDefault="00723347" w:rsidP="00151CBE">
      <w:pPr>
        <w:pStyle w:val="TEXTBOLD"/>
        <w:spacing w:line="276" w:lineRule="auto"/>
        <w:jc w:val="center"/>
        <w:rPr>
          <w:b w:val="0"/>
          <w:lang w:val="ca-ES"/>
        </w:rPr>
      </w:pPr>
      <w:r>
        <w:rPr>
          <w:noProof/>
          <w:lang w:val="es-ES" w:eastAsia="es-ES"/>
        </w:rPr>
        <w:drawing>
          <wp:inline distT="0" distB="0" distL="0" distR="0" wp14:anchorId="50BC1B09" wp14:editId="76515C7A">
            <wp:extent cx="5467350" cy="2709863"/>
            <wp:effectExtent l="0" t="0" r="19050" b="1460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51CBE" w:rsidRPr="00EA5418" w:rsidRDefault="00151CBE" w:rsidP="00151CBE">
      <w:pPr>
        <w:pStyle w:val="TEXTBOLD"/>
        <w:spacing w:line="276" w:lineRule="auto"/>
        <w:jc w:val="center"/>
        <w:rPr>
          <w:b w:val="0"/>
          <w:lang w:val="ca-ES"/>
        </w:rPr>
      </w:pPr>
      <w:r w:rsidRPr="00EA5418">
        <w:rPr>
          <w:b w:val="0"/>
          <w:color w:val="404040"/>
          <w:sz w:val="18"/>
          <w:lang w:val="ca-ES"/>
        </w:rPr>
        <w:t>Font: Elaboració pròpia a partir de les dades del Tribunal Laboral de Catalunya</w:t>
      </w:r>
    </w:p>
    <w:p w:rsidR="00151CBE" w:rsidRPr="00EA5418" w:rsidRDefault="00151CBE" w:rsidP="00151CBE">
      <w:pPr>
        <w:pStyle w:val="TEXTBOLD"/>
        <w:spacing w:line="276" w:lineRule="auto"/>
        <w:rPr>
          <w:b w:val="0"/>
          <w:lang w:val="ca-ES"/>
        </w:rPr>
      </w:pPr>
    </w:p>
    <w:p w:rsidR="00151CBE" w:rsidRPr="00EA5418" w:rsidRDefault="00151CBE" w:rsidP="00151CBE">
      <w:pPr>
        <w:pStyle w:val="TEXTBOLD"/>
        <w:spacing w:line="276" w:lineRule="auto"/>
        <w:rPr>
          <w:b w:val="0"/>
          <w:sz w:val="24"/>
          <w:szCs w:val="24"/>
          <w:lang w:val="ca-ES"/>
        </w:rPr>
      </w:pPr>
      <w:r w:rsidRPr="00167AD2">
        <w:rPr>
          <w:b w:val="0"/>
          <w:sz w:val="24"/>
          <w:szCs w:val="24"/>
          <w:lang w:val="ca-ES"/>
        </w:rPr>
        <w:t xml:space="preserve">Per raó del </w:t>
      </w:r>
      <w:r w:rsidRPr="00167AD2">
        <w:rPr>
          <w:b w:val="0"/>
          <w:sz w:val="24"/>
          <w:szCs w:val="24"/>
          <w:u w:val="single"/>
          <w:lang w:val="ca-ES"/>
        </w:rPr>
        <w:t>sector productiu</w:t>
      </w:r>
      <w:r w:rsidRPr="00167AD2">
        <w:rPr>
          <w:b w:val="0"/>
          <w:sz w:val="24"/>
          <w:szCs w:val="24"/>
          <w:lang w:val="ca-ES"/>
        </w:rPr>
        <w:t xml:space="preserve">, el </w:t>
      </w:r>
      <w:r w:rsidR="007D1E14">
        <w:rPr>
          <w:b w:val="0"/>
          <w:sz w:val="24"/>
          <w:szCs w:val="24"/>
          <w:lang w:val="ca-ES"/>
        </w:rPr>
        <w:t>60,15</w:t>
      </w:r>
      <w:r w:rsidRPr="00167AD2">
        <w:rPr>
          <w:b w:val="0"/>
          <w:sz w:val="24"/>
          <w:szCs w:val="24"/>
          <w:lang w:val="ca-ES"/>
        </w:rPr>
        <w:t>% dels expedients s’han donat en el sector terciari</w:t>
      </w:r>
      <w:r w:rsidR="00167AD2">
        <w:rPr>
          <w:b w:val="0"/>
          <w:sz w:val="24"/>
          <w:szCs w:val="24"/>
          <w:lang w:val="ca-ES"/>
        </w:rPr>
        <w:t xml:space="preserve"> (</w:t>
      </w:r>
      <w:r w:rsidR="007D1E14">
        <w:rPr>
          <w:b w:val="0"/>
          <w:sz w:val="24"/>
          <w:szCs w:val="24"/>
          <w:lang w:val="ca-ES"/>
        </w:rPr>
        <w:t xml:space="preserve">406 </w:t>
      </w:r>
      <w:r w:rsidR="00167AD2">
        <w:rPr>
          <w:b w:val="0"/>
          <w:sz w:val="24"/>
          <w:szCs w:val="24"/>
          <w:lang w:val="ca-ES"/>
        </w:rPr>
        <w:t>expedients)</w:t>
      </w:r>
      <w:r w:rsidRPr="00167AD2">
        <w:rPr>
          <w:b w:val="0"/>
          <w:sz w:val="24"/>
          <w:szCs w:val="24"/>
          <w:lang w:val="ca-ES"/>
        </w:rPr>
        <w:t xml:space="preserve">, el </w:t>
      </w:r>
      <w:r w:rsidR="007D1E14">
        <w:rPr>
          <w:b w:val="0"/>
          <w:sz w:val="24"/>
          <w:szCs w:val="24"/>
          <w:lang w:val="ca-ES"/>
        </w:rPr>
        <w:t>39,41</w:t>
      </w:r>
      <w:r w:rsidRPr="00167AD2">
        <w:rPr>
          <w:b w:val="0"/>
          <w:sz w:val="24"/>
          <w:szCs w:val="24"/>
          <w:lang w:val="ca-ES"/>
        </w:rPr>
        <w:t xml:space="preserve">% en el secundari </w:t>
      </w:r>
      <w:r w:rsidR="00167AD2">
        <w:rPr>
          <w:b w:val="0"/>
          <w:sz w:val="24"/>
          <w:szCs w:val="24"/>
          <w:lang w:val="ca-ES"/>
        </w:rPr>
        <w:t>(</w:t>
      </w:r>
      <w:r w:rsidR="007D1E14">
        <w:rPr>
          <w:b w:val="0"/>
          <w:sz w:val="24"/>
          <w:szCs w:val="24"/>
          <w:lang w:val="ca-ES"/>
        </w:rPr>
        <w:t>266</w:t>
      </w:r>
      <w:r w:rsidR="00167AD2">
        <w:rPr>
          <w:b w:val="0"/>
          <w:sz w:val="24"/>
          <w:szCs w:val="24"/>
          <w:lang w:val="ca-ES"/>
        </w:rPr>
        <w:t xml:space="preserve"> expedients) </w:t>
      </w:r>
      <w:r w:rsidRPr="00167AD2">
        <w:rPr>
          <w:b w:val="0"/>
          <w:sz w:val="24"/>
          <w:szCs w:val="24"/>
          <w:lang w:val="ca-ES"/>
        </w:rPr>
        <w:t xml:space="preserve">i el </w:t>
      </w:r>
      <w:r w:rsidR="00494D59">
        <w:rPr>
          <w:b w:val="0"/>
          <w:sz w:val="24"/>
          <w:szCs w:val="24"/>
          <w:lang w:val="ca-ES"/>
        </w:rPr>
        <w:t>0,</w:t>
      </w:r>
      <w:r w:rsidR="007D1E14">
        <w:rPr>
          <w:b w:val="0"/>
          <w:sz w:val="24"/>
          <w:szCs w:val="24"/>
          <w:lang w:val="ca-ES"/>
        </w:rPr>
        <w:t>74</w:t>
      </w:r>
      <w:r w:rsidRPr="00167AD2">
        <w:rPr>
          <w:b w:val="0"/>
          <w:sz w:val="24"/>
          <w:szCs w:val="24"/>
          <w:lang w:val="ca-ES"/>
        </w:rPr>
        <w:t>% en el primari</w:t>
      </w:r>
      <w:r w:rsidR="00167AD2">
        <w:rPr>
          <w:b w:val="0"/>
          <w:sz w:val="24"/>
          <w:szCs w:val="24"/>
          <w:lang w:val="ca-ES"/>
        </w:rPr>
        <w:t xml:space="preserve"> (</w:t>
      </w:r>
      <w:r w:rsidR="007D1E14">
        <w:rPr>
          <w:b w:val="0"/>
          <w:sz w:val="24"/>
          <w:szCs w:val="24"/>
          <w:lang w:val="ca-ES"/>
        </w:rPr>
        <w:t>3</w:t>
      </w:r>
      <w:r w:rsidR="00167AD2">
        <w:rPr>
          <w:b w:val="0"/>
          <w:sz w:val="24"/>
          <w:szCs w:val="24"/>
          <w:lang w:val="ca-ES"/>
        </w:rPr>
        <w:t xml:space="preserve"> expedient</w:t>
      </w:r>
      <w:r w:rsidR="007D1E14">
        <w:rPr>
          <w:b w:val="0"/>
          <w:sz w:val="24"/>
          <w:szCs w:val="24"/>
          <w:lang w:val="ca-ES"/>
        </w:rPr>
        <w:t>s</w:t>
      </w:r>
      <w:r w:rsidR="00167AD2">
        <w:rPr>
          <w:b w:val="0"/>
          <w:sz w:val="24"/>
          <w:szCs w:val="24"/>
          <w:lang w:val="ca-ES"/>
        </w:rPr>
        <w:t>)</w:t>
      </w:r>
      <w:r w:rsidRPr="00167AD2">
        <w:rPr>
          <w:b w:val="0"/>
          <w:sz w:val="24"/>
          <w:szCs w:val="24"/>
          <w:lang w:val="ca-ES"/>
        </w:rPr>
        <w:t>. Per branques d’activitat podem destacar que el major nombre de procediments han sigut en l’àmbit del metall (</w:t>
      </w:r>
      <w:r w:rsidR="00167AD2">
        <w:rPr>
          <w:b w:val="0"/>
          <w:sz w:val="24"/>
          <w:szCs w:val="24"/>
          <w:lang w:val="ca-ES"/>
        </w:rPr>
        <w:t>2</w:t>
      </w:r>
      <w:r w:rsidR="001B52F0">
        <w:rPr>
          <w:b w:val="0"/>
          <w:sz w:val="24"/>
          <w:szCs w:val="24"/>
          <w:lang w:val="ca-ES"/>
        </w:rPr>
        <w:t>0</w:t>
      </w:r>
      <w:r w:rsidRPr="00167AD2">
        <w:rPr>
          <w:b w:val="0"/>
          <w:sz w:val="24"/>
          <w:szCs w:val="24"/>
          <w:lang w:val="ca-ES"/>
        </w:rPr>
        <w:t xml:space="preserve">% amb </w:t>
      </w:r>
      <w:r w:rsidR="001B52F0">
        <w:rPr>
          <w:b w:val="0"/>
          <w:sz w:val="24"/>
          <w:szCs w:val="24"/>
          <w:lang w:val="ca-ES"/>
        </w:rPr>
        <w:t>132</w:t>
      </w:r>
      <w:r w:rsidRPr="00167AD2">
        <w:rPr>
          <w:b w:val="0"/>
          <w:sz w:val="24"/>
          <w:szCs w:val="24"/>
          <w:lang w:val="ca-ES"/>
        </w:rPr>
        <w:t xml:space="preserve"> expedients), seguit de </w:t>
      </w:r>
      <w:r w:rsidR="00494D59">
        <w:rPr>
          <w:b w:val="0"/>
          <w:sz w:val="24"/>
          <w:szCs w:val="24"/>
          <w:lang w:val="ca-ES"/>
        </w:rPr>
        <w:t>transport</w:t>
      </w:r>
      <w:r w:rsidR="00167AD2">
        <w:rPr>
          <w:b w:val="0"/>
          <w:sz w:val="24"/>
          <w:szCs w:val="24"/>
          <w:lang w:val="ca-ES"/>
        </w:rPr>
        <w:t xml:space="preserve"> </w:t>
      </w:r>
      <w:r w:rsidRPr="00167AD2">
        <w:rPr>
          <w:b w:val="0"/>
          <w:sz w:val="24"/>
          <w:szCs w:val="24"/>
          <w:lang w:val="ca-ES"/>
        </w:rPr>
        <w:t>(</w:t>
      </w:r>
      <w:r w:rsidR="00167AD2">
        <w:rPr>
          <w:b w:val="0"/>
          <w:sz w:val="24"/>
          <w:szCs w:val="24"/>
          <w:lang w:val="ca-ES"/>
        </w:rPr>
        <w:t>1</w:t>
      </w:r>
      <w:r w:rsidR="00494D59">
        <w:rPr>
          <w:b w:val="0"/>
          <w:sz w:val="24"/>
          <w:szCs w:val="24"/>
          <w:lang w:val="ca-ES"/>
        </w:rPr>
        <w:t>5</w:t>
      </w:r>
      <w:r w:rsidRPr="00167AD2">
        <w:rPr>
          <w:b w:val="0"/>
          <w:sz w:val="24"/>
          <w:szCs w:val="24"/>
          <w:lang w:val="ca-ES"/>
        </w:rPr>
        <w:t xml:space="preserve">% amb </w:t>
      </w:r>
      <w:r w:rsidR="001B52F0">
        <w:rPr>
          <w:b w:val="0"/>
          <w:sz w:val="24"/>
          <w:szCs w:val="24"/>
          <w:lang w:val="ca-ES"/>
        </w:rPr>
        <w:t>100</w:t>
      </w:r>
      <w:r w:rsidRPr="00167AD2">
        <w:rPr>
          <w:b w:val="0"/>
          <w:sz w:val="24"/>
          <w:szCs w:val="24"/>
          <w:lang w:val="ca-ES"/>
        </w:rPr>
        <w:t xml:space="preserve"> expedients), </w:t>
      </w:r>
      <w:r w:rsidR="001B52F0">
        <w:rPr>
          <w:b w:val="0"/>
          <w:sz w:val="24"/>
          <w:szCs w:val="24"/>
          <w:lang w:val="ca-ES"/>
        </w:rPr>
        <w:t xml:space="preserve">sanitat (11% amb 72 expedients) i </w:t>
      </w:r>
      <w:r w:rsidR="00494D59">
        <w:rPr>
          <w:b w:val="0"/>
          <w:sz w:val="24"/>
          <w:szCs w:val="24"/>
          <w:lang w:val="ca-ES"/>
        </w:rPr>
        <w:t>oficines i despatxos</w:t>
      </w:r>
      <w:r w:rsidR="00167AD2" w:rsidRPr="00167AD2">
        <w:rPr>
          <w:b w:val="0"/>
          <w:sz w:val="24"/>
          <w:szCs w:val="24"/>
          <w:lang w:val="ca-ES"/>
        </w:rPr>
        <w:t xml:space="preserve"> </w:t>
      </w:r>
      <w:r w:rsidRPr="00167AD2">
        <w:rPr>
          <w:b w:val="0"/>
          <w:sz w:val="24"/>
          <w:szCs w:val="24"/>
          <w:lang w:val="ca-ES"/>
        </w:rPr>
        <w:t>(</w:t>
      </w:r>
      <w:r w:rsidR="001B52F0">
        <w:rPr>
          <w:b w:val="0"/>
          <w:sz w:val="24"/>
          <w:szCs w:val="24"/>
          <w:lang w:val="ca-ES"/>
        </w:rPr>
        <w:t>8</w:t>
      </w:r>
      <w:r w:rsidRPr="00167AD2">
        <w:rPr>
          <w:b w:val="0"/>
          <w:sz w:val="24"/>
          <w:szCs w:val="24"/>
          <w:lang w:val="ca-ES"/>
        </w:rPr>
        <w:t xml:space="preserve">% amb </w:t>
      </w:r>
      <w:r w:rsidR="001B52F0">
        <w:rPr>
          <w:b w:val="0"/>
          <w:sz w:val="24"/>
          <w:szCs w:val="24"/>
          <w:lang w:val="ca-ES"/>
        </w:rPr>
        <w:t>52</w:t>
      </w:r>
      <w:r w:rsidRPr="00167AD2">
        <w:rPr>
          <w:b w:val="0"/>
          <w:sz w:val="24"/>
          <w:szCs w:val="24"/>
          <w:lang w:val="ca-ES"/>
        </w:rPr>
        <w:t xml:space="preserve"> expedients).</w:t>
      </w:r>
    </w:p>
    <w:p w:rsidR="00151CBE" w:rsidRPr="00EA5418" w:rsidRDefault="00151CBE" w:rsidP="00151CBE">
      <w:pPr>
        <w:pStyle w:val="TEXTBOLD"/>
        <w:spacing w:line="276" w:lineRule="auto"/>
        <w:rPr>
          <w:b w:val="0"/>
          <w:sz w:val="24"/>
          <w:szCs w:val="24"/>
          <w:lang w:val="ca-ES"/>
        </w:rPr>
      </w:pPr>
    </w:p>
    <w:p w:rsidR="00151CBE" w:rsidRDefault="00151CBE" w:rsidP="00151CBE">
      <w:pPr>
        <w:pStyle w:val="TEXTBOLD"/>
        <w:spacing w:line="276" w:lineRule="auto"/>
        <w:rPr>
          <w:b w:val="0"/>
          <w:sz w:val="24"/>
          <w:szCs w:val="24"/>
          <w:lang w:val="ca-ES"/>
        </w:rPr>
      </w:pPr>
      <w:r w:rsidRPr="00EA5418">
        <w:rPr>
          <w:b w:val="0"/>
          <w:sz w:val="24"/>
          <w:szCs w:val="24"/>
          <w:u w:val="single"/>
          <w:lang w:val="ca-ES"/>
        </w:rPr>
        <w:t>A nivell de vagues</w:t>
      </w:r>
      <w:r w:rsidRPr="00EA5418">
        <w:rPr>
          <w:b w:val="0"/>
          <w:sz w:val="24"/>
          <w:szCs w:val="24"/>
          <w:lang w:val="ca-ES"/>
        </w:rPr>
        <w:t xml:space="preserve">, </w:t>
      </w:r>
      <w:r w:rsidR="0061178B">
        <w:rPr>
          <w:b w:val="0"/>
          <w:sz w:val="24"/>
          <w:szCs w:val="24"/>
          <w:lang w:val="ca-ES"/>
        </w:rPr>
        <w:t xml:space="preserve">de gener a </w:t>
      </w:r>
      <w:r w:rsidR="001B52F0">
        <w:rPr>
          <w:b w:val="0"/>
          <w:sz w:val="24"/>
          <w:szCs w:val="24"/>
          <w:lang w:val="ca-ES"/>
        </w:rPr>
        <w:t>setembre</w:t>
      </w:r>
      <w:r>
        <w:rPr>
          <w:b w:val="0"/>
          <w:sz w:val="24"/>
          <w:szCs w:val="24"/>
          <w:lang w:val="ca-ES"/>
        </w:rPr>
        <w:t>,</w:t>
      </w:r>
      <w:r w:rsidRPr="00EA5418">
        <w:rPr>
          <w:b w:val="0"/>
          <w:sz w:val="24"/>
          <w:szCs w:val="24"/>
          <w:lang w:val="ca-ES"/>
        </w:rPr>
        <w:t xml:space="preserve"> s’han desconvocat un total de </w:t>
      </w:r>
      <w:r w:rsidR="001B52F0">
        <w:rPr>
          <w:b w:val="0"/>
          <w:sz w:val="24"/>
          <w:szCs w:val="24"/>
          <w:lang w:val="ca-ES"/>
        </w:rPr>
        <w:t>21</w:t>
      </w:r>
      <w:r w:rsidR="005A3445">
        <w:rPr>
          <w:b w:val="0"/>
          <w:sz w:val="24"/>
          <w:szCs w:val="24"/>
          <w:lang w:val="ca-ES"/>
        </w:rPr>
        <w:t xml:space="preserve"> </w:t>
      </w:r>
      <w:r w:rsidR="0061178B">
        <w:rPr>
          <w:b w:val="0"/>
          <w:sz w:val="24"/>
          <w:szCs w:val="24"/>
          <w:lang w:val="ca-ES"/>
        </w:rPr>
        <w:t>vagues</w:t>
      </w:r>
      <w:r w:rsidR="005A3445">
        <w:rPr>
          <w:b w:val="0"/>
          <w:sz w:val="24"/>
          <w:szCs w:val="24"/>
          <w:lang w:val="ca-ES"/>
        </w:rPr>
        <w:t xml:space="preserve"> (</w:t>
      </w:r>
      <w:r w:rsidR="001B52F0">
        <w:rPr>
          <w:b w:val="0"/>
          <w:sz w:val="24"/>
          <w:szCs w:val="24"/>
          <w:lang w:val="ca-ES"/>
        </w:rPr>
        <w:t>4</w:t>
      </w:r>
      <w:r w:rsidR="005A3445">
        <w:rPr>
          <w:b w:val="0"/>
          <w:sz w:val="24"/>
          <w:szCs w:val="24"/>
          <w:lang w:val="ca-ES"/>
        </w:rPr>
        <w:t xml:space="preserve"> de caràcter indefinit)</w:t>
      </w:r>
      <w:r w:rsidRPr="00EA5418">
        <w:rPr>
          <w:b w:val="0"/>
          <w:sz w:val="24"/>
          <w:szCs w:val="24"/>
          <w:lang w:val="ca-ES"/>
        </w:rPr>
        <w:t xml:space="preserve">, amb un total de </w:t>
      </w:r>
      <w:r w:rsidR="001B52F0">
        <w:rPr>
          <w:b w:val="0"/>
          <w:sz w:val="24"/>
          <w:szCs w:val="24"/>
          <w:lang w:val="ca-ES"/>
        </w:rPr>
        <w:t>82.607</w:t>
      </w:r>
      <w:r w:rsidRPr="00EA5418">
        <w:rPr>
          <w:b w:val="0"/>
          <w:sz w:val="24"/>
          <w:szCs w:val="24"/>
          <w:lang w:val="ca-ES"/>
        </w:rPr>
        <w:t xml:space="preserve"> hores desconvocades i amb un valor </w:t>
      </w:r>
      <w:r w:rsidR="001B52F0">
        <w:rPr>
          <w:b w:val="0"/>
          <w:sz w:val="24"/>
          <w:szCs w:val="24"/>
          <w:lang w:val="ca-ES"/>
        </w:rPr>
        <w:t xml:space="preserve">anual </w:t>
      </w:r>
      <w:r w:rsidRPr="00EA5418">
        <w:rPr>
          <w:b w:val="0"/>
          <w:sz w:val="24"/>
          <w:szCs w:val="24"/>
          <w:lang w:val="ca-ES"/>
        </w:rPr>
        <w:t xml:space="preserve">d’hores desconvocades de </w:t>
      </w:r>
      <w:r w:rsidR="001B52F0">
        <w:rPr>
          <w:b w:val="0"/>
          <w:sz w:val="24"/>
          <w:szCs w:val="24"/>
          <w:lang w:val="ca-ES"/>
        </w:rPr>
        <w:t>1.225.887,88</w:t>
      </w:r>
      <w:r>
        <w:rPr>
          <w:b w:val="0"/>
          <w:sz w:val="24"/>
          <w:szCs w:val="24"/>
          <w:lang w:val="ca-ES"/>
        </w:rPr>
        <w:t xml:space="preserve"> </w:t>
      </w:r>
      <w:r w:rsidRPr="00EA5418">
        <w:rPr>
          <w:b w:val="0"/>
          <w:sz w:val="24"/>
          <w:szCs w:val="24"/>
          <w:lang w:val="ca-ES"/>
        </w:rPr>
        <w:t>euros</w:t>
      </w:r>
      <w:r w:rsidRPr="00EA5418">
        <w:rPr>
          <w:rStyle w:val="Refdenotaalpie"/>
          <w:rFonts w:cs="RotisSansSerifStd-Regular"/>
          <w:b w:val="0"/>
          <w:sz w:val="24"/>
          <w:szCs w:val="24"/>
          <w:lang w:val="ca-ES"/>
        </w:rPr>
        <w:footnoteReference w:id="11"/>
      </w:r>
      <w:r>
        <w:rPr>
          <w:b w:val="0"/>
          <w:sz w:val="24"/>
          <w:szCs w:val="24"/>
          <w:lang w:val="ca-ES"/>
        </w:rPr>
        <w:t xml:space="preserve">. </w:t>
      </w:r>
    </w:p>
    <w:p w:rsidR="00151CBE" w:rsidRPr="00AD57D6" w:rsidRDefault="00151CBE" w:rsidP="00151CBE">
      <w:pPr>
        <w:rPr>
          <w:rFonts w:ascii="Rotis Sans Serif Std" w:hAnsi="Rotis Sans Serif Std" w:cs="RotisSansSerifStd-Regular"/>
          <w:color w:val="5E6061"/>
          <w:lang w:eastAsia="es-ES_tradnl"/>
        </w:rPr>
      </w:pPr>
    </w:p>
    <w:p w:rsidR="00151CBE" w:rsidRPr="00A77CFA" w:rsidRDefault="00151CBE" w:rsidP="00151CBE">
      <w:pPr>
        <w:pStyle w:val="TEXTBOLD"/>
        <w:spacing w:line="276" w:lineRule="auto"/>
        <w:rPr>
          <w:b w:val="0"/>
          <w:sz w:val="24"/>
          <w:szCs w:val="24"/>
          <w:lang w:val="ca-ES"/>
        </w:rPr>
      </w:pPr>
      <w:r w:rsidRPr="00A77CFA">
        <w:rPr>
          <w:b w:val="0"/>
          <w:sz w:val="24"/>
          <w:szCs w:val="24"/>
          <w:u w:val="single"/>
          <w:lang w:val="ca-ES"/>
        </w:rPr>
        <w:t>Segons l’àmbit territorial</w:t>
      </w:r>
      <w:r w:rsidRPr="00A77CFA">
        <w:rPr>
          <w:b w:val="0"/>
          <w:sz w:val="24"/>
          <w:szCs w:val="24"/>
          <w:lang w:val="ca-ES"/>
        </w:rPr>
        <w:t>, durant</w:t>
      </w:r>
      <w:r w:rsidR="00AA71CF">
        <w:rPr>
          <w:b w:val="0"/>
          <w:sz w:val="24"/>
          <w:szCs w:val="24"/>
          <w:lang w:val="ca-ES"/>
        </w:rPr>
        <w:t xml:space="preserve"> el període gener-</w:t>
      </w:r>
      <w:r w:rsidR="008726D1">
        <w:rPr>
          <w:b w:val="0"/>
          <w:sz w:val="24"/>
          <w:szCs w:val="24"/>
          <w:lang w:val="ca-ES"/>
        </w:rPr>
        <w:t>setembre</w:t>
      </w:r>
      <w:r w:rsidR="00AA71CF">
        <w:rPr>
          <w:b w:val="0"/>
          <w:sz w:val="24"/>
          <w:szCs w:val="24"/>
          <w:lang w:val="ca-ES"/>
        </w:rPr>
        <w:t xml:space="preserve">, a </w:t>
      </w:r>
      <w:r w:rsidRPr="00FB6BBC">
        <w:rPr>
          <w:b w:val="0"/>
          <w:sz w:val="24"/>
          <w:szCs w:val="24"/>
          <w:u w:val="single"/>
          <w:lang w:val="ca-ES"/>
        </w:rPr>
        <w:t>Barcelona</w:t>
      </w:r>
      <w:r w:rsidRPr="00A77CFA">
        <w:rPr>
          <w:b w:val="0"/>
          <w:sz w:val="24"/>
          <w:szCs w:val="24"/>
          <w:lang w:val="ca-ES"/>
        </w:rPr>
        <w:t xml:space="preserve"> s’han presentat un total de </w:t>
      </w:r>
      <w:r w:rsidR="008726D1">
        <w:rPr>
          <w:b w:val="0"/>
          <w:sz w:val="24"/>
          <w:szCs w:val="24"/>
          <w:lang w:val="ca-ES"/>
        </w:rPr>
        <w:t>586</w:t>
      </w:r>
      <w:r w:rsidR="005A3445">
        <w:rPr>
          <w:b w:val="0"/>
          <w:sz w:val="24"/>
          <w:szCs w:val="24"/>
          <w:lang w:val="ca-ES"/>
        </w:rPr>
        <w:t xml:space="preserve"> </w:t>
      </w:r>
      <w:r w:rsidRPr="00A77CFA">
        <w:rPr>
          <w:b w:val="0"/>
          <w:sz w:val="24"/>
          <w:szCs w:val="24"/>
          <w:lang w:val="ca-ES"/>
        </w:rPr>
        <w:t>expedients, dels quals</w:t>
      </w:r>
      <w:r w:rsidR="008726D1">
        <w:rPr>
          <w:b w:val="0"/>
          <w:sz w:val="24"/>
          <w:szCs w:val="24"/>
          <w:lang w:val="ca-ES"/>
        </w:rPr>
        <w:t xml:space="preserve"> 2 han sigut conciliacions, 425 </w:t>
      </w:r>
      <w:r w:rsidR="00B1472F">
        <w:rPr>
          <w:b w:val="0"/>
          <w:sz w:val="24"/>
          <w:szCs w:val="24"/>
          <w:lang w:val="ca-ES"/>
        </w:rPr>
        <w:t xml:space="preserve">han sigut </w:t>
      </w:r>
      <w:r w:rsidRPr="00A77CFA">
        <w:rPr>
          <w:b w:val="0"/>
          <w:sz w:val="24"/>
          <w:szCs w:val="24"/>
          <w:lang w:val="ca-ES"/>
        </w:rPr>
        <w:t xml:space="preserve">conciliacions i </w:t>
      </w:r>
      <w:r w:rsidR="008726D1">
        <w:rPr>
          <w:b w:val="0"/>
          <w:sz w:val="24"/>
          <w:szCs w:val="24"/>
          <w:lang w:val="ca-ES"/>
        </w:rPr>
        <w:t>159</w:t>
      </w:r>
      <w:r w:rsidRPr="00A77CFA">
        <w:rPr>
          <w:b w:val="0"/>
          <w:sz w:val="24"/>
          <w:szCs w:val="24"/>
          <w:lang w:val="ca-ES"/>
        </w:rPr>
        <w:t xml:space="preserve"> mediacions.</w:t>
      </w:r>
    </w:p>
    <w:p w:rsidR="00151CBE" w:rsidRPr="00A77CFA" w:rsidRDefault="00151CBE" w:rsidP="00151CBE">
      <w:pPr>
        <w:pStyle w:val="TEXTBOLD"/>
        <w:spacing w:line="276" w:lineRule="auto"/>
        <w:rPr>
          <w:b w:val="0"/>
          <w:sz w:val="24"/>
          <w:szCs w:val="24"/>
          <w:lang w:val="ca-ES"/>
        </w:rPr>
      </w:pPr>
    </w:p>
    <w:p w:rsidR="00151CBE" w:rsidRDefault="00151CBE" w:rsidP="00151CBE">
      <w:pPr>
        <w:pStyle w:val="TEXTBOLD"/>
        <w:spacing w:line="276" w:lineRule="auto"/>
        <w:rPr>
          <w:b w:val="0"/>
          <w:sz w:val="24"/>
          <w:szCs w:val="24"/>
          <w:lang w:val="ca-ES"/>
        </w:rPr>
      </w:pPr>
      <w:proofErr w:type="spellStart"/>
      <w:r w:rsidRPr="00A77CFA">
        <w:rPr>
          <w:b w:val="0"/>
          <w:sz w:val="24"/>
          <w:szCs w:val="24"/>
          <w:lang w:val="ca-ES"/>
        </w:rPr>
        <w:t>Interanualment</w:t>
      </w:r>
      <w:proofErr w:type="spellEnd"/>
      <w:r w:rsidRPr="00A77CFA">
        <w:rPr>
          <w:b w:val="0"/>
          <w:sz w:val="24"/>
          <w:szCs w:val="24"/>
          <w:lang w:val="ca-ES"/>
        </w:rPr>
        <w:t xml:space="preserve">, el total d’expedients s’ha </w:t>
      </w:r>
      <w:r w:rsidR="00B1472F">
        <w:rPr>
          <w:b w:val="0"/>
          <w:sz w:val="24"/>
          <w:szCs w:val="24"/>
          <w:lang w:val="ca-ES"/>
        </w:rPr>
        <w:t>reduït</w:t>
      </w:r>
      <w:r w:rsidRPr="00A77CFA">
        <w:rPr>
          <w:b w:val="0"/>
          <w:sz w:val="24"/>
          <w:szCs w:val="24"/>
          <w:lang w:val="ca-ES"/>
        </w:rPr>
        <w:t xml:space="preserve"> en un </w:t>
      </w:r>
      <w:r w:rsidR="008726D1">
        <w:rPr>
          <w:b w:val="0"/>
          <w:sz w:val="24"/>
          <w:szCs w:val="24"/>
          <w:lang w:val="ca-ES"/>
        </w:rPr>
        <w:t>14,95</w:t>
      </w:r>
      <w:r w:rsidRPr="00A77CFA">
        <w:rPr>
          <w:b w:val="0"/>
          <w:sz w:val="24"/>
          <w:szCs w:val="24"/>
          <w:lang w:val="ca-ES"/>
        </w:rPr>
        <w:t>%</w:t>
      </w:r>
      <w:r>
        <w:rPr>
          <w:b w:val="0"/>
          <w:sz w:val="24"/>
          <w:szCs w:val="24"/>
          <w:lang w:val="ca-ES"/>
        </w:rPr>
        <w:t xml:space="preserve"> (</w:t>
      </w:r>
      <w:r w:rsidR="00B1472F">
        <w:rPr>
          <w:b w:val="0"/>
          <w:sz w:val="24"/>
          <w:szCs w:val="24"/>
          <w:lang w:val="ca-ES"/>
        </w:rPr>
        <w:t>-</w:t>
      </w:r>
      <w:r w:rsidR="008726D1">
        <w:rPr>
          <w:b w:val="0"/>
          <w:sz w:val="24"/>
          <w:szCs w:val="24"/>
          <w:lang w:val="ca-ES"/>
        </w:rPr>
        <w:t>103</w:t>
      </w:r>
      <w:r>
        <w:rPr>
          <w:b w:val="0"/>
          <w:sz w:val="24"/>
          <w:szCs w:val="24"/>
          <w:lang w:val="ca-ES"/>
        </w:rPr>
        <w:t xml:space="preserve"> expedients)</w:t>
      </w:r>
      <w:r w:rsidRPr="00A77CFA">
        <w:rPr>
          <w:b w:val="0"/>
          <w:sz w:val="24"/>
          <w:szCs w:val="24"/>
          <w:lang w:val="ca-ES"/>
        </w:rPr>
        <w:t xml:space="preserve">, registrant-se un </w:t>
      </w:r>
      <w:r w:rsidR="00B1472F">
        <w:rPr>
          <w:b w:val="0"/>
          <w:sz w:val="24"/>
          <w:szCs w:val="24"/>
          <w:lang w:val="ca-ES"/>
        </w:rPr>
        <w:t>decreixement</w:t>
      </w:r>
      <w:r w:rsidRPr="00A77CFA">
        <w:rPr>
          <w:b w:val="0"/>
          <w:sz w:val="24"/>
          <w:szCs w:val="24"/>
          <w:lang w:val="ca-ES"/>
        </w:rPr>
        <w:t xml:space="preserve"> en</w:t>
      </w:r>
      <w:r w:rsidR="00BB7724">
        <w:rPr>
          <w:b w:val="0"/>
          <w:sz w:val="24"/>
          <w:szCs w:val="24"/>
          <w:lang w:val="ca-ES"/>
        </w:rPr>
        <w:t xml:space="preserve"> els arbitratges i </w:t>
      </w:r>
      <w:r w:rsidR="00AA71CF">
        <w:rPr>
          <w:b w:val="0"/>
          <w:sz w:val="24"/>
          <w:szCs w:val="24"/>
          <w:lang w:val="ca-ES"/>
        </w:rPr>
        <w:t xml:space="preserve">les conciliacions i </w:t>
      </w:r>
      <w:r w:rsidR="00BB7724">
        <w:rPr>
          <w:b w:val="0"/>
          <w:sz w:val="24"/>
          <w:szCs w:val="24"/>
          <w:lang w:val="ca-ES"/>
        </w:rPr>
        <w:t xml:space="preserve">un increment en les </w:t>
      </w:r>
      <w:r w:rsidR="00AA71CF">
        <w:rPr>
          <w:b w:val="0"/>
          <w:sz w:val="24"/>
          <w:szCs w:val="24"/>
          <w:lang w:val="ca-ES"/>
        </w:rPr>
        <w:t>mediacions</w:t>
      </w:r>
      <w:r w:rsidRPr="00A77CFA">
        <w:rPr>
          <w:b w:val="0"/>
          <w:sz w:val="24"/>
          <w:szCs w:val="24"/>
          <w:lang w:val="ca-ES"/>
        </w:rPr>
        <w:t xml:space="preserve">. En aquest sentit, els arbitratges s’han </w:t>
      </w:r>
      <w:r w:rsidR="00B1472F">
        <w:rPr>
          <w:b w:val="0"/>
          <w:sz w:val="24"/>
          <w:szCs w:val="24"/>
          <w:lang w:val="ca-ES"/>
        </w:rPr>
        <w:t xml:space="preserve">reduït </w:t>
      </w:r>
      <w:r w:rsidR="008726D1">
        <w:rPr>
          <w:b w:val="0"/>
          <w:sz w:val="24"/>
          <w:szCs w:val="24"/>
          <w:lang w:val="ca-ES"/>
        </w:rPr>
        <w:t>81,82</w:t>
      </w:r>
      <w:r w:rsidR="00B1472F">
        <w:rPr>
          <w:b w:val="0"/>
          <w:sz w:val="24"/>
          <w:szCs w:val="24"/>
          <w:lang w:val="ca-ES"/>
        </w:rPr>
        <w:t>%</w:t>
      </w:r>
      <w:r w:rsidRPr="00A77CFA">
        <w:rPr>
          <w:b w:val="0"/>
          <w:sz w:val="24"/>
          <w:szCs w:val="24"/>
          <w:lang w:val="ca-ES"/>
        </w:rPr>
        <w:t>, les conciliacions</w:t>
      </w:r>
      <w:r w:rsidR="00B1472F">
        <w:rPr>
          <w:b w:val="0"/>
          <w:sz w:val="24"/>
          <w:szCs w:val="24"/>
          <w:lang w:val="ca-ES"/>
        </w:rPr>
        <w:t xml:space="preserve"> en un </w:t>
      </w:r>
      <w:r w:rsidR="008726D1">
        <w:rPr>
          <w:b w:val="0"/>
          <w:sz w:val="24"/>
          <w:szCs w:val="24"/>
          <w:lang w:val="ca-ES"/>
        </w:rPr>
        <w:t>20,71</w:t>
      </w:r>
      <w:r w:rsidRPr="00A77CFA">
        <w:rPr>
          <w:b w:val="0"/>
          <w:sz w:val="24"/>
          <w:szCs w:val="24"/>
          <w:lang w:val="ca-ES"/>
        </w:rPr>
        <w:t>%, i les mediacions</w:t>
      </w:r>
      <w:r w:rsidR="008726D1">
        <w:rPr>
          <w:b w:val="0"/>
          <w:sz w:val="24"/>
          <w:szCs w:val="24"/>
          <w:lang w:val="ca-ES"/>
        </w:rPr>
        <w:t xml:space="preserve"> s’han incrementat </w:t>
      </w:r>
      <w:r w:rsidRPr="00A77CFA">
        <w:rPr>
          <w:b w:val="0"/>
          <w:sz w:val="24"/>
          <w:szCs w:val="24"/>
          <w:lang w:val="ca-ES"/>
        </w:rPr>
        <w:t xml:space="preserve"> en un </w:t>
      </w:r>
      <w:r w:rsidR="008726D1">
        <w:rPr>
          <w:b w:val="0"/>
          <w:sz w:val="24"/>
          <w:szCs w:val="24"/>
          <w:lang w:val="ca-ES"/>
        </w:rPr>
        <w:t>11,97</w:t>
      </w:r>
      <w:r w:rsidRPr="00A77CFA">
        <w:rPr>
          <w:b w:val="0"/>
          <w:sz w:val="24"/>
          <w:szCs w:val="24"/>
          <w:lang w:val="ca-ES"/>
        </w:rPr>
        <w:t xml:space="preserve">%. </w:t>
      </w:r>
    </w:p>
    <w:p w:rsidR="00B1472F" w:rsidRPr="00A77CFA" w:rsidRDefault="00B1472F" w:rsidP="00151CBE">
      <w:pPr>
        <w:pStyle w:val="TEXTBOLD"/>
        <w:spacing w:line="276" w:lineRule="auto"/>
        <w:rPr>
          <w:b w:val="0"/>
          <w:sz w:val="24"/>
          <w:szCs w:val="24"/>
          <w:lang w:val="ca-ES"/>
        </w:rPr>
      </w:pPr>
    </w:p>
    <w:p w:rsidR="00151CBE" w:rsidRPr="00A77CFA" w:rsidRDefault="00151CBE" w:rsidP="00151CBE">
      <w:pPr>
        <w:pStyle w:val="TEXTBOLD"/>
        <w:spacing w:line="276" w:lineRule="auto"/>
        <w:rPr>
          <w:b w:val="0"/>
          <w:sz w:val="24"/>
          <w:szCs w:val="24"/>
          <w:lang w:val="ca-ES"/>
        </w:rPr>
      </w:pPr>
      <w:r>
        <w:rPr>
          <w:b w:val="0"/>
          <w:sz w:val="24"/>
          <w:szCs w:val="24"/>
          <w:u w:val="single"/>
          <w:lang w:val="ca-ES"/>
        </w:rPr>
        <w:t>A</w:t>
      </w:r>
      <w:r w:rsidRPr="00A77CFA">
        <w:rPr>
          <w:b w:val="0"/>
          <w:sz w:val="24"/>
          <w:szCs w:val="24"/>
          <w:u w:val="single"/>
          <w:lang w:val="ca-ES"/>
        </w:rPr>
        <w:t xml:space="preserve"> Girona</w:t>
      </w:r>
      <w:r w:rsidR="00CE7E82">
        <w:rPr>
          <w:b w:val="0"/>
          <w:sz w:val="24"/>
          <w:szCs w:val="24"/>
          <w:u w:val="single"/>
          <w:lang w:val="ca-ES"/>
        </w:rPr>
        <w:t>,</w:t>
      </w:r>
      <w:r w:rsidR="00CE7E82">
        <w:rPr>
          <w:b w:val="0"/>
          <w:sz w:val="24"/>
          <w:szCs w:val="24"/>
          <w:lang w:val="ca-ES"/>
        </w:rPr>
        <w:t xml:space="preserve"> </w:t>
      </w:r>
      <w:r w:rsidR="00FB6BBC" w:rsidRPr="00A77CFA">
        <w:rPr>
          <w:b w:val="0"/>
          <w:sz w:val="24"/>
          <w:szCs w:val="24"/>
          <w:lang w:val="ca-ES"/>
        </w:rPr>
        <w:t>durant</w:t>
      </w:r>
      <w:r w:rsidR="00FB6BBC">
        <w:rPr>
          <w:b w:val="0"/>
          <w:sz w:val="24"/>
          <w:szCs w:val="24"/>
          <w:lang w:val="ca-ES"/>
        </w:rPr>
        <w:t xml:space="preserve"> el període gener-</w:t>
      </w:r>
      <w:r w:rsidR="008726D1">
        <w:rPr>
          <w:b w:val="0"/>
          <w:sz w:val="24"/>
          <w:szCs w:val="24"/>
          <w:lang w:val="ca-ES"/>
        </w:rPr>
        <w:t>setembre</w:t>
      </w:r>
      <w:r w:rsidR="00FB6BBC" w:rsidRPr="00A77CFA">
        <w:rPr>
          <w:b w:val="0"/>
          <w:sz w:val="24"/>
          <w:szCs w:val="24"/>
          <w:lang w:val="ca-ES"/>
        </w:rPr>
        <w:t xml:space="preserve"> </w:t>
      </w:r>
      <w:r w:rsidR="00FB6BBC">
        <w:rPr>
          <w:b w:val="0"/>
          <w:sz w:val="24"/>
          <w:szCs w:val="24"/>
          <w:lang w:val="ca-ES"/>
        </w:rPr>
        <w:t xml:space="preserve">s’han </w:t>
      </w:r>
      <w:r w:rsidRPr="00A77CFA">
        <w:rPr>
          <w:b w:val="0"/>
          <w:sz w:val="24"/>
          <w:szCs w:val="24"/>
          <w:lang w:val="ca-ES"/>
        </w:rPr>
        <w:t xml:space="preserve">presentat un total de </w:t>
      </w:r>
      <w:r w:rsidR="008726D1">
        <w:rPr>
          <w:b w:val="0"/>
          <w:sz w:val="24"/>
          <w:szCs w:val="24"/>
          <w:lang w:val="ca-ES"/>
        </w:rPr>
        <w:t>35</w:t>
      </w:r>
      <w:r w:rsidR="00B1472F">
        <w:rPr>
          <w:b w:val="0"/>
          <w:sz w:val="24"/>
          <w:szCs w:val="24"/>
          <w:lang w:val="ca-ES"/>
        </w:rPr>
        <w:t xml:space="preserve"> </w:t>
      </w:r>
      <w:r w:rsidRPr="00A77CFA">
        <w:rPr>
          <w:b w:val="0"/>
          <w:sz w:val="24"/>
          <w:szCs w:val="24"/>
          <w:lang w:val="ca-ES"/>
        </w:rPr>
        <w:t xml:space="preserve">expedients, dels quals </w:t>
      </w:r>
      <w:r w:rsidR="008726D1">
        <w:rPr>
          <w:b w:val="0"/>
          <w:sz w:val="24"/>
          <w:szCs w:val="24"/>
          <w:lang w:val="ca-ES"/>
        </w:rPr>
        <w:t xml:space="preserve">27 </w:t>
      </w:r>
      <w:r w:rsidR="00FB6BBC">
        <w:rPr>
          <w:b w:val="0"/>
          <w:sz w:val="24"/>
          <w:szCs w:val="24"/>
          <w:lang w:val="ca-ES"/>
        </w:rPr>
        <w:t>han sigut</w:t>
      </w:r>
      <w:r w:rsidRPr="00A77CFA">
        <w:rPr>
          <w:b w:val="0"/>
          <w:sz w:val="24"/>
          <w:szCs w:val="24"/>
          <w:lang w:val="ca-ES"/>
        </w:rPr>
        <w:t xml:space="preserve"> conciliacions i </w:t>
      </w:r>
      <w:r w:rsidR="008726D1">
        <w:rPr>
          <w:b w:val="0"/>
          <w:sz w:val="24"/>
          <w:szCs w:val="24"/>
          <w:lang w:val="ca-ES"/>
        </w:rPr>
        <w:t>8</w:t>
      </w:r>
      <w:r w:rsidRPr="00A77CFA">
        <w:rPr>
          <w:b w:val="0"/>
          <w:sz w:val="24"/>
          <w:szCs w:val="24"/>
          <w:lang w:val="ca-ES"/>
        </w:rPr>
        <w:t xml:space="preserve"> mediacions. </w:t>
      </w:r>
    </w:p>
    <w:p w:rsidR="00151CBE" w:rsidRPr="004905FD" w:rsidRDefault="00151CBE" w:rsidP="00151CBE">
      <w:pPr>
        <w:pStyle w:val="TEXTBOLD"/>
        <w:spacing w:line="276" w:lineRule="auto"/>
        <w:rPr>
          <w:b w:val="0"/>
          <w:sz w:val="18"/>
          <w:szCs w:val="24"/>
          <w:lang w:val="ca-ES"/>
        </w:rPr>
      </w:pPr>
    </w:p>
    <w:p w:rsidR="00151CBE" w:rsidRDefault="00151CBE" w:rsidP="00151CBE">
      <w:pPr>
        <w:pStyle w:val="TEXTBOLD"/>
        <w:spacing w:line="276" w:lineRule="auto"/>
        <w:rPr>
          <w:b w:val="0"/>
          <w:sz w:val="24"/>
          <w:szCs w:val="24"/>
          <w:lang w:val="ca-ES"/>
        </w:rPr>
      </w:pPr>
      <w:proofErr w:type="spellStart"/>
      <w:r w:rsidRPr="00A77CFA">
        <w:rPr>
          <w:b w:val="0"/>
          <w:sz w:val="24"/>
          <w:szCs w:val="24"/>
          <w:u w:val="single"/>
          <w:lang w:val="ca-ES"/>
        </w:rPr>
        <w:t>Interanualmen</w:t>
      </w:r>
      <w:r w:rsidRPr="00A77CFA">
        <w:rPr>
          <w:b w:val="0"/>
          <w:sz w:val="24"/>
          <w:szCs w:val="24"/>
          <w:lang w:val="ca-ES"/>
        </w:rPr>
        <w:t>t</w:t>
      </w:r>
      <w:proofErr w:type="spellEnd"/>
      <w:r w:rsidRPr="00A77CFA">
        <w:rPr>
          <w:b w:val="0"/>
          <w:sz w:val="24"/>
          <w:szCs w:val="24"/>
          <w:lang w:val="ca-ES"/>
        </w:rPr>
        <w:t xml:space="preserve">, el total d’expedients </w:t>
      </w:r>
      <w:r w:rsidR="008E6EE1">
        <w:rPr>
          <w:b w:val="0"/>
          <w:sz w:val="24"/>
          <w:szCs w:val="24"/>
          <w:lang w:val="ca-ES"/>
        </w:rPr>
        <w:t>s’ha incrementat en 2 expedients (6,06%)</w:t>
      </w:r>
      <w:r w:rsidRPr="00A77CFA">
        <w:rPr>
          <w:b w:val="0"/>
          <w:sz w:val="24"/>
          <w:szCs w:val="24"/>
          <w:lang w:val="ca-ES"/>
        </w:rPr>
        <w:t xml:space="preserve"> respecte el mateix període del 201</w:t>
      </w:r>
      <w:r w:rsidR="00B1472F">
        <w:rPr>
          <w:b w:val="0"/>
          <w:sz w:val="24"/>
          <w:szCs w:val="24"/>
          <w:lang w:val="ca-ES"/>
        </w:rPr>
        <w:t>7</w:t>
      </w:r>
      <w:r w:rsidR="008E6EE1">
        <w:rPr>
          <w:b w:val="0"/>
          <w:sz w:val="24"/>
          <w:szCs w:val="24"/>
          <w:lang w:val="ca-ES"/>
        </w:rPr>
        <w:t>, i concretament</w:t>
      </w:r>
      <w:r w:rsidR="00BB7724">
        <w:rPr>
          <w:b w:val="0"/>
          <w:sz w:val="24"/>
          <w:szCs w:val="24"/>
          <w:lang w:val="ca-ES"/>
        </w:rPr>
        <w:t xml:space="preserve"> aquest dos expedient han sigut </w:t>
      </w:r>
      <w:r w:rsidR="008E6EE1">
        <w:rPr>
          <w:b w:val="0"/>
          <w:sz w:val="24"/>
          <w:szCs w:val="24"/>
          <w:lang w:val="ca-ES"/>
        </w:rPr>
        <w:t>conciliacions (8%).</w:t>
      </w:r>
    </w:p>
    <w:p w:rsidR="00BB7724" w:rsidRDefault="00BB7724" w:rsidP="00151CBE">
      <w:pPr>
        <w:pStyle w:val="TEXTBOLD"/>
        <w:spacing w:line="276" w:lineRule="auto"/>
        <w:rPr>
          <w:b w:val="0"/>
          <w:sz w:val="24"/>
          <w:szCs w:val="24"/>
          <w:lang w:val="ca-ES"/>
        </w:rPr>
      </w:pPr>
    </w:p>
    <w:p w:rsidR="00151CBE" w:rsidRPr="004E39BA" w:rsidRDefault="00151CBE" w:rsidP="00151CBE">
      <w:pPr>
        <w:pStyle w:val="TEXTBOLD"/>
        <w:spacing w:line="276" w:lineRule="auto"/>
        <w:rPr>
          <w:b w:val="0"/>
          <w:sz w:val="24"/>
          <w:szCs w:val="24"/>
          <w:lang w:val="ca-ES"/>
        </w:rPr>
      </w:pPr>
      <w:r w:rsidRPr="004E39BA">
        <w:rPr>
          <w:b w:val="0"/>
          <w:sz w:val="24"/>
          <w:szCs w:val="24"/>
          <w:u w:val="single"/>
          <w:lang w:val="ca-ES"/>
        </w:rPr>
        <w:t>A Lleida,</w:t>
      </w:r>
      <w:r w:rsidRPr="004E39BA">
        <w:rPr>
          <w:b w:val="0"/>
          <w:sz w:val="24"/>
          <w:szCs w:val="24"/>
          <w:lang w:val="ca-ES"/>
        </w:rPr>
        <w:t xml:space="preserve"> </w:t>
      </w:r>
      <w:r w:rsidR="00FB6BBC" w:rsidRPr="00A77CFA">
        <w:rPr>
          <w:b w:val="0"/>
          <w:sz w:val="24"/>
          <w:szCs w:val="24"/>
          <w:lang w:val="ca-ES"/>
        </w:rPr>
        <w:t>durant</w:t>
      </w:r>
      <w:r w:rsidR="00FB6BBC">
        <w:rPr>
          <w:b w:val="0"/>
          <w:sz w:val="24"/>
          <w:szCs w:val="24"/>
          <w:lang w:val="ca-ES"/>
        </w:rPr>
        <w:t xml:space="preserve"> el període gener-</w:t>
      </w:r>
      <w:r w:rsidR="008E6EE1">
        <w:rPr>
          <w:b w:val="0"/>
          <w:sz w:val="24"/>
          <w:szCs w:val="24"/>
          <w:lang w:val="ca-ES"/>
        </w:rPr>
        <w:t>setembre</w:t>
      </w:r>
      <w:r w:rsidR="00FB6BBC">
        <w:rPr>
          <w:b w:val="0"/>
          <w:sz w:val="24"/>
          <w:szCs w:val="24"/>
          <w:lang w:val="ca-ES"/>
        </w:rPr>
        <w:t>,</w:t>
      </w:r>
      <w:r w:rsidR="00FB6BBC" w:rsidRPr="004E39BA">
        <w:rPr>
          <w:b w:val="0"/>
          <w:sz w:val="24"/>
          <w:szCs w:val="24"/>
          <w:lang w:val="ca-ES"/>
        </w:rPr>
        <w:t xml:space="preserve"> </w:t>
      </w:r>
      <w:r w:rsidRPr="004E39BA">
        <w:rPr>
          <w:b w:val="0"/>
          <w:sz w:val="24"/>
          <w:szCs w:val="24"/>
          <w:lang w:val="ca-ES"/>
        </w:rPr>
        <w:t xml:space="preserve">s’han presentat un total de </w:t>
      </w:r>
      <w:r w:rsidR="008E6EE1">
        <w:rPr>
          <w:b w:val="0"/>
          <w:sz w:val="24"/>
          <w:szCs w:val="24"/>
          <w:lang w:val="ca-ES"/>
        </w:rPr>
        <w:t>17</w:t>
      </w:r>
      <w:r w:rsidRPr="004E39BA">
        <w:rPr>
          <w:b w:val="0"/>
          <w:sz w:val="24"/>
          <w:szCs w:val="24"/>
          <w:lang w:val="ca-ES"/>
        </w:rPr>
        <w:t xml:space="preserve"> expedients, dels quals </w:t>
      </w:r>
      <w:r w:rsidR="008E6EE1">
        <w:rPr>
          <w:b w:val="0"/>
          <w:sz w:val="24"/>
          <w:szCs w:val="24"/>
          <w:lang w:val="ca-ES"/>
        </w:rPr>
        <w:t>1</w:t>
      </w:r>
      <w:r w:rsidR="00B1472F">
        <w:rPr>
          <w:b w:val="0"/>
          <w:sz w:val="24"/>
          <w:szCs w:val="24"/>
          <w:lang w:val="ca-ES"/>
        </w:rPr>
        <w:t>4</w:t>
      </w:r>
      <w:r w:rsidRPr="004E39BA">
        <w:rPr>
          <w:b w:val="0"/>
          <w:sz w:val="24"/>
          <w:szCs w:val="24"/>
          <w:lang w:val="ca-ES"/>
        </w:rPr>
        <w:t xml:space="preserve"> han sigut conciliacions i </w:t>
      </w:r>
      <w:r w:rsidR="008E6EE1">
        <w:rPr>
          <w:b w:val="0"/>
          <w:sz w:val="24"/>
          <w:szCs w:val="24"/>
          <w:lang w:val="ca-ES"/>
        </w:rPr>
        <w:t>3</w:t>
      </w:r>
      <w:r w:rsidRPr="004E39BA">
        <w:rPr>
          <w:b w:val="0"/>
          <w:sz w:val="24"/>
          <w:szCs w:val="24"/>
          <w:lang w:val="ca-ES"/>
        </w:rPr>
        <w:t xml:space="preserve"> </w:t>
      </w:r>
      <w:r w:rsidR="008E6EE1" w:rsidRPr="004E39BA">
        <w:rPr>
          <w:b w:val="0"/>
          <w:sz w:val="24"/>
          <w:szCs w:val="24"/>
          <w:lang w:val="ca-ES"/>
        </w:rPr>
        <w:t>mediaci</w:t>
      </w:r>
      <w:r w:rsidR="008E6EE1">
        <w:rPr>
          <w:b w:val="0"/>
          <w:sz w:val="24"/>
          <w:szCs w:val="24"/>
          <w:lang w:val="ca-ES"/>
        </w:rPr>
        <w:t>ons</w:t>
      </w:r>
      <w:r w:rsidRPr="004E39BA">
        <w:rPr>
          <w:b w:val="0"/>
          <w:sz w:val="24"/>
          <w:szCs w:val="24"/>
          <w:lang w:val="ca-ES"/>
        </w:rPr>
        <w:t>.</w:t>
      </w:r>
    </w:p>
    <w:p w:rsidR="00151CBE" w:rsidRPr="004905FD" w:rsidRDefault="00151CBE" w:rsidP="00151CBE">
      <w:pPr>
        <w:pStyle w:val="TEXTBOLD"/>
        <w:spacing w:line="276" w:lineRule="auto"/>
        <w:rPr>
          <w:b w:val="0"/>
          <w:sz w:val="18"/>
          <w:szCs w:val="24"/>
          <w:lang w:val="ca-ES"/>
        </w:rPr>
      </w:pPr>
    </w:p>
    <w:p w:rsidR="00151CBE" w:rsidRDefault="00151CBE" w:rsidP="00151CBE">
      <w:pPr>
        <w:pStyle w:val="TEXTBOLD"/>
        <w:spacing w:line="276" w:lineRule="auto"/>
        <w:rPr>
          <w:b w:val="0"/>
          <w:sz w:val="24"/>
          <w:szCs w:val="24"/>
          <w:lang w:val="ca-ES"/>
        </w:rPr>
      </w:pPr>
      <w:proofErr w:type="spellStart"/>
      <w:r w:rsidRPr="004E39BA">
        <w:rPr>
          <w:b w:val="0"/>
          <w:sz w:val="24"/>
          <w:szCs w:val="24"/>
          <w:u w:val="single"/>
          <w:lang w:val="ca-ES"/>
        </w:rPr>
        <w:t>Interanualmen</w:t>
      </w:r>
      <w:r w:rsidR="00D836A3">
        <w:rPr>
          <w:b w:val="0"/>
          <w:sz w:val="24"/>
          <w:szCs w:val="24"/>
          <w:lang w:val="ca-ES"/>
        </w:rPr>
        <w:t>t</w:t>
      </w:r>
      <w:proofErr w:type="spellEnd"/>
      <w:r w:rsidR="00D836A3">
        <w:rPr>
          <w:b w:val="0"/>
          <w:sz w:val="24"/>
          <w:szCs w:val="24"/>
          <w:lang w:val="ca-ES"/>
        </w:rPr>
        <w:t xml:space="preserve">, </w:t>
      </w:r>
      <w:r w:rsidRPr="004E39BA">
        <w:rPr>
          <w:b w:val="0"/>
          <w:sz w:val="24"/>
          <w:szCs w:val="24"/>
          <w:lang w:val="ca-ES"/>
        </w:rPr>
        <w:t xml:space="preserve">el total d’expedients </w:t>
      </w:r>
      <w:r w:rsidR="00B1472F">
        <w:rPr>
          <w:b w:val="0"/>
          <w:sz w:val="24"/>
          <w:szCs w:val="24"/>
          <w:lang w:val="ca-ES"/>
        </w:rPr>
        <w:t>s’</w:t>
      </w:r>
      <w:r w:rsidRPr="004E39BA">
        <w:rPr>
          <w:b w:val="0"/>
          <w:sz w:val="24"/>
          <w:szCs w:val="24"/>
          <w:lang w:val="ca-ES"/>
        </w:rPr>
        <w:t xml:space="preserve">ha </w:t>
      </w:r>
      <w:r w:rsidR="00B1472F">
        <w:rPr>
          <w:b w:val="0"/>
          <w:sz w:val="24"/>
          <w:szCs w:val="24"/>
          <w:lang w:val="ca-ES"/>
        </w:rPr>
        <w:t xml:space="preserve">incrementat </w:t>
      </w:r>
      <w:r w:rsidR="00FB6BBC">
        <w:rPr>
          <w:b w:val="0"/>
          <w:sz w:val="24"/>
          <w:szCs w:val="24"/>
          <w:lang w:val="ca-ES"/>
        </w:rPr>
        <w:t>en</w:t>
      </w:r>
      <w:r w:rsidRPr="004E39BA">
        <w:rPr>
          <w:b w:val="0"/>
          <w:sz w:val="24"/>
          <w:szCs w:val="24"/>
          <w:lang w:val="ca-ES"/>
        </w:rPr>
        <w:t xml:space="preserve"> un </w:t>
      </w:r>
      <w:r w:rsidR="008E6EE1">
        <w:rPr>
          <w:b w:val="0"/>
          <w:sz w:val="24"/>
          <w:szCs w:val="24"/>
          <w:lang w:val="ca-ES"/>
        </w:rPr>
        <w:t>88,89</w:t>
      </w:r>
      <w:r w:rsidRPr="004E39BA">
        <w:rPr>
          <w:b w:val="0"/>
          <w:sz w:val="24"/>
          <w:szCs w:val="24"/>
          <w:lang w:val="ca-ES"/>
        </w:rPr>
        <w:t xml:space="preserve">%, atès que s’han presentat </w:t>
      </w:r>
      <w:r w:rsidR="008E6EE1">
        <w:rPr>
          <w:b w:val="0"/>
          <w:sz w:val="24"/>
          <w:szCs w:val="24"/>
          <w:lang w:val="ca-ES"/>
        </w:rPr>
        <w:t>8</w:t>
      </w:r>
      <w:r w:rsidRPr="004E39BA">
        <w:rPr>
          <w:b w:val="0"/>
          <w:sz w:val="24"/>
          <w:szCs w:val="24"/>
          <w:lang w:val="ca-ES"/>
        </w:rPr>
        <w:t xml:space="preserve"> proce</w:t>
      </w:r>
      <w:r w:rsidR="00FB6BBC">
        <w:rPr>
          <w:b w:val="0"/>
          <w:sz w:val="24"/>
          <w:szCs w:val="24"/>
          <w:lang w:val="ca-ES"/>
        </w:rPr>
        <w:t xml:space="preserve">diments </w:t>
      </w:r>
      <w:r w:rsidR="00B1472F">
        <w:rPr>
          <w:b w:val="0"/>
          <w:sz w:val="24"/>
          <w:szCs w:val="24"/>
          <w:lang w:val="ca-ES"/>
        </w:rPr>
        <w:t>més</w:t>
      </w:r>
      <w:r w:rsidR="00FB6BBC">
        <w:rPr>
          <w:b w:val="0"/>
          <w:sz w:val="24"/>
          <w:szCs w:val="24"/>
          <w:lang w:val="ca-ES"/>
        </w:rPr>
        <w:t>. Concretament</w:t>
      </w:r>
      <w:r w:rsidR="00C33D7F">
        <w:rPr>
          <w:b w:val="0"/>
          <w:sz w:val="24"/>
          <w:szCs w:val="24"/>
          <w:lang w:val="ca-ES"/>
        </w:rPr>
        <w:t xml:space="preserve"> s’han presentat </w:t>
      </w:r>
      <w:r w:rsidR="008E6EE1">
        <w:rPr>
          <w:b w:val="0"/>
          <w:sz w:val="24"/>
          <w:szCs w:val="24"/>
          <w:lang w:val="ca-ES"/>
        </w:rPr>
        <w:t>8</w:t>
      </w:r>
      <w:r w:rsidR="00C33D7F">
        <w:rPr>
          <w:b w:val="0"/>
          <w:sz w:val="24"/>
          <w:szCs w:val="24"/>
          <w:lang w:val="ca-ES"/>
        </w:rPr>
        <w:t xml:space="preserve"> conciliacions</w:t>
      </w:r>
      <w:r w:rsidR="00B1472F">
        <w:rPr>
          <w:b w:val="0"/>
          <w:sz w:val="24"/>
          <w:szCs w:val="24"/>
          <w:lang w:val="ca-ES"/>
        </w:rPr>
        <w:t xml:space="preserve"> més (1</w:t>
      </w:r>
      <w:r w:rsidR="008E6EE1">
        <w:rPr>
          <w:b w:val="0"/>
          <w:sz w:val="24"/>
          <w:szCs w:val="24"/>
          <w:lang w:val="ca-ES"/>
        </w:rPr>
        <w:t>33,33%)</w:t>
      </w:r>
      <w:r w:rsidR="00C33D7F">
        <w:rPr>
          <w:b w:val="0"/>
          <w:sz w:val="24"/>
          <w:szCs w:val="24"/>
          <w:lang w:val="ca-ES"/>
        </w:rPr>
        <w:t>.</w:t>
      </w:r>
      <w:r w:rsidRPr="004E39BA">
        <w:rPr>
          <w:b w:val="0"/>
          <w:sz w:val="24"/>
          <w:szCs w:val="24"/>
          <w:lang w:val="ca-ES"/>
        </w:rPr>
        <w:t xml:space="preserve"> </w:t>
      </w:r>
    </w:p>
    <w:p w:rsidR="00C33D7F" w:rsidRPr="004905FD" w:rsidRDefault="00C33D7F" w:rsidP="00151CBE">
      <w:pPr>
        <w:pStyle w:val="TEXTBOLD"/>
        <w:spacing w:line="276" w:lineRule="auto"/>
        <w:rPr>
          <w:b w:val="0"/>
          <w:sz w:val="20"/>
          <w:szCs w:val="24"/>
          <w:lang w:val="ca-ES"/>
        </w:rPr>
      </w:pPr>
    </w:p>
    <w:p w:rsidR="00151CBE" w:rsidRPr="004E39BA" w:rsidRDefault="00151CBE" w:rsidP="00151CBE">
      <w:pPr>
        <w:pStyle w:val="TEXTBOLD"/>
        <w:spacing w:line="276" w:lineRule="auto"/>
        <w:rPr>
          <w:b w:val="0"/>
          <w:sz w:val="24"/>
          <w:szCs w:val="24"/>
          <w:lang w:val="ca-ES"/>
        </w:rPr>
      </w:pPr>
      <w:r>
        <w:rPr>
          <w:b w:val="0"/>
          <w:sz w:val="24"/>
          <w:szCs w:val="24"/>
          <w:u w:val="single"/>
          <w:lang w:val="ca-ES"/>
        </w:rPr>
        <w:t>A</w:t>
      </w:r>
      <w:r w:rsidRPr="004E39BA">
        <w:rPr>
          <w:b w:val="0"/>
          <w:sz w:val="24"/>
          <w:szCs w:val="24"/>
          <w:u w:val="single"/>
          <w:lang w:val="ca-ES"/>
        </w:rPr>
        <w:t xml:space="preserve"> Tarragona</w:t>
      </w:r>
      <w:r w:rsidR="00C33D7F">
        <w:rPr>
          <w:b w:val="0"/>
          <w:sz w:val="24"/>
          <w:szCs w:val="24"/>
          <w:u w:val="single"/>
          <w:lang w:val="ca-ES"/>
        </w:rPr>
        <w:t>,</w:t>
      </w:r>
      <w:r w:rsidR="00C33D7F">
        <w:rPr>
          <w:b w:val="0"/>
          <w:sz w:val="24"/>
          <w:szCs w:val="24"/>
          <w:lang w:val="ca-ES"/>
        </w:rPr>
        <w:t xml:space="preserve"> </w:t>
      </w:r>
      <w:r w:rsidR="00C33D7F" w:rsidRPr="00A77CFA">
        <w:rPr>
          <w:b w:val="0"/>
          <w:sz w:val="24"/>
          <w:szCs w:val="24"/>
          <w:lang w:val="ca-ES"/>
        </w:rPr>
        <w:t>durant</w:t>
      </w:r>
      <w:r w:rsidR="00C33D7F">
        <w:rPr>
          <w:b w:val="0"/>
          <w:sz w:val="24"/>
          <w:szCs w:val="24"/>
          <w:lang w:val="ca-ES"/>
        </w:rPr>
        <w:t xml:space="preserve"> el període gener-</w:t>
      </w:r>
      <w:r w:rsidR="008E6EE1">
        <w:rPr>
          <w:b w:val="0"/>
          <w:sz w:val="24"/>
          <w:szCs w:val="24"/>
          <w:lang w:val="ca-ES"/>
        </w:rPr>
        <w:t>setembre</w:t>
      </w:r>
      <w:r w:rsidR="00C33D7F">
        <w:rPr>
          <w:b w:val="0"/>
          <w:sz w:val="24"/>
          <w:szCs w:val="24"/>
          <w:lang w:val="ca-ES"/>
        </w:rPr>
        <w:t>,</w:t>
      </w:r>
      <w:r w:rsidRPr="004E39BA">
        <w:rPr>
          <w:b w:val="0"/>
          <w:sz w:val="24"/>
          <w:szCs w:val="24"/>
          <w:lang w:val="ca-ES"/>
        </w:rPr>
        <w:t xml:space="preserve"> s’han presentat un total de </w:t>
      </w:r>
      <w:r w:rsidR="008E6EE1">
        <w:rPr>
          <w:b w:val="0"/>
          <w:sz w:val="24"/>
          <w:szCs w:val="24"/>
          <w:lang w:val="ca-ES"/>
        </w:rPr>
        <w:t>37</w:t>
      </w:r>
      <w:r w:rsidR="00B1472F">
        <w:rPr>
          <w:b w:val="0"/>
          <w:sz w:val="24"/>
          <w:szCs w:val="24"/>
          <w:lang w:val="ca-ES"/>
        </w:rPr>
        <w:t xml:space="preserve"> </w:t>
      </w:r>
      <w:r w:rsidRPr="004E39BA">
        <w:rPr>
          <w:b w:val="0"/>
          <w:sz w:val="24"/>
          <w:szCs w:val="24"/>
          <w:lang w:val="ca-ES"/>
        </w:rPr>
        <w:t xml:space="preserve">expedients, dels quals </w:t>
      </w:r>
      <w:r w:rsidR="008E6EE1">
        <w:rPr>
          <w:b w:val="0"/>
          <w:sz w:val="24"/>
          <w:szCs w:val="24"/>
          <w:lang w:val="ca-ES"/>
        </w:rPr>
        <w:t>21</w:t>
      </w:r>
      <w:r w:rsidRPr="004E39BA">
        <w:rPr>
          <w:b w:val="0"/>
          <w:sz w:val="24"/>
          <w:szCs w:val="24"/>
          <w:lang w:val="ca-ES"/>
        </w:rPr>
        <w:t xml:space="preserve"> han sigut conciliacions i </w:t>
      </w:r>
      <w:r w:rsidR="008E6EE1">
        <w:rPr>
          <w:b w:val="0"/>
          <w:sz w:val="24"/>
          <w:szCs w:val="24"/>
          <w:lang w:val="ca-ES"/>
        </w:rPr>
        <w:t>16</w:t>
      </w:r>
      <w:r w:rsidRPr="004E39BA">
        <w:rPr>
          <w:b w:val="0"/>
          <w:sz w:val="24"/>
          <w:szCs w:val="24"/>
          <w:lang w:val="ca-ES"/>
        </w:rPr>
        <w:t xml:space="preserve"> mediacions.</w:t>
      </w:r>
    </w:p>
    <w:p w:rsidR="00151CBE" w:rsidRPr="004905FD" w:rsidRDefault="00151CBE" w:rsidP="00151CBE">
      <w:pPr>
        <w:pStyle w:val="TEXTBOLD"/>
        <w:spacing w:line="276" w:lineRule="auto"/>
        <w:rPr>
          <w:b w:val="0"/>
          <w:sz w:val="18"/>
          <w:szCs w:val="24"/>
          <w:lang w:val="ca-ES"/>
        </w:rPr>
      </w:pPr>
    </w:p>
    <w:p w:rsidR="00151CBE" w:rsidRPr="00EA5418" w:rsidRDefault="00151CBE" w:rsidP="00151CBE">
      <w:pPr>
        <w:pStyle w:val="TEXTBOLD"/>
        <w:spacing w:line="276" w:lineRule="auto"/>
        <w:rPr>
          <w:b w:val="0"/>
          <w:sz w:val="24"/>
          <w:szCs w:val="24"/>
          <w:lang w:val="ca-ES"/>
        </w:rPr>
      </w:pPr>
      <w:proofErr w:type="spellStart"/>
      <w:r w:rsidRPr="004E39BA">
        <w:rPr>
          <w:b w:val="0"/>
          <w:sz w:val="24"/>
          <w:szCs w:val="24"/>
          <w:u w:val="single"/>
          <w:lang w:val="ca-ES"/>
        </w:rPr>
        <w:t>Interanualmen</w:t>
      </w:r>
      <w:r w:rsidRPr="004E39BA">
        <w:rPr>
          <w:b w:val="0"/>
          <w:sz w:val="24"/>
          <w:szCs w:val="24"/>
          <w:lang w:val="ca-ES"/>
        </w:rPr>
        <w:t>t</w:t>
      </w:r>
      <w:proofErr w:type="spellEnd"/>
      <w:r w:rsidRPr="004E39BA">
        <w:rPr>
          <w:b w:val="0"/>
          <w:sz w:val="24"/>
          <w:szCs w:val="24"/>
          <w:lang w:val="ca-ES"/>
        </w:rPr>
        <w:t>, el total d’expedients s’ha</w:t>
      </w:r>
      <w:r w:rsidR="00B1472F">
        <w:rPr>
          <w:b w:val="0"/>
          <w:sz w:val="24"/>
          <w:szCs w:val="24"/>
          <w:lang w:val="ca-ES"/>
        </w:rPr>
        <w:t xml:space="preserve"> reduït </w:t>
      </w:r>
      <w:r w:rsidR="00C33D7F">
        <w:rPr>
          <w:b w:val="0"/>
          <w:sz w:val="24"/>
          <w:szCs w:val="24"/>
          <w:lang w:val="ca-ES"/>
        </w:rPr>
        <w:t xml:space="preserve">en un </w:t>
      </w:r>
      <w:r w:rsidR="008E6EE1">
        <w:rPr>
          <w:b w:val="0"/>
          <w:sz w:val="24"/>
          <w:szCs w:val="24"/>
          <w:lang w:val="ca-ES"/>
        </w:rPr>
        <w:t>17,78</w:t>
      </w:r>
      <w:r w:rsidRPr="004E39BA">
        <w:rPr>
          <w:b w:val="0"/>
          <w:sz w:val="24"/>
          <w:szCs w:val="24"/>
          <w:lang w:val="ca-ES"/>
        </w:rPr>
        <w:t xml:space="preserve">%, </w:t>
      </w:r>
      <w:r w:rsidR="00C33D7F">
        <w:rPr>
          <w:b w:val="0"/>
          <w:sz w:val="24"/>
          <w:szCs w:val="24"/>
          <w:lang w:val="ca-ES"/>
        </w:rPr>
        <w:t>havent</w:t>
      </w:r>
      <w:r w:rsidR="00B1472F">
        <w:rPr>
          <w:b w:val="0"/>
          <w:sz w:val="24"/>
          <w:szCs w:val="24"/>
          <w:lang w:val="ca-ES"/>
        </w:rPr>
        <w:t xml:space="preserve">-se </w:t>
      </w:r>
      <w:r w:rsidR="008E6EE1">
        <w:rPr>
          <w:b w:val="0"/>
          <w:sz w:val="24"/>
          <w:szCs w:val="24"/>
          <w:lang w:val="ca-ES"/>
        </w:rPr>
        <w:t>reduït</w:t>
      </w:r>
      <w:r w:rsidR="00B1472F">
        <w:rPr>
          <w:b w:val="0"/>
          <w:sz w:val="24"/>
          <w:szCs w:val="24"/>
          <w:lang w:val="ca-ES"/>
        </w:rPr>
        <w:t xml:space="preserve"> el</w:t>
      </w:r>
      <w:r w:rsidR="00C33D7F">
        <w:rPr>
          <w:b w:val="0"/>
          <w:sz w:val="24"/>
          <w:szCs w:val="24"/>
          <w:lang w:val="ca-ES"/>
        </w:rPr>
        <w:t xml:space="preserve"> nombre de conciliacions en un </w:t>
      </w:r>
      <w:r w:rsidR="008E6EE1">
        <w:rPr>
          <w:b w:val="0"/>
          <w:sz w:val="24"/>
          <w:szCs w:val="24"/>
          <w:lang w:val="ca-ES"/>
        </w:rPr>
        <w:t>12,50</w:t>
      </w:r>
      <w:r w:rsidR="00C33D7F">
        <w:rPr>
          <w:b w:val="0"/>
          <w:sz w:val="24"/>
          <w:szCs w:val="24"/>
          <w:lang w:val="ca-ES"/>
        </w:rPr>
        <w:t>% (</w:t>
      </w:r>
      <w:r w:rsidR="00B1472F">
        <w:rPr>
          <w:b w:val="0"/>
          <w:sz w:val="24"/>
          <w:szCs w:val="24"/>
          <w:lang w:val="ca-ES"/>
        </w:rPr>
        <w:t>3 m</w:t>
      </w:r>
      <w:r w:rsidR="008E6EE1">
        <w:rPr>
          <w:b w:val="0"/>
          <w:sz w:val="24"/>
          <w:szCs w:val="24"/>
          <w:lang w:val="ca-ES"/>
        </w:rPr>
        <w:t>enys</w:t>
      </w:r>
      <w:r w:rsidR="00C33D7F">
        <w:rPr>
          <w:b w:val="0"/>
          <w:sz w:val="24"/>
          <w:szCs w:val="24"/>
          <w:lang w:val="ca-ES"/>
        </w:rPr>
        <w:t xml:space="preserve">), i </w:t>
      </w:r>
      <w:r w:rsidR="008E6EE1">
        <w:rPr>
          <w:b w:val="0"/>
          <w:sz w:val="24"/>
          <w:szCs w:val="24"/>
          <w:lang w:val="ca-ES"/>
        </w:rPr>
        <w:t>de</w:t>
      </w:r>
      <w:r w:rsidR="00C33D7F">
        <w:rPr>
          <w:b w:val="0"/>
          <w:sz w:val="24"/>
          <w:szCs w:val="24"/>
          <w:lang w:val="ca-ES"/>
        </w:rPr>
        <w:t xml:space="preserve"> mediacions en un </w:t>
      </w:r>
      <w:r w:rsidR="008E6EE1">
        <w:rPr>
          <w:b w:val="0"/>
          <w:sz w:val="24"/>
          <w:szCs w:val="24"/>
          <w:lang w:val="ca-ES"/>
        </w:rPr>
        <w:t>23,81</w:t>
      </w:r>
      <w:r w:rsidR="00C33D7F">
        <w:rPr>
          <w:b w:val="0"/>
          <w:sz w:val="24"/>
          <w:szCs w:val="24"/>
          <w:lang w:val="ca-ES"/>
        </w:rPr>
        <w:t>% (</w:t>
      </w:r>
      <w:r w:rsidR="008E6EE1">
        <w:rPr>
          <w:b w:val="0"/>
          <w:sz w:val="24"/>
          <w:szCs w:val="24"/>
          <w:lang w:val="ca-ES"/>
        </w:rPr>
        <w:t>5</w:t>
      </w:r>
      <w:r w:rsidR="00B1472F">
        <w:rPr>
          <w:b w:val="0"/>
          <w:sz w:val="24"/>
          <w:szCs w:val="24"/>
          <w:lang w:val="ca-ES"/>
        </w:rPr>
        <w:t xml:space="preserve"> menys</w:t>
      </w:r>
      <w:r w:rsidR="00C33D7F">
        <w:rPr>
          <w:b w:val="0"/>
          <w:sz w:val="24"/>
          <w:szCs w:val="24"/>
          <w:lang w:val="ca-ES"/>
        </w:rPr>
        <w:t xml:space="preserve">). </w:t>
      </w:r>
    </w:p>
    <w:p w:rsidR="00BE3CE9" w:rsidRPr="00EA5418" w:rsidRDefault="000612F5" w:rsidP="000612F5">
      <w:pPr>
        <w:tabs>
          <w:tab w:val="left" w:pos="3081"/>
        </w:tabs>
        <w:spacing w:line="276" w:lineRule="auto"/>
        <w:jc w:val="both"/>
        <w:rPr>
          <w:rFonts w:ascii="Rotis Sans Serif Std" w:hAnsi="Rotis Sans Serif Std" w:cs="Arial"/>
        </w:rPr>
      </w:pPr>
      <w:r>
        <w:rPr>
          <w:rFonts w:ascii="Rotis Sans Serif Std" w:hAnsi="Rotis Sans Serif Std" w:cs="Arial"/>
        </w:rPr>
        <w:tab/>
      </w:r>
    </w:p>
    <w:p w:rsidR="00B43746" w:rsidRPr="003171F9" w:rsidRDefault="00B43746" w:rsidP="00AB0BAA">
      <w:pPr>
        <w:pStyle w:val="TEXTBOLD"/>
        <w:numPr>
          <w:ilvl w:val="2"/>
          <w:numId w:val="4"/>
        </w:numPr>
        <w:spacing w:line="276" w:lineRule="auto"/>
        <w:ind w:left="851"/>
        <w:rPr>
          <w:rFonts w:cs="Times New Roman"/>
          <w:color w:val="C1002B"/>
          <w:sz w:val="24"/>
          <w:szCs w:val="24"/>
          <w:lang w:val="ca-ES" w:eastAsia="en-US"/>
        </w:rPr>
      </w:pPr>
      <w:bookmarkStart w:id="14" w:name="Serveis"/>
      <w:r w:rsidRPr="003171F9">
        <w:rPr>
          <w:rFonts w:cs="Times New Roman"/>
          <w:color w:val="C1002B"/>
          <w:sz w:val="24"/>
          <w:szCs w:val="24"/>
          <w:lang w:val="ca-ES" w:eastAsia="en-US"/>
        </w:rPr>
        <w:t>Servei de Mediació, Arbitratge i Conciliació (SMAC)</w:t>
      </w:r>
    </w:p>
    <w:bookmarkEnd w:id="14"/>
    <w:p w:rsidR="00B43746" w:rsidRPr="003171F9" w:rsidRDefault="00B43746" w:rsidP="008D74D7">
      <w:pPr>
        <w:pStyle w:val="TEXTBOLD"/>
        <w:spacing w:line="276" w:lineRule="auto"/>
        <w:ind w:left="426"/>
        <w:rPr>
          <w:rFonts w:cs="Times New Roman"/>
          <w:color w:val="C1002B"/>
          <w:sz w:val="24"/>
          <w:szCs w:val="24"/>
          <w:lang w:val="ca-ES" w:eastAsia="en-US"/>
        </w:rPr>
      </w:pPr>
    </w:p>
    <w:p w:rsidR="00B43746" w:rsidRDefault="00B43746" w:rsidP="00AB0BAA">
      <w:pPr>
        <w:pStyle w:val="TEXTBOLD"/>
        <w:numPr>
          <w:ilvl w:val="0"/>
          <w:numId w:val="6"/>
        </w:numPr>
        <w:spacing w:line="276" w:lineRule="auto"/>
        <w:rPr>
          <w:rFonts w:cs="Times New Roman"/>
          <w:color w:val="C1002B"/>
          <w:sz w:val="24"/>
          <w:szCs w:val="24"/>
          <w:lang w:val="ca-ES" w:eastAsia="en-US"/>
        </w:rPr>
      </w:pPr>
      <w:r w:rsidRPr="003171F9">
        <w:rPr>
          <w:rFonts w:cs="Times New Roman"/>
          <w:color w:val="C1002B"/>
          <w:sz w:val="24"/>
          <w:szCs w:val="24"/>
          <w:lang w:val="ca-ES" w:eastAsia="en-US"/>
        </w:rPr>
        <w:t xml:space="preserve">Conciliacions individuals </w:t>
      </w:r>
    </w:p>
    <w:p w:rsidR="00F30E6D" w:rsidRPr="003171F9" w:rsidRDefault="00F30E6D" w:rsidP="00F30E6D">
      <w:pPr>
        <w:pStyle w:val="TEXTBOLD"/>
        <w:spacing w:line="276" w:lineRule="auto"/>
        <w:ind w:left="720"/>
        <w:rPr>
          <w:rFonts w:cs="Times New Roman"/>
          <w:color w:val="C1002B"/>
          <w:sz w:val="24"/>
          <w:szCs w:val="24"/>
          <w:lang w:val="ca-ES" w:eastAsia="en-US"/>
        </w:rPr>
      </w:pPr>
    </w:p>
    <w:p w:rsidR="00F30E6D" w:rsidRDefault="00F30E6D" w:rsidP="00F30E6D">
      <w:pPr>
        <w:pStyle w:val="TEXTBOLD"/>
        <w:spacing w:line="276" w:lineRule="auto"/>
        <w:rPr>
          <w:b w:val="0"/>
          <w:sz w:val="24"/>
          <w:szCs w:val="24"/>
          <w:lang w:val="ca-ES"/>
        </w:rPr>
      </w:pPr>
      <w:bookmarkStart w:id="15" w:name="EStudi"/>
      <w:bookmarkStart w:id="16" w:name="Evolució"/>
      <w:r>
        <w:rPr>
          <w:b w:val="0"/>
          <w:sz w:val="24"/>
          <w:szCs w:val="24"/>
          <w:u w:val="single"/>
          <w:lang w:val="ca-ES"/>
        </w:rPr>
        <w:t>Fins al mes de maig de 2018</w:t>
      </w:r>
      <w:r>
        <w:rPr>
          <w:b w:val="0"/>
          <w:sz w:val="24"/>
          <w:szCs w:val="24"/>
          <w:lang w:val="ca-ES"/>
        </w:rPr>
        <w:t xml:space="preserve"> </w:t>
      </w:r>
      <w:r w:rsidRPr="003171F9">
        <w:rPr>
          <w:b w:val="0"/>
          <w:sz w:val="24"/>
          <w:szCs w:val="24"/>
          <w:lang w:val="ca-ES"/>
        </w:rPr>
        <w:t xml:space="preserve">s’han produït </w:t>
      </w:r>
      <w:r>
        <w:rPr>
          <w:b w:val="0"/>
          <w:sz w:val="24"/>
          <w:szCs w:val="24"/>
          <w:lang w:val="ca-ES"/>
        </w:rPr>
        <w:t>32.917</w:t>
      </w:r>
      <w:r w:rsidRPr="003171F9">
        <w:rPr>
          <w:b w:val="0"/>
          <w:sz w:val="24"/>
          <w:szCs w:val="24"/>
          <w:lang w:val="ca-ES"/>
        </w:rPr>
        <w:t xml:space="preserve"> conciliacio</w:t>
      </w:r>
      <w:r>
        <w:rPr>
          <w:b w:val="0"/>
          <w:sz w:val="24"/>
          <w:szCs w:val="24"/>
          <w:lang w:val="ca-ES"/>
        </w:rPr>
        <w:t>ns individuals a Catalunya, un -2,1</w:t>
      </w:r>
      <w:r w:rsidRPr="003171F9">
        <w:rPr>
          <w:b w:val="0"/>
          <w:sz w:val="24"/>
          <w:szCs w:val="24"/>
          <w:lang w:val="ca-ES"/>
        </w:rPr>
        <w:t xml:space="preserve">% </w:t>
      </w:r>
      <w:r>
        <w:rPr>
          <w:b w:val="0"/>
          <w:sz w:val="24"/>
          <w:szCs w:val="24"/>
          <w:lang w:val="ca-ES"/>
        </w:rPr>
        <w:t xml:space="preserve">menys </w:t>
      </w:r>
      <w:r w:rsidRPr="003171F9">
        <w:rPr>
          <w:b w:val="0"/>
          <w:sz w:val="24"/>
          <w:szCs w:val="24"/>
          <w:lang w:val="ca-ES"/>
        </w:rPr>
        <w:t>respecte a</w:t>
      </w:r>
      <w:r>
        <w:rPr>
          <w:b w:val="0"/>
          <w:sz w:val="24"/>
          <w:szCs w:val="24"/>
          <w:lang w:val="ca-ES"/>
        </w:rPr>
        <w:t>l mateix període de 2017</w:t>
      </w:r>
      <w:r w:rsidRPr="003171F9">
        <w:rPr>
          <w:b w:val="0"/>
          <w:sz w:val="24"/>
          <w:szCs w:val="24"/>
          <w:lang w:val="ca-ES"/>
        </w:rPr>
        <w:t xml:space="preserve">, que hi van haver </w:t>
      </w:r>
      <w:r>
        <w:rPr>
          <w:b w:val="0"/>
          <w:sz w:val="24"/>
          <w:szCs w:val="24"/>
          <w:lang w:val="ca-ES"/>
        </w:rPr>
        <w:t>33.606</w:t>
      </w:r>
      <w:r w:rsidRPr="003171F9">
        <w:rPr>
          <w:b w:val="0"/>
          <w:sz w:val="24"/>
          <w:szCs w:val="24"/>
          <w:lang w:val="ca-ES"/>
        </w:rPr>
        <w:t xml:space="preserve"> conciliacions individuals. </w:t>
      </w:r>
    </w:p>
    <w:p w:rsidR="00F30E6D" w:rsidRPr="004905FD" w:rsidRDefault="00F30E6D" w:rsidP="00F30E6D">
      <w:pPr>
        <w:pStyle w:val="TEXTBOLD"/>
        <w:spacing w:line="276" w:lineRule="auto"/>
        <w:rPr>
          <w:b w:val="0"/>
          <w:sz w:val="18"/>
          <w:szCs w:val="24"/>
          <w:lang w:val="ca-ES"/>
        </w:rPr>
      </w:pPr>
    </w:p>
    <w:p w:rsidR="00F30E6D" w:rsidRPr="003171F9" w:rsidRDefault="00F30E6D" w:rsidP="00F30E6D">
      <w:pPr>
        <w:pStyle w:val="TEXTBOLD"/>
        <w:spacing w:line="276" w:lineRule="auto"/>
        <w:jc w:val="center"/>
        <w:rPr>
          <w:b w:val="0"/>
          <w:sz w:val="24"/>
          <w:szCs w:val="24"/>
          <w:lang w:val="ca-ES"/>
        </w:rPr>
      </w:pPr>
      <w:r>
        <w:rPr>
          <w:noProof/>
          <w:lang w:val="es-ES" w:eastAsia="es-ES"/>
        </w:rPr>
        <w:drawing>
          <wp:inline distT="0" distB="0" distL="0" distR="0" wp14:anchorId="45FDAB23" wp14:editId="2F9B28F2">
            <wp:extent cx="5486400" cy="3071004"/>
            <wp:effectExtent l="0" t="0" r="19050" b="15240"/>
            <wp:docPr id="3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F30E6D" w:rsidRPr="00EA5418" w:rsidRDefault="00F30E6D" w:rsidP="00F30E6D">
      <w:pPr>
        <w:pStyle w:val="TEXTBOLD"/>
        <w:jc w:val="center"/>
        <w:rPr>
          <w:b w:val="0"/>
          <w:color w:val="FF0000"/>
          <w:sz w:val="20"/>
          <w:szCs w:val="20"/>
          <w:lang w:val="ca-ES"/>
        </w:rPr>
      </w:pPr>
      <w:r w:rsidRPr="00F30E6D">
        <w:rPr>
          <w:b w:val="0"/>
          <w:sz w:val="18"/>
          <w:szCs w:val="20"/>
          <w:lang w:val="ca-ES"/>
        </w:rPr>
        <w:t>Font: Elaboració pròpia a partir de les dades de l’Observatori del Treball i Model Productiu.</w:t>
      </w:r>
    </w:p>
    <w:p w:rsidR="00F30E6D" w:rsidRDefault="00F30E6D" w:rsidP="00F30E6D">
      <w:pPr>
        <w:pStyle w:val="TEXTBOLD"/>
        <w:spacing w:line="276" w:lineRule="auto"/>
        <w:rPr>
          <w:b w:val="0"/>
          <w:sz w:val="24"/>
          <w:szCs w:val="24"/>
          <w:u w:val="single"/>
          <w:lang w:val="ca-ES"/>
        </w:rPr>
      </w:pPr>
    </w:p>
    <w:p w:rsidR="00F30E6D" w:rsidRPr="003171F9" w:rsidRDefault="00F30E6D" w:rsidP="00F30E6D">
      <w:pPr>
        <w:pStyle w:val="TEXTBOLD"/>
        <w:spacing w:line="276" w:lineRule="auto"/>
        <w:rPr>
          <w:b w:val="0"/>
          <w:sz w:val="24"/>
          <w:szCs w:val="24"/>
          <w:lang w:val="ca-ES"/>
        </w:rPr>
      </w:pPr>
      <w:r w:rsidRPr="003171F9">
        <w:rPr>
          <w:b w:val="0"/>
          <w:sz w:val="24"/>
          <w:szCs w:val="24"/>
          <w:u w:val="single"/>
          <w:lang w:val="ca-ES"/>
        </w:rPr>
        <w:t>Segons la forma d’acabament</w:t>
      </w:r>
      <w:r w:rsidRPr="003171F9">
        <w:rPr>
          <w:b w:val="0"/>
          <w:sz w:val="24"/>
          <w:szCs w:val="24"/>
          <w:lang w:val="ca-ES"/>
        </w:rPr>
        <w:t xml:space="preserve">, del total de </w:t>
      </w:r>
      <w:r>
        <w:rPr>
          <w:b w:val="0"/>
          <w:sz w:val="24"/>
          <w:szCs w:val="24"/>
          <w:lang w:val="ca-ES"/>
        </w:rPr>
        <w:t xml:space="preserve">32.917 conciliacions, 13.852 (42,08%) </w:t>
      </w:r>
      <w:r w:rsidRPr="003171F9">
        <w:rPr>
          <w:b w:val="0"/>
          <w:sz w:val="24"/>
          <w:szCs w:val="24"/>
          <w:lang w:val="ca-ES"/>
        </w:rPr>
        <w:t xml:space="preserve">han estat amb avinença, per contra, </w:t>
      </w:r>
      <w:r>
        <w:rPr>
          <w:b w:val="0"/>
          <w:sz w:val="24"/>
          <w:szCs w:val="24"/>
          <w:lang w:val="ca-ES"/>
        </w:rPr>
        <w:t>10.211 (31,02%)</w:t>
      </w:r>
      <w:r w:rsidRPr="003171F9">
        <w:rPr>
          <w:b w:val="0"/>
          <w:sz w:val="24"/>
          <w:szCs w:val="24"/>
          <w:lang w:val="ca-ES"/>
        </w:rPr>
        <w:t xml:space="preserve"> han estat sense avinença. A més, </w:t>
      </w:r>
      <w:r>
        <w:rPr>
          <w:b w:val="0"/>
          <w:sz w:val="24"/>
          <w:szCs w:val="24"/>
          <w:lang w:val="ca-ES"/>
        </w:rPr>
        <w:t xml:space="preserve">7.273 </w:t>
      </w:r>
      <w:r w:rsidRPr="003171F9">
        <w:rPr>
          <w:b w:val="0"/>
          <w:sz w:val="24"/>
          <w:szCs w:val="24"/>
          <w:lang w:val="ca-ES"/>
        </w:rPr>
        <w:t xml:space="preserve">conciliacions han acabat intentades sense efecte, </w:t>
      </w:r>
      <w:r>
        <w:rPr>
          <w:b w:val="0"/>
          <w:sz w:val="24"/>
          <w:szCs w:val="24"/>
          <w:lang w:val="ca-ES"/>
        </w:rPr>
        <w:t xml:space="preserve">718 </w:t>
      </w:r>
      <w:r w:rsidRPr="003171F9">
        <w:rPr>
          <w:b w:val="0"/>
          <w:sz w:val="24"/>
          <w:szCs w:val="24"/>
          <w:lang w:val="ca-ES"/>
        </w:rPr>
        <w:t xml:space="preserve">s’han considerat no presentades i </w:t>
      </w:r>
      <w:r>
        <w:rPr>
          <w:b w:val="0"/>
          <w:sz w:val="24"/>
          <w:szCs w:val="24"/>
          <w:lang w:val="ca-ES"/>
        </w:rPr>
        <w:t>863</w:t>
      </w:r>
      <w:r w:rsidRPr="003171F9">
        <w:rPr>
          <w:b w:val="0"/>
          <w:sz w:val="24"/>
          <w:szCs w:val="24"/>
          <w:lang w:val="ca-ES"/>
        </w:rPr>
        <w:t xml:space="preserve"> desistides i altres.</w:t>
      </w:r>
    </w:p>
    <w:p w:rsidR="00F30E6D" w:rsidRPr="003171F9" w:rsidRDefault="00F30E6D" w:rsidP="00F30E6D">
      <w:pPr>
        <w:pStyle w:val="TEXTBOLD"/>
        <w:spacing w:line="276" w:lineRule="auto"/>
        <w:rPr>
          <w:b w:val="0"/>
          <w:sz w:val="24"/>
          <w:szCs w:val="24"/>
          <w:lang w:val="ca-ES"/>
        </w:rPr>
      </w:pPr>
    </w:p>
    <w:p w:rsidR="00F30E6D" w:rsidRDefault="00F30E6D" w:rsidP="00F30E6D">
      <w:pPr>
        <w:pStyle w:val="TEXTBOLD"/>
        <w:spacing w:line="276" w:lineRule="auto"/>
        <w:rPr>
          <w:b w:val="0"/>
          <w:sz w:val="24"/>
          <w:szCs w:val="24"/>
          <w:lang w:val="ca-ES"/>
        </w:rPr>
      </w:pPr>
      <w:r w:rsidRPr="003171F9">
        <w:rPr>
          <w:b w:val="0"/>
          <w:sz w:val="24"/>
          <w:szCs w:val="24"/>
          <w:lang w:val="ca-ES"/>
        </w:rPr>
        <w:t xml:space="preserve">A continuació, es mostra un quadre comparatiu entre </w:t>
      </w:r>
      <w:r>
        <w:rPr>
          <w:b w:val="0"/>
          <w:sz w:val="24"/>
          <w:szCs w:val="24"/>
          <w:lang w:val="ca-ES"/>
        </w:rPr>
        <w:t>2018 i 2017</w:t>
      </w:r>
      <w:r w:rsidRPr="003171F9">
        <w:rPr>
          <w:b w:val="0"/>
          <w:sz w:val="24"/>
          <w:szCs w:val="24"/>
          <w:lang w:val="ca-ES"/>
        </w:rPr>
        <w:t>, del nombre total de conciliacions i la forma d’acabament:</w:t>
      </w:r>
    </w:p>
    <w:p w:rsidR="00F30E6D" w:rsidRDefault="00F30E6D" w:rsidP="00F30E6D">
      <w:pPr>
        <w:pStyle w:val="TEXTBOLD"/>
        <w:spacing w:line="276" w:lineRule="auto"/>
        <w:rPr>
          <w:b w:val="0"/>
          <w:sz w:val="24"/>
          <w:szCs w:val="24"/>
          <w:lang w:val="ca-ES"/>
        </w:rPr>
      </w:pPr>
    </w:p>
    <w:tbl>
      <w:tblPr>
        <w:tblW w:w="0" w:type="auto"/>
        <w:tblLayout w:type="fixed"/>
        <w:tblCellMar>
          <w:left w:w="70" w:type="dxa"/>
          <w:right w:w="70" w:type="dxa"/>
        </w:tblCellMar>
        <w:tblLook w:val="04A0" w:firstRow="1" w:lastRow="0" w:firstColumn="1" w:lastColumn="0" w:noHBand="0" w:noVBand="1"/>
      </w:tblPr>
      <w:tblGrid>
        <w:gridCol w:w="1488"/>
        <w:gridCol w:w="1276"/>
        <w:gridCol w:w="141"/>
        <w:gridCol w:w="1276"/>
        <w:gridCol w:w="1559"/>
        <w:gridCol w:w="1560"/>
        <w:gridCol w:w="141"/>
        <w:gridCol w:w="1134"/>
        <w:gridCol w:w="284"/>
        <w:gridCol w:w="920"/>
      </w:tblGrid>
      <w:tr w:rsidR="00F30E6D" w:rsidRPr="006E7A39" w:rsidTr="007C2A50">
        <w:trPr>
          <w:trHeight w:val="300"/>
        </w:trPr>
        <w:tc>
          <w:tcPr>
            <w:tcW w:w="1488" w:type="dxa"/>
            <w:tcBorders>
              <w:top w:val="single" w:sz="8" w:space="0" w:color="000000"/>
              <w:left w:val="nil"/>
              <w:bottom w:val="single" w:sz="8" w:space="0" w:color="000000"/>
              <w:right w:val="nil"/>
            </w:tcBorders>
            <w:shd w:val="clear" w:color="C0504D" w:fill="C0504D"/>
            <w:noWrap/>
            <w:vAlign w:val="bottom"/>
            <w:hideMark/>
          </w:tcPr>
          <w:p w:rsidR="00F30E6D" w:rsidRPr="006E7A39" w:rsidRDefault="00F30E6D" w:rsidP="007C2A50">
            <w:pPr>
              <w:rPr>
                <w:rFonts w:ascii="Rotis Sans Serif Std" w:hAnsi="Rotis Sans Serif Std"/>
                <w:b/>
                <w:bCs/>
                <w:color w:val="FFFFFF"/>
                <w:szCs w:val="22"/>
              </w:rPr>
            </w:pPr>
          </w:p>
        </w:tc>
        <w:tc>
          <w:tcPr>
            <w:tcW w:w="1417" w:type="dxa"/>
            <w:gridSpan w:val="2"/>
            <w:tcBorders>
              <w:top w:val="single" w:sz="8" w:space="0" w:color="000000"/>
              <w:left w:val="nil"/>
              <w:bottom w:val="single" w:sz="8" w:space="0" w:color="000000"/>
              <w:right w:val="nil"/>
            </w:tcBorders>
            <w:shd w:val="clear" w:color="C0504D" w:fill="C0504D"/>
            <w:noWrap/>
            <w:vAlign w:val="bottom"/>
            <w:hideMark/>
          </w:tcPr>
          <w:p w:rsidR="00F30E6D" w:rsidRPr="00B96242" w:rsidRDefault="00F30E6D" w:rsidP="007C2A50">
            <w:pPr>
              <w:jc w:val="center"/>
              <w:rPr>
                <w:rFonts w:ascii="Rotis Sans Serif Std" w:hAnsi="Rotis Sans Serif Std"/>
                <w:b/>
                <w:bCs/>
                <w:color w:val="FFFFFF"/>
                <w:sz w:val="20"/>
                <w:szCs w:val="22"/>
              </w:rPr>
            </w:pPr>
            <w:r w:rsidRPr="00B96242">
              <w:rPr>
                <w:rFonts w:ascii="Rotis Sans Serif Std" w:hAnsi="Rotis Sans Serif Std"/>
                <w:b/>
                <w:bCs/>
                <w:color w:val="FFFFFF"/>
                <w:sz w:val="20"/>
                <w:szCs w:val="22"/>
              </w:rPr>
              <w:t>Amb avinença</w:t>
            </w:r>
          </w:p>
        </w:tc>
        <w:tc>
          <w:tcPr>
            <w:tcW w:w="1276" w:type="dxa"/>
            <w:tcBorders>
              <w:top w:val="single" w:sz="8" w:space="0" w:color="000000"/>
              <w:left w:val="nil"/>
              <w:bottom w:val="single" w:sz="8" w:space="0" w:color="000000"/>
              <w:right w:val="nil"/>
            </w:tcBorders>
            <w:shd w:val="clear" w:color="C0504D" w:fill="C0504D"/>
            <w:noWrap/>
            <w:vAlign w:val="bottom"/>
            <w:hideMark/>
          </w:tcPr>
          <w:p w:rsidR="00F30E6D" w:rsidRPr="00B96242" w:rsidRDefault="00F30E6D" w:rsidP="007C2A50">
            <w:pPr>
              <w:jc w:val="center"/>
              <w:rPr>
                <w:rFonts w:ascii="Rotis Sans Serif Std" w:hAnsi="Rotis Sans Serif Std"/>
                <w:b/>
                <w:bCs/>
                <w:color w:val="FFFFFF"/>
                <w:sz w:val="20"/>
                <w:szCs w:val="22"/>
              </w:rPr>
            </w:pPr>
            <w:r w:rsidRPr="00B96242">
              <w:rPr>
                <w:rFonts w:ascii="Rotis Sans Serif Std" w:hAnsi="Rotis Sans Serif Std"/>
                <w:b/>
                <w:bCs/>
                <w:color w:val="FFFFFF"/>
                <w:sz w:val="20"/>
                <w:szCs w:val="22"/>
              </w:rPr>
              <w:t>Sense avinença</w:t>
            </w:r>
          </w:p>
        </w:tc>
        <w:tc>
          <w:tcPr>
            <w:tcW w:w="1559" w:type="dxa"/>
            <w:tcBorders>
              <w:top w:val="single" w:sz="8" w:space="0" w:color="000000"/>
              <w:left w:val="nil"/>
              <w:bottom w:val="single" w:sz="8" w:space="0" w:color="000000"/>
              <w:right w:val="nil"/>
            </w:tcBorders>
            <w:shd w:val="clear" w:color="C0504D" w:fill="C0504D"/>
            <w:noWrap/>
            <w:vAlign w:val="bottom"/>
            <w:hideMark/>
          </w:tcPr>
          <w:p w:rsidR="00F30E6D" w:rsidRPr="00B96242" w:rsidRDefault="00F30E6D" w:rsidP="007C2A50">
            <w:pPr>
              <w:jc w:val="center"/>
              <w:rPr>
                <w:rFonts w:ascii="Rotis Sans Serif Std" w:hAnsi="Rotis Sans Serif Std"/>
                <w:b/>
                <w:bCs/>
                <w:color w:val="FFFFFF"/>
                <w:sz w:val="20"/>
                <w:szCs w:val="22"/>
              </w:rPr>
            </w:pPr>
            <w:r w:rsidRPr="00B96242">
              <w:rPr>
                <w:rFonts w:ascii="Rotis Sans Serif Std" w:hAnsi="Rotis Sans Serif Std"/>
                <w:b/>
                <w:bCs/>
                <w:color w:val="FFFFFF"/>
                <w:sz w:val="20"/>
                <w:szCs w:val="22"/>
              </w:rPr>
              <w:t>Intentades sense efectes</w:t>
            </w:r>
          </w:p>
        </w:tc>
        <w:tc>
          <w:tcPr>
            <w:tcW w:w="1701" w:type="dxa"/>
            <w:gridSpan w:val="2"/>
            <w:tcBorders>
              <w:top w:val="single" w:sz="8" w:space="0" w:color="000000"/>
              <w:left w:val="nil"/>
              <w:bottom w:val="single" w:sz="8" w:space="0" w:color="000000"/>
              <w:right w:val="nil"/>
            </w:tcBorders>
            <w:shd w:val="clear" w:color="C0504D" w:fill="C0504D"/>
            <w:noWrap/>
            <w:vAlign w:val="bottom"/>
            <w:hideMark/>
          </w:tcPr>
          <w:p w:rsidR="00F30E6D" w:rsidRPr="00B96242" w:rsidRDefault="00F30E6D" w:rsidP="007C2A50">
            <w:pPr>
              <w:jc w:val="center"/>
              <w:rPr>
                <w:rFonts w:ascii="Rotis Sans Serif Std" w:hAnsi="Rotis Sans Serif Std"/>
                <w:b/>
                <w:bCs/>
                <w:color w:val="FFFFFF"/>
                <w:sz w:val="20"/>
                <w:szCs w:val="22"/>
              </w:rPr>
            </w:pPr>
            <w:r w:rsidRPr="00B96242">
              <w:rPr>
                <w:rFonts w:ascii="Rotis Sans Serif Std" w:hAnsi="Rotis Sans Serif Std"/>
                <w:b/>
                <w:bCs/>
                <w:color w:val="FFFFFF"/>
                <w:sz w:val="20"/>
                <w:szCs w:val="22"/>
              </w:rPr>
              <w:t>Considerades no presentades</w:t>
            </w:r>
          </w:p>
        </w:tc>
        <w:tc>
          <w:tcPr>
            <w:tcW w:w="1418" w:type="dxa"/>
            <w:gridSpan w:val="2"/>
            <w:tcBorders>
              <w:top w:val="single" w:sz="8" w:space="0" w:color="000000"/>
              <w:left w:val="nil"/>
              <w:bottom w:val="single" w:sz="8" w:space="0" w:color="000000"/>
              <w:right w:val="nil"/>
            </w:tcBorders>
            <w:shd w:val="clear" w:color="C0504D" w:fill="C0504D"/>
            <w:noWrap/>
            <w:vAlign w:val="bottom"/>
            <w:hideMark/>
          </w:tcPr>
          <w:p w:rsidR="00F30E6D" w:rsidRPr="00B96242" w:rsidRDefault="00F30E6D" w:rsidP="007C2A50">
            <w:pPr>
              <w:jc w:val="center"/>
              <w:rPr>
                <w:rFonts w:ascii="Rotis Sans Serif Std" w:hAnsi="Rotis Sans Serif Std"/>
                <w:b/>
                <w:bCs/>
                <w:color w:val="FFFFFF"/>
                <w:sz w:val="20"/>
                <w:szCs w:val="22"/>
              </w:rPr>
            </w:pPr>
            <w:r w:rsidRPr="00B96242">
              <w:rPr>
                <w:rFonts w:ascii="Rotis Sans Serif Std" w:hAnsi="Rotis Sans Serif Std"/>
                <w:b/>
                <w:bCs/>
                <w:color w:val="FFFFFF"/>
                <w:sz w:val="20"/>
                <w:szCs w:val="22"/>
              </w:rPr>
              <w:t>Desistides i altres</w:t>
            </w:r>
          </w:p>
        </w:tc>
        <w:tc>
          <w:tcPr>
            <w:tcW w:w="920" w:type="dxa"/>
            <w:tcBorders>
              <w:top w:val="single" w:sz="8" w:space="0" w:color="000000"/>
              <w:left w:val="nil"/>
              <w:bottom w:val="single" w:sz="8" w:space="0" w:color="000000"/>
              <w:right w:val="nil"/>
            </w:tcBorders>
            <w:shd w:val="clear" w:color="C0504D" w:fill="C0504D"/>
            <w:noWrap/>
            <w:vAlign w:val="bottom"/>
            <w:hideMark/>
          </w:tcPr>
          <w:p w:rsidR="00F30E6D" w:rsidRPr="00B96242" w:rsidRDefault="00F30E6D" w:rsidP="007C2A50">
            <w:pPr>
              <w:jc w:val="center"/>
              <w:rPr>
                <w:rFonts w:ascii="Rotis Sans Serif Std" w:hAnsi="Rotis Sans Serif Std"/>
                <w:b/>
                <w:bCs/>
                <w:color w:val="FFFFFF"/>
                <w:sz w:val="20"/>
                <w:szCs w:val="22"/>
              </w:rPr>
            </w:pPr>
            <w:r w:rsidRPr="00B96242">
              <w:rPr>
                <w:rFonts w:ascii="Rotis Sans Serif Std" w:hAnsi="Rotis Sans Serif Std"/>
                <w:b/>
                <w:bCs/>
                <w:color w:val="FFFFFF"/>
                <w:sz w:val="20"/>
                <w:szCs w:val="22"/>
              </w:rPr>
              <w:t>Total</w:t>
            </w:r>
          </w:p>
        </w:tc>
      </w:tr>
      <w:tr w:rsidR="00F30E6D" w:rsidRPr="006E7A39" w:rsidTr="007C2A50">
        <w:trPr>
          <w:trHeight w:val="300"/>
        </w:trPr>
        <w:tc>
          <w:tcPr>
            <w:tcW w:w="1488" w:type="dxa"/>
            <w:tcBorders>
              <w:top w:val="nil"/>
              <w:left w:val="nil"/>
              <w:bottom w:val="nil"/>
              <w:right w:val="nil"/>
            </w:tcBorders>
            <w:shd w:val="clear" w:color="D9D9D9" w:fill="D9D9D9"/>
            <w:noWrap/>
            <w:vAlign w:val="bottom"/>
            <w:hideMark/>
          </w:tcPr>
          <w:p w:rsidR="00F30E6D" w:rsidRPr="00BC6117" w:rsidRDefault="00F30E6D" w:rsidP="007C2A50">
            <w:pPr>
              <w:rPr>
                <w:rFonts w:ascii="Rotis Sans Serif Std" w:hAnsi="Rotis Sans Serif Std"/>
                <w:b/>
                <w:color w:val="000000"/>
                <w:szCs w:val="22"/>
              </w:rPr>
            </w:pPr>
            <w:r>
              <w:rPr>
                <w:rFonts w:ascii="Rotis Sans Serif Std" w:hAnsi="Rotis Sans Serif Std"/>
                <w:color w:val="000000"/>
                <w:sz w:val="22"/>
                <w:szCs w:val="22"/>
              </w:rPr>
              <w:t>Acumulat maig 2017</w:t>
            </w:r>
          </w:p>
        </w:tc>
        <w:tc>
          <w:tcPr>
            <w:tcW w:w="1276" w:type="dxa"/>
            <w:tcBorders>
              <w:top w:val="nil"/>
              <w:left w:val="nil"/>
              <w:bottom w:val="nil"/>
              <w:right w:val="nil"/>
            </w:tcBorders>
            <w:shd w:val="clear" w:color="D9D9D9" w:fill="D9D9D9"/>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 xml:space="preserve"> 13.127   </w:t>
            </w:r>
          </w:p>
        </w:tc>
        <w:tc>
          <w:tcPr>
            <w:tcW w:w="1417" w:type="dxa"/>
            <w:gridSpan w:val="2"/>
            <w:tcBorders>
              <w:top w:val="nil"/>
              <w:left w:val="nil"/>
              <w:bottom w:val="nil"/>
              <w:right w:val="nil"/>
            </w:tcBorders>
            <w:shd w:val="clear" w:color="D9D9D9" w:fill="D9D9D9"/>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 xml:space="preserve"> 11.633   </w:t>
            </w:r>
          </w:p>
        </w:tc>
        <w:tc>
          <w:tcPr>
            <w:tcW w:w="1559" w:type="dxa"/>
            <w:tcBorders>
              <w:top w:val="nil"/>
              <w:left w:val="nil"/>
              <w:bottom w:val="nil"/>
              <w:right w:val="nil"/>
            </w:tcBorders>
            <w:shd w:val="clear" w:color="D9D9D9" w:fill="D9D9D9"/>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 xml:space="preserve"> 7.180   </w:t>
            </w:r>
          </w:p>
        </w:tc>
        <w:tc>
          <w:tcPr>
            <w:tcW w:w="1560" w:type="dxa"/>
            <w:tcBorders>
              <w:top w:val="nil"/>
              <w:left w:val="nil"/>
              <w:bottom w:val="nil"/>
              <w:right w:val="nil"/>
            </w:tcBorders>
            <w:shd w:val="clear" w:color="D9D9D9" w:fill="D9D9D9"/>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 xml:space="preserve"> 757   </w:t>
            </w:r>
          </w:p>
        </w:tc>
        <w:tc>
          <w:tcPr>
            <w:tcW w:w="1275" w:type="dxa"/>
            <w:gridSpan w:val="2"/>
            <w:tcBorders>
              <w:top w:val="nil"/>
              <w:left w:val="nil"/>
              <w:bottom w:val="nil"/>
              <w:right w:val="nil"/>
            </w:tcBorders>
            <w:shd w:val="clear" w:color="D9D9D9" w:fill="D9D9D9"/>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 xml:space="preserve"> 909   </w:t>
            </w:r>
          </w:p>
        </w:tc>
        <w:tc>
          <w:tcPr>
            <w:tcW w:w="1204" w:type="dxa"/>
            <w:gridSpan w:val="2"/>
            <w:tcBorders>
              <w:top w:val="nil"/>
              <w:left w:val="nil"/>
              <w:bottom w:val="nil"/>
              <w:right w:val="nil"/>
            </w:tcBorders>
            <w:shd w:val="clear" w:color="D9D9D9" w:fill="D9D9D9"/>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 xml:space="preserve"> 33.606   </w:t>
            </w:r>
          </w:p>
        </w:tc>
      </w:tr>
      <w:tr w:rsidR="00F30E6D" w:rsidRPr="006E7A39" w:rsidTr="007C2A50">
        <w:trPr>
          <w:trHeight w:val="300"/>
        </w:trPr>
        <w:tc>
          <w:tcPr>
            <w:tcW w:w="1488" w:type="dxa"/>
            <w:tcBorders>
              <w:top w:val="nil"/>
              <w:left w:val="nil"/>
              <w:bottom w:val="nil"/>
              <w:right w:val="nil"/>
            </w:tcBorders>
            <w:shd w:val="clear" w:color="auto" w:fill="auto"/>
            <w:noWrap/>
            <w:vAlign w:val="bottom"/>
            <w:hideMark/>
          </w:tcPr>
          <w:p w:rsidR="00F30E6D" w:rsidRPr="00BC6117" w:rsidRDefault="00F30E6D" w:rsidP="007C2A50">
            <w:pPr>
              <w:rPr>
                <w:rFonts w:ascii="Rotis Sans Serif Std" w:hAnsi="Rotis Sans Serif Std"/>
                <w:b/>
                <w:color w:val="000000"/>
                <w:szCs w:val="22"/>
              </w:rPr>
            </w:pPr>
            <w:r>
              <w:rPr>
                <w:rFonts w:ascii="Rotis Sans Serif Std" w:hAnsi="Rotis Sans Serif Std"/>
                <w:color w:val="000000"/>
                <w:sz w:val="22"/>
                <w:szCs w:val="22"/>
              </w:rPr>
              <w:t>Acumulat maig 2018</w:t>
            </w:r>
          </w:p>
        </w:tc>
        <w:tc>
          <w:tcPr>
            <w:tcW w:w="1276" w:type="dxa"/>
            <w:tcBorders>
              <w:top w:val="nil"/>
              <w:left w:val="nil"/>
              <w:bottom w:val="nil"/>
              <w:right w:val="nil"/>
            </w:tcBorders>
            <w:shd w:val="clear" w:color="auto" w:fill="auto"/>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 xml:space="preserve"> 13.852   </w:t>
            </w:r>
          </w:p>
        </w:tc>
        <w:tc>
          <w:tcPr>
            <w:tcW w:w="1417" w:type="dxa"/>
            <w:gridSpan w:val="2"/>
            <w:tcBorders>
              <w:top w:val="nil"/>
              <w:left w:val="nil"/>
              <w:bottom w:val="nil"/>
              <w:right w:val="nil"/>
            </w:tcBorders>
            <w:shd w:val="clear" w:color="auto" w:fill="auto"/>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 xml:space="preserve"> 10.211   </w:t>
            </w:r>
          </w:p>
        </w:tc>
        <w:tc>
          <w:tcPr>
            <w:tcW w:w="1559" w:type="dxa"/>
            <w:tcBorders>
              <w:top w:val="nil"/>
              <w:left w:val="nil"/>
              <w:bottom w:val="nil"/>
              <w:right w:val="nil"/>
            </w:tcBorders>
            <w:shd w:val="clear" w:color="auto" w:fill="auto"/>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 xml:space="preserve"> 7.273   </w:t>
            </w:r>
          </w:p>
        </w:tc>
        <w:tc>
          <w:tcPr>
            <w:tcW w:w="1560" w:type="dxa"/>
            <w:tcBorders>
              <w:top w:val="nil"/>
              <w:left w:val="nil"/>
              <w:bottom w:val="nil"/>
              <w:right w:val="nil"/>
            </w:tcBorders>
            <w:shd w:val="clear" w:color="auto" w:fill="auto"/>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 xml:space="preserve"> 718   </w:t>
            </w:r>
          </w:p>
        </w:tc>
        <w:tc>
          <w:tcPr>
            <w:tcW w:w="1275" w:type="dxa"/>
            <w:gridSpan w:val="2"/>
            <w:tcBorders>
              <w:top w:val="nil"/>
              <w:left w:val="nil"/>
              <w:bottom w:val="nil"/>
              <w:right w:val="nil"/>
            </w:tcBorders>
            <w:shd w:val="clear" w:color="auto" w:fill="auto"/>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 xml:space="preserve"> 863   </w:t>
            </w:r>
          </w:p>
        </w:tc>
        <w:tc>
          <w:tcPr>
            <w:tcW w:w="1204" w:type="dxa"/>
            <w:gridSpan w:val="2"/>
            <w:tcBorders>
              <w:top w:val="nil"/>
              <w:left w:val="nil"/>
              <w:bottom w:val="nil"/>
              <w:right w:val="nil"/>
            </w:tcBorders>
            <w:shd w:val="clear" w:color="auto" w:fill="auto"/>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 xml:space="preserve"> 32.917   </w:t>
            </w:r>
          </w:p>
        </w:tc>
      </w:tr>
      <w:tr w:rsidR="00F30E6D" w:rsidRPr="006E7A39" w:rsidTr="007C2A50">
        <w:trPr>
          <w:trHeight w:val="300"/>
        </w:trPr>
        <w:tc>
          <w:tcPr>
            <w:tcW w:w="1488" w:type="dxa"/>
            <w:tcBorders>
              <w:top w:val="nil"/>
              <w:left w:val="nil"/>
              <w:bottom w:val="single" w:sz="8" w:space="0" w:color="000000"/>
              <w:right w:val="nil"/>
            </w:tcBorders>
            <w:shd w:val="clear" w:color="D9D9D9" w:fill="D9D9D9"/>
            <w:noWrap/>
            <w:vAlign w:val="bottom"/>
            <w:hideMark/>
          </w:tcPr>
          <w:p w:rsidR="00F30E6D" w:rsidRPr="00BC6117" w:rsidRDefault="00F30E6D" w:rsidP="007C2A50">
            <w:pPr>
              <w:rPr>
                <w:rFonts w:ascii="Rotis Sans Serif Std" w:hAnsi="Rotis Sans Serif Std"/>
                <w:b/>
                <w:color w:val="000000"/>
                <w:szCs w:val="22"/>
              </w:rPr>
            </w:pPr>
            <w:r>
              <w:rPr>
                <w:rFonts w:ascii="Rotis Sans Serif Std" w:hAnsi="Rotis Sans Serif Std"/>
                <w:color w:val="000000"/>
                <w:sz w:val="22"/>
                <w:szCs w:val="22"/>
              </w:rPr>
              <w:t xml:space="preserve">Variació Interanual </w:t>
            </w:r>
          </w:p>
        </w:tc>
        <w:tc>
          <w:tcPr>
            <w:tcW w:w="1276" w:type="dxa"/>
            <w:tcBorders>
              <w:top w:val="nil"/>
              <w:left w:val="nil"/>
              <w:bottom w:val="single" w:sz="8" w:space="0" w:color="000000"/>
              <w:right w:val="nil"/>
            </w:tcBorders>
            <w:shd w:val="clear" w:color="D9D9D9" w:fill="D9D9D9"/>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5,5</w:t>
            </w:r>
          </w:p>
        </w:tc>
        <w:tc>
          <w:tcPr>
            <w:tcW w:w="1417" w:type="dxa"/>
            <w:gridSpan w:val="2"/>
            <w:tcBorders>
              <w:top w:val="nil"/>
              <w:left w:val="nil"/>
              <w:bottom w:val="single" w:sz="8" w:space="0" w:color="000000"/>
              <w:right w:val="nil"/>
            </w:tcBorders>
            <w:shd w:val="clear" w:color="D9D9D9" w:fill="D9D9D9"/>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12,2</w:t>
            </w:r>
          </w:p>
        </w:tc>
        <w:tc>
          <w:tcPr>
            <w:tcW w:w="1559" w:type="dxa"/>
            <w:tcBorders>
              <w:top w:val="nil"/>
              <w:left w:val="nil"/>
              <w:bottom w:val="single" w:sz="8" w:space="0" w:color="000000"/>
              <w:right w:val="nil"/>
            </w:tcBorders>
            <w:shd w:val="clear" w:color="D9D9D9" w:fill="D9D9D9"/>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1,3</w:t>
            </w:r>
          </w:p>
        </w:tc>
        <w:tc>
          <w:tcPr>
            <w:tcW w:w="1560" w:type="dxa"/>
            <w:tcBorders>
              <w:top w:val="nil"/>
              <w:left w:val="nil"/>
              <w:bottom w:val="single" w:sz="8" w:space="0" w:color="000000"/>
              <w:right w:val="nil"/>
            </w:tcBorders>
            <w:shd w:val="clear" w:color="D9D9D9" w:fill="D9D9D9"/>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-5,2</w:t>
            </w:r>
          </w:p>
        </w:tc>
        <w:tc>
          <w:tcPr>
            <w:tcW w:w="1275" w:type="dxa"/>
            <w:gridSpan w:val="2"/>
            <w:tcBorders>
              <w:top w:val="nil"/>
              <w:left w:val="nil"/>
              <w:bottom w:val="single" w:sz="8" w:space="0" w:color="000000"/>
              <w:right w:val="nil"/>
            </w:tcBorders>
            <w:shd w:val="clear" w:color="D9D9D9" w:fill="D9D9D9"/>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-5,1</w:t>
            </w:r>
          </w:p>
        </w:tc>
        <w:tc>
          <w:tcPr>
            <w:tcW w:w="1204" w:type="dxa"/>
            <w:gridSpan w:val="2"/>
            <w:tcBorders>
              <w:top w:val="nil"/>
              <w:left w:val="nil"/>
              <w:bottom w:val="single" w:sz="8" w:space="0" w:color="000000"/>
              <w:right w:val="nil"/>
            </w:tcBorders>
            <w:shd w:val="clear" w:color="D9D9D9" w:fill="D9D9D9"/>
            <w:noWrap/>
            <w:vAlign w:val="bottom"/>
            <w:hideMark/>
          </w:tcPr>
          <w:p w:rsidR="00F30E6D" w:rsidRPr="006E7A39" w:rsidRDefault="00F30E6D" w:rsidP="007C2A50">
            <w:pPr>
              <w:jc w:val="center"/>
              <w:rPr>
                <w:rFonts w:ascii="Rotis Sans Serif Std" w:hAnsi="Rotis Sans Serif Std"/>
                <w:color w:val="000000"/>
                <w:szCs w:val="22"/>
              </w:rPr>
            </w:pPr>
            <w:r>
              <w:rPr>
                <w:rFonts w:ascii="Rotis Sans Serif Std" w:hAnsi="Rotis Sans Serif Std"/>
                <w:color w:val="000000"/>
                <w:sz w:val="22"/>
                <w:szCs w:val="22"/>
              </w:rPr>
              <w:t>-2,1</w:t>
            </w:r>
          </w:p>
        </w:tc>
      </w:tr>
    </w:tbl>
    <w:p w:rsidR="00F30E6D" w:rsidRPr="00EA5418" w:rsidRDefault="00F30E6D" w:rsidP="00F30E6D">
      <w:pPr>
        <w:pStyle w:val="TEXTBOLD"/>
        <w:spacing w:line="276" w:lineRule="auto"/>
        <w:jc w:val="center"/>
        <w:rPr>
          <w:b w:val="0"/>
          <w:color w:val="FF0000"/>
          <w:sz w:val="20"/>
          <w:szCs w:val="20"/>
          <w:lang w:val="ca-ES"/>
        </w:rPr>
      </w:pPr>
      <w:r w:rsidRPr="00EA5418">
        <w:rPr>
          <w:b w:val="0"/>
          <w:sz w:val="20"/>
          <w:szCs w:val="20"/>
          <w:lang w:val="ca-ES"/>
        </w:rPr>
        <w:t xml:space="preserve">Font: Elaboració pròpia a partir de les dades de l’Observatori </w:t>
      </w:r>
      <w:r>
        <w:rPr>
          <w:b w:val="0"/>
          <w:sz w:val="20"/>
          <w:szCs w:val="20"/>
          <w:lang w:val="ca-ES"/>
        </w:rPr>
        <w:t>del Treball i Model Productiu.</w:t>
      </w:r>
    </w:p>
    <w:p w:rsidR="00F30E6D" w:rsidRDefault="00F30E6D" w:rsidP="00F30E6D">
      <w:pPr>
        <w:pStyle w:val="TEXTBOLD"/>
        <w:spacing w:line="276" w:lineRule="auto"/>
        <w:rPr>
          <w:b w:val="0"/>
          <w:sz w:val="24"/>
          <w:szCs w:val="24"/>
          <w:u w:val="single"/>
          <w:lang w:val="ca-ES"/>
        </w:rPr>
      </w:pPr>
    </w:p>
    <w:p w:rsidR="00F30E6D" w:rsidRDefault="00F30E6D" w:rsidP="00F30E6D">
      <w:pPr>
        <w:pStyle w:val="TEXTBOLD"/>
        <w:spacing w:line="276" w:lineRule="auto"/>
        <w:rPr>
          <w:b w:val="0"/>
          <w:sz w:val="24"/>
          <w:szCs w:val="24"/>
          <w:lang w:val="ca-ES"/>
        </w:rPr>
      </w:pPr>
      <w:r w:rsidRPr="003171F9">
        <w:rPr>
          <w:b w:val="0"/>
          <w:sz w:val="24"/>
          <w:szCs w:val="24"/>
          <w:u w:val="single"/>
          <w:lang w:val="ca-ES"/>
        </w:rPr>
        <w:t>Per demarcació territorial</w:t>
      </w:r>
      <w:r w:rsidRPr="003171F9">
        <w:rPr>
          <w:b w:val="0"/>
          <w:sz w:val="24"/>
          <w:szCs w:val="24"/>
          <w:lang w:val="ca-ES"/>
        </w:rPr>
        <w:t xml:space="preserve">, a la província de Barcelona </w:t>
      </w:r>
      <w:r>
        <w:rPr>
          <w:b w:val="0"/>
          <w:sz w:val="24"/>
          <w:szCs w:val="24"/>
          <w:lang w:val="ca-ES"/>
        </w:rPr>
        <w:t>fins el mes de maig de 2018</w:t>
      </w:r>
      <w:r w:rsidRPr="003171F9">
        <w:rPr>
          <w:b w:val="0"/>
          <w:sz w:val="24"/>
          <w:szCs w:val="24"/>
          <w:lang w:val="ca-ES"/>
        </w:rPr>
        <w:t xml:space="preserve"> van </w:t>
      </w:r>
      <w:r>
        <w:rPr>
          <w:b w:val="0"/>
          <w:sz w:val="24"/>
          <w:szCs w:val="24"/>
          <w:lang w:val="ca-ES"/>
        </w:rPr>
        <w:t>haver-hi 27.220</w:t>
      </w:r>
      <w:r w:rsidRPr="003171F9">
        <w:rPr>
          <w:b w:val="0"/>
          <w:sz w:val="24"/>
          <w:szCs w:val="24"/>
          <w:lang w:val="ca-ES"/>
        </w:rPr>
        <w:t xml:space="preserve"> conciliacions individuals, el que suposa una </w:t>
      </w:r>
      <w:r>
        <w:rPr>
          <w:b w:val="0"/>
          <w:sz w:val="24"/>
          <w:szCs w:val="24"/>
          <w:lang w:val="ca-ES"/>
        </w:rPr>
        <w:t xml:space="preserve">variació del 0,7% respecte al 2017. </w:t>
      </w:r>
    </w:p>
    <w:p w:rsidR="00F30E6D" w:rsidRDefault="00F30E6D" w:rsidP="00F30E6D">
      <w:pPr>
        <w:pStyle w:val="TEXTBOLD"/>
        <w:spacing w:line="276" w:lineRule="auto"/>
        <w:rPr>
          <w:b w:val="0"/>
          <w:sz w:val="24"/>
          <w:szCs w:val="24"/>
          <w:lang w:val="ca-ES"/>
        </w:rPr>
      </w:pPr>
    </w:p>
    <w:p w:rsidR="00F30E6D" w:rsidRPr="003171F9" w:rsidRDefault="00F30E6D" w:rsidP="00F30E6D">
      <w:pPr>
        <w:pStyle w:val="TEXTBOLD"/>
        <w:spacing w:line="276" w:lineRule="auto"/>
        <w:rPr>
          <w:b w:val="0"/>
          <w:sz w:val="24"/>
          <w:szCs w:val="24"/>
          <w:lang w:val="ca-ES"/>
        </w:rPr>
      </w:pPr>
      <w:r w:rsidRPr="003171F9">
        <w:rPr>
          <w:b w:val="0"/>
          <w:sz w:val="24"/>
          <w:szCs w:val="24"/>
          <w:lang w:val="ca-ES"/>
        </w:rPr>
        <w:t>A la prov</w:t>
      </w:r>
      <w:r>
        <w:rPr>
          <w:b w:val="0"/>
          <w:sz w:val="24"/>
          <w:szCs w:val="24"/>
          <w:lang w:val="ca-ES"/>
        </w:rPr>
        <w:t xml:space="preserve">íncia de Girona, van haver-hi 1.987 </w:t>
      </w:r>
      <w:r w:rsidRPr="003171F9">
        <w:rPr>
          <w:b w:val="0"/>
          <w:sz w:val="24"/>
          <w:szCs w:val="24"/>
          <w:lang w:val="ca-ES"/>
        </w:rPr>
        <w:t>conciliacions individuals, en comparació a l’any anteri</w:t>
      </w:r>
      <w:r>
        <w:rPr>
          <w:b w:val="0"/>
          <w:sz w:val="24"/>
          <w:szCs w:val="24"/>
          <w:lang w:val="ca-ES"/>
        </w:rPr>
        <w:t>or, s’ha produït una variació del -9%</w:t>
      </w:r>
      <w:r w:rsidRPr="003171F9">
        <w:rPr>
          <w:b w:val="0"/>
          <w:sz w:val="24"/>
          <w:szCs w:val="24"/>
          <w:lang w:val="ca-ES"/>
        </w:rPr>
        <w:t xml:space="preserve">. </w:t>
      </w:r>
    </w:p>
    <w:p w:rsidR="00F30E6D" w:rsidRPr="003171F9" w:rsidRDefault="00F30E6D" w:rsidP="00F30E6D">
      <w:pPr>
        <w:pStyle w:val="TEXTBOLD"/>
        <w:spacing w:line="276" w:lineRule="auto"/>
        <w:rPr>
          <w:b w:val="0"/>
          <w:sz w:val="24"/>
          <w:szCs w:val="24"/>
          <w:lang w:val="ca-ES"/>
        </w:rPr>
      </w:pPr>
    </w:p>
    <w:p w:rsidR="00F30E6D" w:rsidRPr="003171F9" w:rsidRDefault="00F30E6D" w:rsidP="00F30E6D">
      <w:pPr>
        <w:pStyle w:val="TEXTBOLD"/>
        <w:spacing w:line="276" w:lineRule="auto"/>
        <w:rPr>
          <w:b w:val="0"/>
          <w:sz w:val="24"/>
          <w:szCs w:val="24"/>
          <w:lang w:val="ca-ES"/>
        </w:rPr>
      </w:pPr>
      <w:r>
        <w:rPr>
          <w:b w:val="0"/>
          <w:sz w:val="24"/>
          <w:szCs w:val="24"/>
          <w:lang w:val="ca-ES"/>
        </w:rPr>
        <w:t>A Lleida, van haver-hi 1.272</w:t>
      </w:r>
      <w:r w:rsidRPr="003171F9">
        <w:rPr>
          <w:b w:val="0"/>
          <w:sz w:val="24"/>
          <w:szCs w:val="24"/>
          <w:lang w:val="ca-ES"/>
        </w:rPr>
        <w:t xml:space="preserve"> conciliacions individuals, </w:t>
      </w:r>
      <w:r>
        <w:rPr>
          <w:b w:val="0"/>
          <w:sz w:val="24"/>
          <w:szCs w:val="24"/>
          <w:lang w:val="ca-ES"/>
        </w:rPr>
        <w:t>augmentant</w:t>
      </w:r>
      <w:r w:rsidRPr="003171F9">
        <w:rPr>
          <w:b w:val="0"/>
          <w:sz w:val="24"/>
          <w:szCs w:val="24"/>
          <w:lang w:val="ca-ES"/>
        </w:rPr>
        <w:t xml:space="preserve"> així el</w:t>
      </w:r>
      <w:r>
        <w:rPr>
          <w:b w:val="0"/>
          <w:sz w:val="24"/>
          <w:szCs w:val="24"/>
          <w:lang w:val="ca-ES"/>
        </w:rPr>
        <w:t xml:space="preserve"> nombre de conciliacions un 1,2</w:t>
      </w:r>
      <w:r w:rsidRPr="003171F9">
        <w:rPr>
          <w:b w:val="0"/>
          <w:sz w:val="24"/>
          <w:szCs w:val="24"/>
          <w:lang w:val="ca-ES"/>
        </w:rPr>
        <w:t>%.</w:t>
      </w:r>
    </w:p>
    <w:p w:rsidR="00F30E6D" w:rsidRPr="003171F9" w:rsidRDefault="00F30E6D" w:rsidP="00F30E6D">
      <w:pPr>
        <w:pStyle w:val="TEXTBOLD"/>
        <w:spacing w:line="276" w:lineRule="auto"/>
        <w:rPr>
          <w:b w:val="0"/>
          <w:sz w:val="24"/>
          <w:szCs w:val="24"/>
          <w:lang w:val="ca-ES"/>
        </w:rPr>
      </w:pPr>
    </w:p>
    <w:p w:rsidR="00F30E6D" w:rsidRPr="003171F9" w:rsidRDefault="00F30E6D" w:rsidP="00F30E6D">
      <w:pPr>
        <w:pStyle w:val="TEXTBOLD"/>
        <w:spacing w:line="276" w:lineRule="auto"/>
        <w:rPr>
          <w:b w:val="0"/>
          <w:sz w:val="24"/>
          <w:szCs w:val="24"/>
          <w:lang w:val="ca-ES"/>
        </w:rPr>
      </w:pPr>
      <w:r w:rsidRPr="003171F9">
        <w:rPr>
          <w:b w:val="0"/>
          <w:sz w:val="24"/>
          <w:szCs w:val="24"/>
          <w:lang w:val="ca-ES"/>
        </w:rPr>
        <w:t>Per últim, a la província</w:t>
      </w:r>
      <w:r>
        <w:rPr>
          <w:b w:val="0"/>
          <w:sz w:val="24"/>
          <w:szCs w:val="24"/>
          <w:lang w:val="ca-ES"/>
        </w:rPr>
        <w:t xml:space="preserve"> de Tarragona, van produir-se 2.438 </w:t>
      </w:r>
      <w:r w:rsidRPr="003171F9">
        <w:rPr>
          <w:b w:val="0"/>
          <w:sz w:val="24"/>
          <w:szCs w:val="24"/>
          <w:lang w:val="ca-ES"/>
        </w:rPr>
        <w:t>conciliacions ind</w:t>
      </w:r>
      <w:r>
        <w:rPr>
          <w:b w:val="0"/>
          <w:sz w:val="24"/>
          <w:szCs w:val="24"/>
          <w:lang w:val="ca-ES"/>
        </w:rPr>
        <w:t>ividuals, el que suposa un 5,5</w:t>
      </w:r>
      <w:r w:rsidRPr="003171F9">
        <w:rPr>
          <w:b w:val="0"/>
          <w:sz w:val="24"/>
          <w:szCs w:val="24"/>
          <w:lang w:val="ca-ES"/>
        </w:rPr>
        <w:t>% menys.</w:t>
      </w:r>
    </w:p>
    <w:p w:rsidR="00F30E6D" w:rsidRDefault="00F30E6D" w:rsidP="00F30E6D">
      <w:pPr>
        <w:pStyle w:val="TEXTBOLD"/>
        <w:spacing w:line="276" w:lineRule="auto"/>
        <w:rPr>
          <w:rFonts w:cs="Times New Roman"/>
          <w:color w:val="C1002B"/>
          <w:sz w:val="24"/>
          <w:szCs w:val="24"/>
          <w:lang w:val="ca-ES" w:eastAsia="en-US"/>
        </w:rPr>
      </w:pPr>
    </w:p>
    <w:p w:rsidR="00F30E6D" w:rsidRPr="003171F9" w:rsidRDefault="00F30E6D" w:rsidP="00F30E6D">
      <w:pPr>
        <w:pStyle w:val="TEXTBOLD"/>
        <w:numPr>
          <w:ilvl w:val="0"/>
          <w:numId w:val="33"/>
        </w:numPr>
        <w:spacing w:line="276" w:lineRule="auto"/>
        <w:rPr>
          <w:rFonts w:cs="Times New Roman"/>
          <w:color w:val="C1002B"/>
          <w:sz w:val="24"/>
          <w:szCs w:val="24"/>
          <w:lang w:val="ca-ES" w:eastAsia="en-US"/>
        </w:rPr>
      </w:pPr>
      <w:r w:rsidRPr="003171F9">
        <w:rPr>
          <w:rFonts w:cs="Times New Roman"/>
          <w:color w:val="C1002B"/>
          <w:sz w:val="24"/>
          <w:szCs w:val="24"/>
          <w:lang w:val="ca-ES" w:eastAsia="en-US"/>
        </w:rPr>
        <w:t xml:space="preserve">Conciliacions col·lectives </w:t>
      </w:r>
    </w:p>
    <w:p w:rsidR="00F30E6D" w:rsidRPr="003171F9" w:rsidRDefault="00F30E6D" w:rsidP="00F30E6D">
      <w:pPr>
        <w:pStyle w:val="TEXTBOLD"/>
        <w:spacing w:line="276" w:lineRule="auto"/>
        <w:rPr>
          <w:b w:val="0"/>
          <w:color w:val="FF0000"/>
          <w:sz w:val="24"/>
          <w:szCs w:val="24"/>
          <w:lang w:val="ca-ES"/>
        </w:rPr>
      </w:pPr>
    </w:p>
    <w:p w:rsidR="00F30E6D" w:rsidRDefault="00F30E6D" w:rsidP="00F30E6D">
      <w:pPr>
        <w:pStyle w:val="TEXTBOLD"/>
        <w:spacing w:line="276" w:lineRule="auto"/>
        <w:rPr>
          <w:b w:val="0"/>
          <w:sz w:val="24"/>
          <w:szCs w:val="24"/>
          <w:lang w:val="ca-ES"/>
        </w:rPr>
      </w:pPr>
      <w:r w:rsidRPr="003171F9">
        <w:rPr>
          <w:b w:val="0"/>
          <w:sz w:val="24"/>
          <w:szCs w:val="24"/>
          <w:lang w:val="ca-ES"/>
        </w:rPr>
        <w:t xml:space="preserve">L’Estadística de Conciliacions Laborals de l’Observatori </w:t>
      </w:r>
      <w:r>
        <w:rPr>
          <w:b w:val="0"/>
          <w:sz w:val="24"/>
          <w:szCs w:val="24"/>
          <w:lang w:val="ca-ES"/>
        </w:rPr>
        <w:t>de Treball i Model Productiu, estima que fins el mes de maig de 2018</w:t>
      </w:r>
      <w:r w:rsidRPr="003171F9">
        <w:rPr>
          <w:b w:val="0"/>
          <w:sz w:val="24"/>
          <w:szCs w:val="24"/>
          <w:lang w:val="ca-ES"/>
        </w:rPr>
        <w:t xml:space="preserve">, van haver-hi </w:t>
      </w:r>
      <w:r>
        <w:rPr>
          <w:b w:val="0"/>
          <w:sz w:val="24"/>
          <w:szCs w:val="24"/>
          <w:lang w:val="ca-ES"/>
        </w:rPr>
        <w:t>45</w:t>
      </w:r>
      <w:r w:rsidRPr="003171F9">
        <w:rPr>
          <w:b w:val="0"/>
          <w:sz w:val="24"/>
          <w:szCs w:val="24"/>
          <w:lang w:val="ca-ES"/>
        </w:rPr>
        <w:t xml:space="preserve"> conflictes col·lectius en el Servei de Mediació, Arbitratge i Conciliació, fet que suposa una variació del -</w:t>
      </w:r>
      <w:r>
        <w:rPr>
          <w:b w:val="0"/>
          <w:sz w:val="24"/>
          <w:szCs w:val="24"/>
          <w:lang w:val="ca-ES"/>
        </w:rPr>
        <w:t xml:space="preserve">13,5% respecte a l’any anterior (7 </w:t>
      </w:r>
      <w:r w:rsidRPr="003171F9">
        <w:rPr>
          <w:b w:val="0"/>
          <w:sz w:val="24"/>
          <w:szCs w:val="24"/>
          <w:lang w:val="ca-ES"/>
        </w:rPr>
        <w:t xml:space="preserve">conflictes menys). </w:t>
      </w:r>
    </w:p>
    <w:p w:rsidR="00F30E6D" w:rsidRPr="003171F9" w:rsidRDefault="00F30E6D" w:rsidP="00F30E6D">
      <w:pPr>
        <w:pStyle w:val="TEXTBOLD"/>
        <w:spacing w:line="276" w:lineRule="auto"/>
        <w:rPr>
          <w:b w:val="0"/>
          <w:sz w:val="24"/>
          <w:szCs w:val="24"/>
          <w:lang w:val="ca-ES"/>
        </w:rPr>
      </w:pPr>
    </w:p>
    <w:p w:rsidR="00F30E6D" w:rsidRPr="003171F9" w:rsidRDefault="00F30E6D" w:rsidP="00F30E6D">
      <w:pPr>
        <w:pStyle w:val="TEXTBOLD"/>
        <w:spacing w:line="276" w:lineRule="auto"/>
        <w:jc w:val="center"/>
        <w:rPr>
          <w:b w:val="0"/>
          <w:sz w:val="24"/>
          <w:szCs w:val="24"/>
          <w:lang w:val="ca-ES"/>
        </w:rPr>
      </w:pPr>
      <w:r>
        <w:rPr>
          <w:noProof/>
          <w:lang w:val="es-ES" w:eastAsia="es-ES"/>
        </w:rPr>
        <w:drawing>
          <wp:inline distT="0" distB="0" distL="0" distR="0" wp14:anchorId="6E7E8D79" wp14:editId="080658B1">
            <wp:extent cx="5201728" cy="2941607"/>
            <wp:effectExtent l="0" t="0" r="18415" b="114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F30E6D" w:rsidRPr="00EA5418" w:rsidRDefault="00F30E6D" w:rsidP="00F30E6D">
      <w:pPr>
        <w:pStyle w:val="TEXTBOLD"/>
        <w:spacing w:line="276" w:lineRule="auto"/>
        <w:jc w:val="center"/>
        <w:rPr>
          <w:b w:val="0"/>
          <w:color w:val="FF0000"/>
          <w:sz w:val="20"/>
          <w:szCs w:val="20"/>
          <w:lang w:val="ca-ES"/>
        </w:rPr>
      </w:pPr>
      <w:r w:rsidRPr="00EA5418">
        <w:rPr>
          <w:b w:val="0"/>
          <w:sz w:val="20"/>
          <w:szCs w:val="20"/>
          <w:lang w:val="ca-ES"/>
        </w:rPr>
        <w:t xml:space="preserve">Font: Elaboració pròpia a partir de les dades de l’Observatori </w:t>
      </w:r>
      <w:r>
        <w:rPr>
          <w:b w:val="0"/>
          <w:sz w:val="20"/>
          <w:szCs w:val="20"/>
          <w:lang w:val="ca-ES"/>
        </w:rPr>
        <w:t>del Treball i Model Productiu.</w:t>
      </w:r>
    </w:p>
    <w:p w:rsidR="00F30E6D" w:rsidRPr="003171F9" w:rsidRDefault="00F30E6D" w:rsidP="00F30E6D">
      <w:pPr>
        <w:pStyle w:val="TEXTBOLD"/>
        <w:spacing w:line="276" w:lineRule="auto"/>
        <w:rPr>
          <w:b w:val="0"/>
          <w:sz w:val="24"/>
          <w:szCs w:val="24"/>
          <w:lang w:val="ca-ES"/>
        </w:rPr>
      </w:pPr>
    </w:p>
    <w:p w:rsidR="00F30E6D" w:rsidRDefault="00F30E6D" w:rsidP="00F30E6D">
      <w:pPr>
        <w:pStyle w:val="TEXTBOLD"/>
        <w:spacing w:line="276" w:lineRule="auto"/>
        <w:rPr>
          <w:b w:val="0"/>
          <w:sz w:val="24"/>
          <w:szCs w:val="24"/>
          <w:lang w:val="ca-ES"/>
        </w:rPr>
      </w:pPr>
      <w:r>
        <w:rPr>
          <w:b w:val="0"/>
          <w:sz w:val="24"/>
          <w:szCs w:val="24"/>
          <w:lang w:val="ca-ES"/>
        </w:rPr>
        <w:t>Els 45</w:t>
      </w:r>
      <w:r w:rsidRPr="003171F9">
        <w:rPr>
          <w:b w:val="0"/>
          <w:sz w:val="24"/>
          <w:szCs w:val="24"/>
          <w:lang w:val="ca-ES"/>
        </w:rPr>
        <w:t xml:space="preserve"> conflictes col·le</w:t>
      </w:r>
      <w:r>
        <w:rPr>
          <w:b w:val="0"/>
          <w:sz w:val="24"/>
          <w:szCs w:val="24"/>
          <w:lang w:val="ca-ES"/>
        </w:rPr>
        <w:t>ctius, van afectar en total a 57 empreses i a 15.787</w:t>
      </w:r>
      <w:r w:rsidRPr="003171F9">
        <w:rPr>
          <w:b w:val="0"/>
          <w:sz w:val="24"/>
          <w:szCs w:val="24"/>
          <w:lang w:val="ca-ES"/>
        </w:rPr>
        <w:t xml:space="preserve"> treballadors. A</w:t>
      </w:r>
      <w:r>
        <w:rPr>
          <w:b w:val="0"/>
          <w:sz w:val="24"/>
          <w:szCs w:val="24"/>
          <w:lang w:val="ca-ES"/>
        </w:rPr>
        <w:t>mb una variació interanual del -26,9</w:t>
      </w:r>
      <w:r w:rsidRPr="003171F9">
        <w:rPr>
          <w:b w:val="0"/>
          <w:sz w:val="24"/>
          <w:szCs w:val="24"/>
          <w:lang w:val="ca-ES"/>
        </w:rPr>
        <w:t xml:space="preserve">% i del </w:t>
      </w:r>
      <w:r>
        <w:rPr>
          <w:b w:val="0"/>
          <w:sz w:val="24"/>
          <w:szCs w:val="24"/>
          <w:lang w:val="ca-ES"/>
        </w:rPr>
        <w:t>-11,5</w:t>
      </w:r>
      <w:r w:rsidRPr="003171F9">
        <w:rPr>
          <w:b w:val="0"/>
          <w:sz w:val="24"/>
          <w:szCs w:val="24"/>
          <w:lang w:val="ca-ES"/>
        </w:rPr>
        <w:t xml:space="preserve">% respectivament. </w:t>
      </w:r>
    </w:p>
    <w:tbl>
      <w:tblPr>
        <w:tblStyle w:val="Sombreadomedio2-nfasis2"/>
        <w:tblW w:w="9183" w:type="dxa"/>
        <w:jc w:val="center"/>
        <w:tblInd w:w="-231" w:type="dxa"/>
        <w:tblLayout w:type="fixed"/>
        <w:tblLook w:val="0420" w:firstRow="1" w:lastRow="0" w:firstColumn="0" w:lastColumn="0" w:noHBand="0" w:noVBand="1"/>
      </w:tblPr>
      <w:tblGrid>
        <w:gridCol w:w="2970"/>
        <w:gridCol w:w="2034"/>
        <w:gridCol w:w="1714"/>
        <w:gridCol w:w="2465"/>
      </w:tblGrid>
      <w:tr w:rsidR="00F30E6D" w:rsidRPr="00911915" w:rsidTr="007C2A50">
        <w:trPr>
          <w:cnfStyle w:val="100000000000" w:firstRow="1" w:lastRow="0" w:firstColumn="0" w:lastColumn="0" w:oddVBand="0" w:evenVBand="0" w:oddHBand="0" w:evenHBand="0" w:firstRowFirstColumn="0" w:firstRowLastColumn="0" w:lastRowFirstColumn="0" w:lastRowLastColumn="0"/>
          <w:trHeight w:val="305"/>
          <w:jc w:val="center"/>
        </w:trPr>
        <w:tc>
          <w:tcPr>
            <w:tcW w:w="2970" w:type="dxa"/>
            <w:noWrap/>
            <w:hideMark/>
          </w:tcPr>
          <w:p w:rsidR="00F30E6D" w:rsidRPr="00911915" w:rsidRDefault="00F30E6D" w:rsidP="007C2A50">
            <w:pPr>
              <w:rPr>
                <w:rFonts w:ascii="Rotis Sans Serif Std" w:hAnsi="Rotis Sans Serif Std"/>
                <w:color w:val="FFFFFF"/>
              </w:rPr>
            </w:pPr>
            <w:r w:rsidRPr="00911915">
              <w:rPr>
                <w:rFonts w:ascii="Rotis Sans Serif Std" w:hAnsi="Rotis Sans Serif Std"/>
                <w:b w:val="0"/>
                <w:bCs w:val="0"/>
                <w:color w:val="FFFFFF"/>
              </w:rPr>
              <w:t>Període</w:t>
            </w:r>
          </w:p>
        </w:tc>
        <w:tc>
          <w:tcPr>
            <w:tcW w:w="2034" w:type="dxa"/>
            <w:noWrap/>
            <w:hideMark/>
          </w:tcPr>
          <w:p w:rsidR="00F30E6D" w:rsidRPr="00911915" w:rsidRDefault="00F30E6D" w:rsidP="007C2A50">
            <w:pPr>
              <w:jc w:val="center"/>
              <w:rPr>
                <w:rFonts w:ascii="Rotis Sans Serif Std" w:hAnsi="Rotis Sans Serif Std"/>
                <w:color w:val="FFFFFF"/>
              </w:rPr>
            </w:pPr>
            <w:r w:rsidRPr="00911915">
              <w:rPr>
                <w:rFonts w:ascii="Rotis Sans Serif Std" w:hAnsi="Rotis Sans Serif Std"/>
                <w:b w:val="0"/>
                <w:bCs w:val="0"/>
                <w:color w:val="FFFFFF"/>
              </w:rPr>
              <w:t>Conflictes col·lectius</w:t>
            </w:r>
          </w:p>
        </w:tc>
        <w:tc>
          <w:tcPr>
            <w:tcW w:w="1714" w:type="dxa"/>
            <w:noWrap/>
            <w:hideMark/>
          </w:tcPr>
          <w:p w:rsidR="00F30E6D" w:rsidRDefault="00F30E6D" w:rsidP="007C2A50">
            <w:pPr>
              <w:jc w:val="center"/>
              <w:rPr>
                <w:rFonts w:ascii="Rotis Sans Serif Std" w:hAnsi="Rotis Sans Serif Std"/>
                <w:b w:val="0"/>
                <w:bCs w:val="0"/>
                <w:color w:val="FFFFFF"/>
              </w:rPr>
            </w:pPr>
            <w:r w:rsidRPr="00911915">
              <w:rPr>
                <w:rFonts w:ascii="Rotis Sans Serif Std" w:hAnsi="Rotis Sans Serif Std"/>
                <w:b w:val="0"/>
                <w:bCs w:val="0"/>
                <w:color w:val="FFFFFF"/>
              </w:rPr>
              <w:t xml:space="preserve">Empreses </w:t>
            </w:r>
          </w:p>
          <w:p w:rsidR="00F30E6D" w:rsidRPr="00911915" w:rsidRDefault="00F30E6D" w:rsidP="007C2A50">
            <w:pPr>
              <w:jc w:val="center"/>
              <w:rPr>
                <w:rFonts w:ascii="Rotis Sans Serif Std" w:hAnsi="Rotis Sans Serif Std"/>
                <w:color w:val="FFFFFF"/>
              </w:rPr>
            </w:pPr>
            <w:r w:rsidRPr="00911915">
              <w:rPr>
                <w:rFonts w:ascii="Rotis Sans Serif Std" w:hAnsi="Rotis Sans Serif Std"/>
                <w:b w:val="0"/>
                <w:bCs w:val="0"/>
                <w:color w:val="FFFFFF"/>
              </w:rPr>
              <w:t>afectades</w:t>
            </w:r>
          </w:p>
        </w:tc>
        <w:tc>
          <w:tcPr>
            <w:tcW w:w="2465" w:type="dxa"/>
            <w:noWrap/>
            <w:hideMark/>
          </w:tcPr>
          <w:p w:rsidR="00F30E6D" w:rsidRPr="00911915" w:rsidRDefault="00F30E6D" w:rsidP="007C2A50">
            <w:pPr>
              <w:jc w:val="center"/>
              <w:rPr>
                <w:rFonts w:ascii="Rotis Sans Serif Std" w:hAnsi="Rotis Sans Serif Std"/>
                <w:color w:val="FFFFFF"/>
              </w:rPr>
            </w:pPr>
            <w:r w:rsidRPr="00911915">
              <w:rPr>
                <w:rFonts w:ascii="Rotis Sans Serif Std" w:hAnsi="Rotis Sans Serif Std"/>
                <w:b w:val="0"/>
                <w:bCs w:val="0"/>
                <w:color w:val="FFFFFF"/>
              </w:rPr>
              <w:t>Treballadors afectats</w:t>
            </w:r>
          </w:p>
        </w:tc>
      </w:tr>
      <w:tr w:rsidR="00F30E6D" w:rsidRPr="00911915" w:rsidTr="007C2A50">
        <w:trPr>
          <w:cnfStyle w:val="000000100000" w:firstRow="0" w:lastRow="0" w:firstColumn="0" w:lastColumn="0" w:oddVBand="0" w:evenVBand="0" w:oddHBand="1" w:evenHBand="0" w:firstRowFirstColumn="0" w:firstRowLastColumn="0" w:lastRowFirstColumn="0" w:lastRowLastColumn="0"/>
          <w:trHeight w:val="305"/>
          <w:jc w:val="center"/>
        </w:trPr>
        <w:tc>
          <w:tcPr>
            <w:tcW w:w="2970" w:type="dxa"/>
            <w:noWrap/>
            <w:hideMark/>
          </w:tcPr>
          <w:p w:rsidR="00F30E6D" w:rsidRPr="00911915" w:rsidRDefault="00F30E6D" w:rsidP="007C2A50">
            <w:pPr>
              <w:rPr>
                <w:rFonts w:ascii="Rotis Sans Serif Std" w:hAnsi="Rotis Sans Serif Std"/>
                <w:b/>
                <w:color w:val="000000"/>
              </w:rPr>
            </w:pPr>
            <w:r w:rsidRPr="00911915">
              <w:rPr>
                <w:rFonts w:ascii="Rotis Sans Serif Std" w:hAnsi="Rotis Sans Serif Std"/>
                <w:b/>
                <w:color w:val="000000"/>
              </w:rPr>
              <w:t>2011</w:t>
            </w:r>
          </w:p>
        </w:tc>
        <w:tc>
          <w:tcPr>
            <w:tcW w:w="203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176</w:t>
            </w:r>
          </w:p>
        </w:tc>
        <w:tc>
          <w:tcPr>
            <w:tcW w:w="171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196</w:t>
            </w:r>
          </w:p>
        </w:tc>
        <w:tc>
          <w:tcPr>
            <w:tcW w:w="2465"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68.867</w:t>
            </w:r>
          </w:p>
        </w:tc>
      </w:tr>
      <w:tr w:rsidR="00F30E6D" w:rsidRPr="00911915" w:rsidTr="007C2A50">
        <w:trPr>
          <w:trHeight w:val="305"/>
          <w:jc w:val="center"/>
        </w:trPr>
        <w:tc>
          <w:tcPr>
            <w:tcW w:w="2970" w:type="dxa"/>
            <w:noWrap/>
            <w:hideMark/>
          </w:tcPr>
          <w:p w:rsidR="00F30E6D" w:rsidRPr="00911915" w:rsidRDefault="00F30E6D" w:rsidP="007C2A50">
            <w:pPr>
              <w:rPr>
                <w:rFonts w:ascii="Rotis Sans Serif Std" w:hAnsi="Rotis Sans Serif Std"/>
                <w:b/>
                <w:color w:val="000000"/>
              </w:rPr>
            </w:pPr>
            <w:r w:rsidRPr="00911915">
              <w:rPr>
                <w:rFonts w:ascii="Rotis Sans Serif Std" w:hAnsi="Rotis Sans Serif Std"/>
                <w:b/>
                <w:color w:val="000000"/>
              </w:rPr>
              <w:t>2012</w:t>
            </w:r>
          </w:p>
        </w:tc>
        <w:tc>
          <w:tcPr>
            <w:tcW w:w="203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193</w:t>
            </w:r>
          </w:p>
        </w:tc>
        <w:tc>
          <w:tcPr>
            <w:tcW w:w="171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207</w:t>
            </w:r>
          </w:p>
        </w:tc>
        <w:tc>
          <w:tcPr>
            <w:tcW w:w="2465"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134.831</w:t>
            </w:r>
          </w:p>
        </w:tc>
      </w:tr>
      <w:tr w:rsidR="00F30E6D" w:rsidRPr="00911915" w:rsidTr="007C2A50">
        <w:trPr>
          <w:cnfStyle w:val="000000100000" w:firstRow="0" w:lastRow="0" w:firstColumn="0" w:lastColumn="0" w:oddVBand="0" w:evenVBand="0" w:oddHBand="1" w:evenHBand="0" w:firstRowFirstColumn="0" w:firstRowLastColumn="0" w:lastRowFirstColumn="0" w:lastRowLastColumn="0"/>
          <w:trHeight w:val="305"/>
          <w:jc w:val="center"/>
        </w:trPr>
        <w:tc>
          <w:tcPr>
            <w:tcW w:w="2970" w:type="dxa"/>
            <w:noWrap/>
            <w:hideMark/>
          </w:tcPr>
          <w:p w:rsidR="00F30E6D" w:rsidRPr="00911915" w:rsidRDefault="00F30E6D" w:rsidP="007C2A50">
            <w:pPr>
              <w:rPr>
                <w:rFonts w:ascii="Rotis Sans Serif Std" w:hAnsi="Rotis Sans Serif Std"/>
                <w:b/>
                <w:color w:val="000000"/>
              </w:rPr>
            </w:pPr>
            <w:r w:rsidRPr="00911915">
              <w:rPr>
                <w:rFonts w:ascii="Rotis Sans Serif Std" w:hAnsi="Rotis Sans Serif Std"/>
                <w:b/>
                <w:color w:val="000000"/>
              </w:rPr>
              <w:t>2013</w:t>
            </w:r>
          </w:p>
        </w:tc>
        <w:tc>
          <w:tcPr>
            <w:tcW w:w="203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226</w:t>
            </w:r>
          </w:p>
        </w:tc>
        <w:tc>
          <w:tcPr>
            <w:tcW w:w="171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16.038</w:t>
            </w:r>
          </w:p>
        </w:tc>
        <w:tc>
          <w:tcPr>
            <w:tcW w:w="2465"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404.127</w:t>
            </w:r>
          </w:p>
        </w:tc>
      </w:tr>
      <w:tr w:rsidR="00F30E6D" w:rsidRPr="00911915" w:rsidTr="007C2A50">
        <w:trPr>
          <w:trHeight w:val="305"/>
          <w:jc w:val="center"/>
        </w:trPr>
        <w:tc>
          <w:tcPr>
            <w:tcW w:w="2970" w:type="dxa"/>
            <w:noWrap/>
            <w:hideMark/>
          </w:tcPr>
          <w:p w:rsidR="00F30E6D" w:rsidRPr="00911915" w:rsidRDefault="00F30E6D" w:rsidP="007C2A50">
            <w:pPr>
              <w:rPr>
                <w:rFonts w:ascii="Rotis Sans Serif Std" w:hAnsi="Rotis Sans Serif Std"/>
                <w:b/>
                <w:color w:val="000000"/>
              </w:rPr>
            </w:pPr>
            <w:r w:rsidRPr="00911915">
              <w:rPr>
                <w:rFonts w:ascii="Rotis Sans Serif Std" w:hAnsi="Rotis Sans Serif Std"/>
                <w:b/>
                <w:color w:val="000000"/>
              </w:rPr>
              <w:t>2014</w:t>
            </w:r>
          </w:p>
        </w:tc>
        <w:tc>
          <w:tcPr>
            <w:tcW w:w="203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178</w:t>
            </w:r>
          </w:p>
        </w:tc>
        <w:tc>
          <w:tcPr>
            <w:tcW w:w="171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190</w:t>
            </w:r>
          </w:p>
        </w:tc>
        <w:tc>
          <w:tcPr>
            <w:tcW w:w="2465"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68.379</w:t>
            </w:r>
          </w:p>
        </w:tc>
      </w:tr>
      <w:tr w:rsidR="00F30E6D" w:rsidRPr="00911915" w:rsidTr="007C2A50">
        <w:trPr>
          <w:cnfStyle w:val="000000100000" w:firstRow="0" w:lastRow="0" w:firstColumn="0" w:lastColumn="0" w:oddVBand="0" w:evenVBand="0" w:oddHBand="1" w:evenHBand="0" w:firstRowFirstColumn="0" w:firstRowLastColumn="0" w:lastRowFirstColumn="0" w:lastRowLastColumn="0"/>
          <w:trHeight w:val="305"/>
          <w:jc w:val="center"/>
        </w:trPr>
        <w:tc>
          <w:tcPr>
            <w:tcW w:w="2970" w:type="dxa"/>
            <w:noWrap/>
            <w:hideMark/>
          </w:tcPr>
          <w:p w:rsidR="00F30E6D" w:rsidRPr="00911915" w:rsidRDefault="00F30E6D" w:rsidP="007C2A50">
            <w:pPr>
              <w:rPr>
                <w:rFonts w:ascii="Rotis Sans Serif Std" w:hAnsi="Rotis Sans Serif Std"/>
                <w:b/>
                <w:color w:val="000000"/>
              </w:rPr>
            </w:pPr>
            <w:r w:rsidRPr="00911915">
              <w:rPr>
                <w:rFonts w:ascii="Rotis Sans Serif Std" w:hAnsi="Rotis Sans Serif Std"/>
                <w:b/>
                <w:color w:val="000000"/>
              </w:rPr>
              <w:t>2015</w:t>
            </w:r>
          </w:p>
        </w:tc>
        <w:tc>
          <w:tcPr>
            <w:tcW w:w="203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122</w:t>
            </w:r>
          </w:p>
        </w:tc>
        <w:tc>
          <w:tcPr>
            <w:tcW w:w="171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124</w:t>
            </w:r>
          </w:p>
        </w:tc>
        <w:tc>
          <w:tcPr>
            <w:tcW w:w="2465"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114.979</w:t>
            </w:r>
          </w:p>
        </w:tc>
      </w:tr>
      <w:tr w:rsidR="00F30E6D" w:rsidRPr="00911915" w:rsidTr="007C2A50">
        <w:trPr>
          <w:trHeight w:val="305"/>
          <w:jc w:val="center"/>
        </w:trPr>
        <w:tc>
          <w:tcPr>
            <w:tcW w:w="2970" w:type="dxa"/>
            <w:noWrap/>
            <w:hideMark/>
          </w:tcPr>
          <w:p w:rsidR="00F30E6D" w:rsidRPr="00911915" w:rsidRDefault="00F30E6D" w:rsidP="007C2A50">
            <w:pPr>
              <w:rPr>
                <w:rFonts w:ascii="Rotis Sans Serif Std" w:hAnsi="Rotis Sans Serif Std"/>
                <w:b/>
                <w:color w:val="000000"/>
              </w:rPr>
            </w:pPr>
            <w:r w:rsidRPr="00911915">
              <w:rPr>
                <w:rFonts w:ascii="Rotis Sans Serif Std" w:hAnsi="Rotis Sans Serif Std"/>
                <w:b/>
                <w:color w:val="000000"/>
              </w:rPr>
              <w:t>2016</w:t>
            </w:r>
          </w:p>
        </w:tc>
        <w:tc>
          <w:tcPr>
            <w:tcW w:w="203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118</w:t>
            </w:r>
          </w:p>
        </w:tc>
        <w:tc>
          <w:tcPr>
            <w:tcW w:w="171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126</w:t>
            </w:r>
          </w:p>
        </w:tc>
        <w:tc>
          <w:tcPr>
            <w:tcW w:w="2465"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65.182</w:t>
            </w:r>
          </w:p>
        </w:tc>
      </w:tr>
      <w:tr w:rsidR="00F30E6D" w:rsidRPr="00911915" w:rsidTr="007C2A50">
        <w:trPr>
          <w:cnfStyle w:val="000000100000" w:firstRow="0" w:lastRow="0" w:firstColumn="0" w:lastColumn="0" w:oddVBand="0" w:evenVBand="0" w:oddHBand="1" w:evenHBand="0" w:firstRowFirstColumn="0" w:firstRowLastColumn="0" w:lastRowFirstColumn="0" w:lastRowLastColumn="0"/>
          <w:trHeight w:val="305"/>
          <w:jc w:val="center"/>
        </w:trPr>
        <w:tc>
          <w:tcPr>
            <w:tcW w:w="2970" w:type="dxa"/>
            <w:noWrap/>
            <w:hideMark/>
          </w:tcPr>
          <w:p w:rsidR="00F30E6D" w:rsidRPr="00911915" w:rsidRDefault="00F30E6D" w:rsidP="007C2A50">
            <w:pPr>
              <w:rPr>
                <w:rFonts w:ascii="Rotis Sans Serif Std" w:hAnsi="Rotis Sans Serif Std"/>
                <w:b/>
                <w:color w:val="000000"/>
              </w:rPr>
            </w:pPr>
            <w:r w:rsidRPr="00911915">
              <w:rPr>
                <w:rFonts w:ascii="Rotis Sans Serif Std" w:hAnsi="Rotis Sans Serif Std"/>
                <w:b/>
                <w:color w:val="000000"/>
              </w:rPr>
              <w:t>2017</w:t>
            </w:r>
          </w:p>
        </w:tc>
        <w:tc>
          <w:tcPr>
            <w:tcW w:w="203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102</w:t>
            </w:r>
          </w:p>
        </w:tc>
        <w:tc>
          <w:tcPr>
            <w:tcW w:w="1714"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129</w:t>
            </w:r>
          </w:p>
        </w:tc>
        <w:tc>
          <w:tcPr>
            <w:tcW w:w="2465" w:type="dxa"/>
            <w:noWrap/>
            <w:hideMark/>
          </w:tcPr>
          <w:p w:rsidR="00F30E6D" w:rsidRPr="00911915" w:rsidRDefault="00F30E6D" w:rsidP="007C2A50">
            <w:pPr>
              <w:jc w:val="center"/>
              <w:rPr>
                <w:rFonts w:ascii="Rotis Sans Serif Std" w:hAnsi="Rotis Sans Serif Std"/>
                <w:color w:val="000000"/>
              </w:rPr>
            </w:pPr>
            <w:r w:rsidRPr="00911915">
              <w:rPr>
                <w:rFonts w:ascii="Rotis Sans Serif Std" w:hAnsi="Rotis Sans Serif Std"/>
                <w:color w:val="000000"/>
              </w:rPr>
              <w:t>66.503</w:t>
            </w:r>
          </w:p>
        </w:tc>
      </w:tr>
      <w:tr w:rsidR="00F30E6D" w:rsidRPr="00911915" w:rsidTr="007C2A50">
        <w:trPr>
          <w:trHeight w:val="305"/>
          <w:jc w:val="center"/>
        </w:trPr>
        <w:tc>
          <w:tcPr>
            <w:tcW w:w="2970" w:type="dxa"/>
            <w:noWrap/>
            <w:vAlign w:val="bottom"/>
            <w:hideMark/>
          </w:tcPr>
          <w:p w:rsidR="00F30E6D" w:rsidRPr="00911915" w:rsidRDefault="00F30E6D" w:rsidP="007C2A50">
            <w:pPr>
              <w:rPr>
                <w:rFonts w:ascii="Rotis Sans Serif Std" w:hAnsi="Rotis Sans Serif Std"/>
                <w:b/>
                <w:color w:val="000000"/>
              </w:rPr>
            </w:pPr>
            <w:r w:rsidRPr="00EA5D8E">
              <w:rPr>
                <w:rFonts w:ascii="Rotis Sans Serif Std" w:hAnsi="Rotis Sans Serif Std"/>
                <w:b/>
                <w:color w:val="000000"/>
              </w:rPr>
              <w:t>Acumulat maig 18</w:t>
            </w:r>
          </w:p>
        </w:tc>
        <w:tc>
          <w:tcPr>
            <w:tcW w:w="2034" w:type="dxa"/>
            <w:noWrap/>
            <w:vAlign w:val="bottom"/>
            <w:hideMark/>
          </w:tcPr>
          <w:p w:rsidR="00F30E6D" w:rsidRPr="00911915" w:rsidRDefault="00F30E6D" w:rsidP="007C2A50">
            <w:pPr>
              <w:jc w:val="center"/>
              <w:rPr>
                <w:rFonts w:ascii="Rotis Sans Serif Std" w:hAnsi="Rotis Sans Serif Std"/>
                <w:color w:val="000000"/>
              </w:rPr>
            </w:pPr>
            <w:r w:rsidRPr="00EA5D8E">
              <w:rPr>
                <w:rFonts w:ascii="Rotis Sans Serif Std" w:hAnsi="Rotis Sans Serif Std"/>
                <w:color w:val="000000"/>
              </w:rPr>
              <w:t>45</w:t>
            </w:r>
          </w:p>
        </w:tc>
        <w:tc>
          <w:tcPr>
            <w:tcW w:w="1714" w:type="dxa"/>
            <w:noWrap/>
            <w:vAlign w:val="bottom"/>
            <w:hideMark/>
          </w:tcPr>
          <w:p w:rsidR="00F30E6D" w:rsidRPr="00911915" w:rsidRDefault="00F30E6D" w:rsidP="007C2A50">
            <w:pPr>
              <w:jc w:val="center"/>
              <w:rPr>
                <w:rFonts w:ascii="Rotis Sans Serif Std" w:hAnsi="Rotis Sans Serif Std"/>
                <w:color w:val="000000"/>
              </w:rPr>
            </w:pPr>
            <w:r w:rsidRPr="00EA5D8E">
              <w:rPr>
                <w:rFonts w:ascii="Rotis Sans Serif Std" w:hAnsi="Rotis Sans Serif Std"/>
                <w:color w:val="000000"/>
              </w:rPr>
              <w:t>57</w:t>
            </w:r>
          </w:p>
        </w:tc>
        <w:tc>
          <w:tcPr>
            <w:tcW w:w="2465" w:type="dxa"/>
            <w:noWrap/>
            <w:vAlign w:val="bottom"/>
            <w:hideMark/>
          </w:tcPr>
          <w:p w:rsidR="00F30E6D" w:rsidRPr="00911915" w:rsidRDefault="00F30E6D" w:rsidP="007C2A50">
            <w:pPr>
              <w:jc w:val="center"/>
              <w:rPr>
                <w:rFonts w:ascii="Rotis Sans Serif Std" w:hAnsi="Rotis Sans Serif Std"/>
                <w:color w:val="000000"/>
              </w:rPr>
            </w:pPr>
            <w:r w:rsidRPr="00EA5D8E">
              <w:rPr>
                <w:rFonts w:ascii="Rotis Sans Serif Std" w:hAnsi="Rotis Sans Serif Std"/>
                <w:color w:val="000000"/>
              </w:rPr>
              <w:t>15</w:t>
            </w:r>
            <w:r>
              <w:rPr>
                <w:rFonts w:ascii="Rotis Sans Serif Std" w:hAnsi="Rotis Sans Serif Std"/>
                <w:color w:val="000000"/>
              </w:rPr>
              <w:t>.</w:t>
            </w:r>
            <w:r w:rsidRPr="00EA5D8E">
              <w:rPr>
                <w:rFonts w:ascii="Rotis Sans Serif Std" w:hAnsi="Rotis Sans Serif Std"/>
                <w:color w:val="000000"/>
              </w:rPr>
              <w:t>787</w:t>
            </w:r>
          </w:p>
        </w:tc>
      </w:tr>
      <w:tr w:rsidR="00F30E6D" w:rsidRPr="00911915" w:rsidTr="007C2A50">
        <w:trPr>
          <w:cnfStyle w:val="000000100000" w:firstRow="0" w:lastRow="0" w:firstColumn="0" w:lastColumn="0" w:oddVBand="0" w:evenVBand="0" w:oddHBand="1" w:evenHBand="0" w:firstRowFirstColumn="0" w:firstRowLastColumn="0" w:lastRowFirstColumn="0" w:lastRowLastColumn="0"/>
          <w:trHeight w:val="305"/>
          <w:jc w:val="center"/>
        </w:trPr>
        <w:tc>
          <w:tcPr>
            <w:tcW w:w="2970" w:type="dxa"/>
            <w:noWrap/>
            <w:vAlign w:val="bottom"/>
            <w:hideMark/>
          </w:tcPr>
          <w:p w:rsidR="00F30E6D" w:rsidRPr="00911915" w:rsidRDefault="00F30E6D" w:rsidP="007C2A50">
            <w:pPr>
              <w:rPr>
                <w:rFonts w:ascii="Rotis Sans Serif Std" w:hAnsi="Rotis Sans Serif Std"/>
                <w:b/>
                <w:color w:val="000000"/>
              </w:rPr>
            </w:pPr>
            <w:r w:rsidRPr="00EA5D8E">
              <w:rPr>
                <w:rFonts w:ascii="Rotis Sans Serif Std" w:hAnsi="Rotis Sans Serif Std"/>
                <w:b/>
                <w:color w:val="000000"/>
              </w:rPr>
              <w:t>Acumulat maig 17</w:t>
            </w:r>
          </w:p>
        </w:tc>
        <w:tc>
          <w:tcPr>
            <w:tcW w:w="2034" w:type="dxa"/>
            <w:noWrap/>
            <w:vAlign w:val="bottom"/>
            <w:hideMark/>
          </w:tcPr>
          <w:p w:rsidR="00F30E6D" w:rsidRPr="00911915" w:rsidRDefault="00F30E6D" w:rsidP="007C2A50">
            <w:pPr>
              <w:jc w:val="center"/>
              <w:rPr>
                <w:rFonts w:ascii="Rotis Sans Serif Std" w:hAnsi="Rotis Sans Serif Std"/>
                <w:color w:val="000000"/>
              </w:rPr>
            </w:pPr>
            <w:r w:rsidRPr="00EA5D8E">
              <w:rPr>
                <w:rFonts w:ascii="Rotis Sans Serif Std" w:hAnsi="Rotis Sans Serif Std"/>
                <w:color w:val="000000"/>
              </w:rPr>
              <w:t>52</w:t>
            </w:r>
          </w:p>
        </w:tc>
        <w:tc>
          <w:tcPr>
            <w:tcW w:w="1714" w:type="dxa"/>
            <w:noWrap/>
            <w:vAlign w:val="bottom"/>
            <w:hideMark/>
          </w:tcPr>
          <w:p w:rsidR="00F30E6D" w:rsidRPr="00911915" w:rsidRDefault="00F30E6D" w:rsidP="007C2A50">
            <w:pPr>
              <w:jc w:val="center"/>
              <w:rPr>
                <w:rFonts w:ascii="Rotis Sans Serif Std" w:hAnsi="Rotis Sans Serif Std"/>
                <w:color w:val="000000"/>
              </w:rPr>
            </w:pPr>
            <w:r w:rsidRPr="00EA5D8E">
              <w:rPr>
                <w:rFonts w:ascii="Rotis Sans Serif Std" w:hAnsi="Rotis Sans Serif Std"/>
                <w:color w:val="000000"/>
              </w:rPr>
              <w:t>78</w:t>
            </w:r>
          </w:p>
        </w:tc>
        <w:tc>
          <w:tcPr>
            <w:tcW w:w="2465" w:type="dxa"/>
            <w:noWrap/>
            <w:vAlign w:val="bottom"/>
            <w:hideMark/>
          </w:tcPr>
          <w:p w:rsidR="00F30E6D" w:rsidRPr="00911915" w:rsidRDefault="00F30E6D" w:rsidP="007C2A50">
            <w:pPr>
              <w:jc w:val="center"/>
              <w:rPr>
                <w:rFonts w:ascii="Rotis Sans Serif Std" w:hAnsi="Rotis Sans Serif Std"/>
                <w:color w:val="000000"/>
              </w:rPr>
            </w:pPr>
            <w:r w:rsidRPr="00EA5D8E">
              <w:rPr>
                <w:rFonts w:ascii="Rotis Sans Serif Std" w:hAnsi="Rotis Sans Serif Std"/>
                <w:color w:val="000000"/>
              </w:rPr>
              <w:t>17</w:t>
            </w:r>
            <w:r>
              <w:rPr>
                <w:rFonts w:ascii="Rotis Sans Serif Std" w:hAnsi="Rotis Sans Serif Std"/>
                <w:color w:val="000000"/>
              </w:rPr>
              <w:t>.</w:t>
            </w:r>
            <w:r w:rsidRPr="00EA5D8E">
              <w:rPr>
                <w:rFonts w:ascii="Rotis Sans Serif Std" w:hAnsi="Rotis Sans Serif Std"/>
                <w:color w:val="000000"/>
              </w:rPr>
              <w:t>836</w:t>
            </w:r>
          </w:p>
        </w:tc>
      </w:tr>
      <w:tr w:rsidR="00F30E6D" w:rsidRPr="00911915" w:rsidTr="007C2A50">
        <w:trPr>
          <w:trHeight w:val="305"/>
          <w:jc w:val="center"/>
        </w:trPr>
        <w:tc>
          <w:tcPr>
            <w:tcW w:w="2970" w:type="dxa"/>
            <w:noWrap/>
            <w:vAlign w:val="bottom"/>
            <w:hideMark/>
          </w:tcPr>
          <w:p w:rsidR="00F30E6D" w:rsidRPr="00911915" w:rsidRDefault="00F30E6D" w:rsidP="007C2A50">
            <w:pPr>
              <w:rPr>
                <w:rFonts w:ascii="Rotis Sans Serif Std" w:hAnsi="Rotis Sans Serif Std"/>
                <w:b/>
                <w:color w:val="000000"/>
              </w:rPr>
            </w:pPr>
            <w:r w:rsidRPr="00EA5D8E">
              <w:rPr>
                <w:rFonts w:ascii="Rotis Sans Serif Std" w:hAnsi="Rotis Sans Serif Std"/>
                <w:b/>
                <w:color w:val="000000"/>
              </w:rPr>
              <w:t xml:space="preserve">Variació </w:t>
            </w:r>
          </w:p>
        </w:tc>
        <w:tc>
          <w:tcPr>
            <w:tcW w:w="2034" w:type="dxa"/>
            <w:noWrap/>
            <w:vAlign w:val="bottom"/>
            <w:hideMark/>
          </w:tcPr>
          <w:p w:rsidR="00F30E6D" w:rsidRPr="00911915" w:rsidRDefault="00F30E6D" w:rsidP="007C2A50">
            <w:pPr>
              <w:jc w:val="center"/>
              <w:rPr>
                <w:rFonts w:ascii="Rotis Sans Serif Std" w:hAnsi="Rotis Sans Serif Std"/>
                <w:color w:val="000000"/>
              </w:rPr>
            </w:pPr>
            <w:r w:rsidRPr="00EA5D8E">
              <w:rPr>
                <w:rFonts w:ascii="Rotis Sans Serif Std" w:hAnsi="Rotis Sans Serif Std"/>
                <w:color w:val="000000"/>
              </w:rPr>
              <w:t>-13,5</w:t>
            </w:r>
          </w:p>
        </w:tc>
        <w:tc>
          <w:tcPr>
            <w:tcW w:w="1714" w:type="dxa"/>
            <w:noWrap/>
            <w:vAlign w:val="bottom"/>
            <w:hideMark/>
          </w:tcPr>
          <w:p w:rsidR="00F30E6D" w:rsidRPr="00911915" w:rsidRDefault="00F30E6D" w:rsidP="007C2A50">
            <w:pPr>
              <w:jc w:val="center"/>
              <w:rPr>
                <w:rFonts w:ascii="Rotis Sans Serif Std" w:hAnsi="Rotis Sans Serif Std"/>
                <w:color w:val="000000"/>
              </w:rPr>
            </w:pPr>
            <w:r w:rsidRPr="00EA5D8E">
              <w:rPr>
                <w:rFonts w:ascii="Rotis Sans Serif Std" w:hAnsi="Rotis Sans Serif Std"/>
                <w:color w:val="000000"/>
              </w:rPr>
              <w:t>-26,9</w:t>
            </w:r>
          </w:p>
        </w:tc>
        <w:tc>
          <w:tcPr>
            <w:tcW w:w="2465" w:type="dxa"/>
            <w:noWrap/>
            <w:vAlign w:val="bottom"/>
            <w:hideMark/>
          </w:tcPr>
          <w:p w:rsidR="00F30E6D" w:rsidRPr="00911915" w:rsidRDefault="00F30E6D" w:rsidP="007C2A50">
            <w:pPr>
              <w:jc w:val="center"/>
              <w:rPr>
                <w:rFonts w:ascii="Rotis Sans Serif Std" w:hAnsi="Rotis Sans Serif Std"/>
                <w:color w:val="000000"/>
              </w:rPr>
            </w:pPr>
            <w:r w:rsidRPr="00EA5D8E">
              <w:rPr>
                <w:rFonts w:ascii="Rotis Sans Serif Std" w:hAnsi="Rotis Sans Serif Std"/>
                <w:color w:val="000000"/>
              </w:rPr>
              <w:t>-11,5</w:t>
            </w:r>
          </w:p>
        </w:tc>
      </w:tr>
    </w:tbl>
    <w:p w:rsidR="00F30E6D" w:rsidRPr="00EA5418" w:rsidRDefault="00F30E6D" w:rsidP="00F30E6D">
      <w:pPr>
        <w:pStyle w:val="TEXTBOLD"/>
        <w:spacing w:line="276" w:lineRule="auto"/>
        <w:jc w:val="center"/>
        <w:rPr>
          <w:b w:val="0"/>
          <w:color w:val="FF0000"/>
          <w:sz w:val="20"/>
          <w:szCs w:val="20"/>
          <w:lang w:val="ca-ES"/>
        </w:rPr>
      </w:pPr>
      <w:r w:rsidRPr="00EA5418">
        <w:rPr>
          <w:b w:val="0"/>
          <w:sz w:val="20"/>
          <w:szCs w:val="20"/>
          <w:lang w:val="ca-ES"/>
        </w:rPr>
        <w:t xml:space="preserve">Font: Elaboració pròpia a partir de les dades de l’Observatori </w:t>
      </w:r>
      <w:r>
        <w:rPr>
          <w:b w:val="0"/>
          <w:sz w:val="20"/>
          <w:szCs w:val="20"/>
          <w:lang w:val="ca-ES"/>
        </w:rPr>
        <w:t>del Treball i Model Productiu.</w:t>
      </w:r>
    </w:p>
    <w:p w:rsidR="00F30E6D" w:rsidRDefault="00F30E6D" w:rsidP="00F30E6D">
      <w:pPr>
        <w:pStyle w:val="TEXTBOLD"/>
        <w:spacing w:line="276" w:lineRule="auto"/>
        <w:jc w:val="center"/>
        <w:rPr>
          <w:b w:val="0"/>
          <w:sz w:val="20"/>
          <w:szCs w:val="20"/>
          <w:lang w:val="ca-ES"/>
        </w:rPr>
      </w:pPr>
    </w:p>
    <w:p w:rsidR="00F30E6D" w:rsidRDefault="00F30E6D" w:rsidP="00F30E6D">
      <w:pPr>
        <w:pStyle w:val="TEXTBOLD"/>
        <w:spacing w:line="276" w:lineRule="auto"/>
        <w:rPr>
          <w:b w:val="0"/>
          <w:sz w:val="24"/>
          <w:szCs w:val="24"/>
          <w:lang w:val="ca-ES"/>
        </w:rPr>
      </w:pPr>
      <w:r w:rsidRPr="00597D69">
        <w:rPr>
          <w:b w:val="0"/>
          <w:sz w:val="24"/>
          <w:szCs w:val="24"/>
          <w:lang w:val="ca-ES"/>
        </w:rPr>
        <w:t>Per sector</w:t>
      </w:r>
      <w:r>
        <w:rPr>
          <w:b w:val="0"/>
          <w:sz w:val="24"/>
          <w:szCs w:val="24"/>
          <w:lang w:val="ca-ES"/>
        </w:rPr>
        <w:t>s, el 40</w:t>
      </w:r>
      <w:r w:rsidRPr="00597D69">
        <w:rPr>
          <w:b w:val="0"/>
          <w:sz w:val="24"/>
          <w:szCs w:val="24"/>
          <w:lang w:val="ca-ES"/>
        </w:rPr>
        <w:t>% de conflictes col·lectius van afectar al sector</w:t>
      </w:r>
      <w:r>
        <w:rPr>
          <w:b w:val="0"/>
          <w:sz w:val="24"/>
          <w:szCs w:val="24"/>
          <w:lang w:val="ca-ES"/>
        </w:rPr>
        <w:t xml:space="preserve"> Indústria i el 60% al sector Serveis. </w:t>
      </w:r>
      <w:r w:rsidRPr="00597D69">
        <w:rPr>
          <w:b w:val="0"/>
          <w:sz w:val="24"/>
          <w:szCs w:val="24"/>
          <w:lang w:val="ca-ES"/>
        </w:rPr>
        <w:t xml:space="preserve"> </w:t>
      </w:r>
    </w:p>
    <w:p w:rsidR="00F30E6D" w:rsidRPr="004905FD" w:rsidRDefault="00F30E6D" w:rsidP="00F30E6D">
      <w:pPr>
        <w:pStyle w:val="TEXTBOLD"/>
        <w:spacing w:line="276" w:lineRule="auto"/>
        <w:rPr>
          <w:b w:val="0"/>
          <w:sz w:val="14"/>
          <w:szCs w:val="24"/>
          <w:lang w:val="ca-ES"/>
        </w:rPr>
      </w:pPr>
    </w:p>
    <w:p w:rsidR="00F30E6D" w:rsidRDefault="00F30E6D" w:rsidP="00F30E6D">
      <w:pPr>
        <w:pStyle w:val="TEXTBOLD"/>
        <w:spacing w:line="276" w:lineRule="auto"/>
        <w:rPr>
          <w:b w:val="0"/>
          <w:sz w:val="24"/>
          <w:szCs w:val="24"/>
          <w:lang w:val="ca-ES"/>
        </w:rPr>
      </w:pPr>
      <w:r w:rsidRPr="00597D69">
        <w:rPr>
          <w:b w:val="0"/>
          <w:sz w:val="24"/>
          <w:szCs w:val="24"/>
          <w:lang w:val="ca-ES"/>
        </w:rPr>
        <w:t xml:space="preserve">Per àmbit territorial, </w:t>
      </w:r>
      <w:r>
        <w:rPr>
          <w:b w:val="0"/>
          <w:sz w:val="24"/>
          <w:szCs w:val="24"/>
          <w:lang w:val="ca-ES"/>
        </w:rPr>
        <w:t xml:space="preserve">fins al mes de maig de 2018, s’han produït 30 conflictes col·lectius a Barcelona, 3 a Girona i 13 a Tarragona. </w:t>
      </w:r>
    </w:p>
    <w:p w:rsidR="00F30E6D" w:rsidRDefault="00F30E6D" w:rsidP="00F30E6D">
      <w:pPr>
        <w:pStyle w:val="TEXTBOLD"/>
        <w:spacing w:line="276" w:lineRule="auto"/>
        <w:rPr>
          <w:b w:val="0"/>
          <w:sz w:val="24"/>
          <w:szCs w:val="24"/>
          <w:lang w:val="ca-ES"/>
        </w:rPr>
      </w:pPr>
    </w:p>
    <w:tbl>
      <w:tblPr>
        <w:tblStyle w:val="Sombreadomedio2-nfasis2"/>
        <w:tblW w:w="8501" w:type="dxa"/>
        <w:jc w:val="center"/>
        <w:tblLook w:val="0420" w:firstRow="1" w:lastRow="0" w:firstColumn="0" w:lastColumn="0" w:noHBand="0" w:noVBand="1"/>
      </w:tblPr>
      <w:tblGrid>
        <w:gridCol w:w="1801"/>
        <w:gridCol w:w="2260"/>
        <w:gridCol w:w="2180"/>
        <w:gridCol w:w="2260"/>
      </w:tblGrid>
      <w:tr w:rsidR="00F30E6D" w:rsidRPr="00A90148" w:rsidTr="007C2A50">
        <w:trPr>
          <w:cnfStyle w:val="100000000000" w:firstRow="1" w:lastRow="0" w:firstColumn="0" w:lastColumn="0" w:oddVBand="0" w:evenVBand="0" w:oddHBand="0" w:evenHBand="0" w:firstRowFirstColumn="0" w:firstRowLastColumn="0" w:lastRowFirstColumn="0" w:lastRowLastColumn="0"/>
          <w:trHeight w:val="600"/>
          <w:jc w:val="center"/>
        </w:trPr>
        <w:tc>
          <w:tcPr>
            <w:tcW w:w="1801" w:type="dxa"/>
            <w:hideMark/>
          </w:tcPr>
          <w:p w:rsidR="00F30E6D" w:rsidRPr="00911915" w:rsidRDefault="00F30E6D" w:rsidP="007C2A50">
            <w:pPr>
              <w:rPr>
                <w:rFonts w:ascii="Rotis Sans Serif Std" w:hAnsi="Rotis Sans Serif Std"/>
                <w:b w:val="0"/>
                <w:bCs w:val="0"/>
                <w:color w:val="FFFFFF"/>
              </w:rPr>
            </w:pPr>
            <w:r w:rsidRPr="00911915">
              <w:rPr>
                <w:rFonts w:ascii="Rotis Sans Serif Std" w:hAnsi="Rotis Sans Serif Std"/>
                <w:b w:val="0"/>
                <w:bCs w:val="0"/>
                <w:color w:val="FFFFFF"/>
              </w:rPr>
              <w:t>Demarcació territorial</w:t>
            </w:r>
          </w:p>
        </w:tc>
        <w:tc>
          <w:tcPr>
            <w:tcW w:w="2260" w:type="dxa"/>
            <w:hideMark/>
          </w:tcPr>
          <w:p w:rsidR="00F30E6D" w:rsidRPr="00911915" w:rsidRDefault="00F30E6D" w:rsidP="007C2A50">
            <w:pPr>
              <w:jc w:val="center"/>
              <w:rPr>
                <w:rFonts w:ascii="Rotis Sans Serif Std" w:hAnsi="Rotis Sans Serif Std"/>
                <w:b w:val="0"/>
                <w:bCs w:val="0"/>
                <w:color w:val="FFFFFF"/>
              </w:rPr>
            </w:pPr>
            <w:r w:rsidRPr="00911915">
              <w:rPr>
                <w:rFonts w:ascii="Rotis Sans Serif Std" w:hAnsi="Rotis Sans Serif Std"/>
                <w:b w:val="0"/>
                <w:bCs w:val="0"/>
                <w:color w:val="FFFFFF"/>
              </w:rPr>
              <w:t>Conflictes col·lectius</w:t>
            </w:r>
          </w:p>
        </w:tc>
        <w:tc>
          <w:tcPr>
            <w:tcW w:w="2180" w:type="dxa"/>
            <w:hideMark/>
          </w:tcPr>
          <w:p w:rsidR="00F30E6D" w:rsidRPr="00911915" w:rsidRDefault="00F30E6D" w:rsidP="007C2A50">
            <w:pPr>
              <w:jc w:val="center"/>
              <w:rPr>
                <w:rFonts w:ascii="Rotis Sans Serif Std" w:hAnsi="Rotis Sans Serif Std"/>
                <w:b w:val="0"/>
                <w:bCs w:val="0"/>
                <w:color w:val="FFFFFF"/>
              </w:rPr>
            </w:pPr>
            <w:r w:rsidRPr="00911915">
              <w:rPr>
                <w:rFonts w:ascii="Rotis Sans Serif Std" w:hAnsi="Rotis Sans Serif Std"/>
                <w:b w:val="0"/>
                <w:bCs w:val="0"/>
                <w:color w:val="FFFFFF"/>
              </w:rPr>
              <w:t>Empreses afectades</w:t>
            </w:r>
          </w:p>
        </w:tc>
        <w:tc>
          <w:tcPr>
            <w:tcW w:w="2260" w:type="dxa"/>
            <w:hideMark/>
          </w:tcPr>
          <w:p w:rsidR="00F30E6D" w:rsidRPr="00911915" w:rsidRDefault="00F30E6D" w:rsidP="007C2A50">
            <w:pPr>
              <w:jc w:val="center"/>
              <w:rPr>
                <w:rFonts w:ascii="Rotis Sans Serif Std" w:hAnsi="Rotis Sans Serif Std"/>
                <w:b w:val="0"/>
                <w:bCs w:val="0"/>
                <w:color w:val="FFFFFF"/>
              </w:rPr>
            </w:pPr>
            <w:r w:rsidRPr="00911915">
              <w:rPr>
                <w:rFonts w:ascii="Rotis Sans Serif Std" w:hAnsi="Rotis Sans Serif Std"/>
                <w:b w:val="0"/>
                <w:bCs w:val="0"/>
                <w:color w:val="FFFFFF"/>
              </w:rPr>
              <w:t>Treballadors afectats</w:t>
            </w:r>
          </w:p>
        </w:tc>
      </w:tr>
      <w:tr w:rsidR="00F30E6D" w:rsidRPr="00A90148" w:rsidTr="007C2A50">
        <w:trPr>
          <w:cnfStyle w:val="000000100000" w:firstRow="0" w:lastRow="0" w:firstColumn="0" w:lastColumn="0" w:oddVBand="0" w:evenVBand="0" w:oddHBand="1" w:evenHBand="0" w:firstRowFirstColumn="0" w:firstRowLastColumn="0" w:lastRowFirstColumn="0" w:lastRowLastColumn="0"/>
          <w:trHeight w:val="300"/>
          <w:jc w:val="center"/>
        </w:trPr>
        <w:tc>
          <w:tcPr>
            <w:tcW w:w="1801" w:type="dxa"/>
            <w:noWrap/>
            <w:vAlign w:val="bottom"/>
            <w:hideMark/>
          </w:tcPr>
          <w:p w:rsidR="00F30E6D" w:rsidRPr="00733001" w:rsidRDefault="00F30E6D" w:rsidP="007C2A50">
            <w:pPr>
              <w:rPr>
                <w:rFonts w:ascii="Rotis Sans Serif Std" w:hAnsi="Rotis Sans Serif Std"/>
                <w:b/>
                <w:color w:val="000000"/>
              </w:rPr>
            </w:pPr>
            <w:r w:rsidRPr="00733001">
              <w:rPr>
                <w:rFonts w:ascii="Rotis Sans Serif Std" w:hAnsi="Rotis Sans Serif Std"/>
                <w:b/>
                <w:color w:val="000000"/>
              </w:rPr>
              <w:t>Barcelona</w:t>
            </w:r>
          </w:p>
        </w:tc>
        <w:tc>
          <w:tcPr>
            <w:tcW w:w="2260" w:type="dxa"/>
            <w:noWrap/>
            <w:vAlign w:val="bottom"/>
            <w:hideMark/>
          </w:tcPr>
          <w:p w:rsidR="00F30E6D" w:rsidRPr="00733001" w:rsidRDefault="00F30E6D" w:rsidP="007C2A50">
            <w:pPr>
              <w:jc w:val="center"/>
              <w:rPr>
                <w:rFonts w:ascii="Rotis Sans Serif Std" w:hAnsi="Rotis Sans Serif Std"/>
                <w:color w:val="000000"/>
                <w:szCs w:val="22"/>
              </w:rPr>
            </w:pPr>
            <w:r w:rsidRPr="00733001">
              <w:rPr>
                <w:rFonts w:ascii="Rotis Sans Serif Std" w:hAnsi="Rotis Sans Serif Std"/>
                <w:color w:val="000000"/>
                <w:szCs w:val="22"/>
              </w:rPr>
              <w:t>30</w:t>
            </w:r>
          </w:p>
        </w:tc>
        <w:tc>
          <w:tcPr>
            <w:tcW w:w="2180" w:type="dxa"/>
            <w:noWrap/>
            <w:vAlign w:val="bottom"/>
            <w:hideMark/>
          </w:tcPr>
          <w:p w:rsidR="00F30E6D" w:rsidRPr="00733001" w:rsidRDefault="00F30E6D" w:rsidP="007C2A50">
            <w:pPr>
              <w:jc w:val="center"/>
              <w:rPr>
                <w:rFonts w:ascii="Rotis Sans Serif Std" w:hAnsi="Rotis Sans Serif Std"/>
                <w:color w:val="000000"/>
                <w:szCs w:val="22"/>
              </w:rPr>
            </w:pPr>
            <w:r w:rsidRPr="00733001">
              <w:rPr>
                <w:rFonts w:ascii="Rotis Sans Serif Std" w:hAnsi="Rotis Sans Serif Std"/>
                <w:color w:val="000000"/>
                <w:szCs w:val="22"/>
              </w:rPr>
              <w:t>0</w:t>
            </w:r>
          </w:p>
        </w:tc>
        <w:tc>
          <w:tcPr>
            <w:tcW w:w="2260" w:type="dxa"/>
            <w:noWrap/>
            <w:vAlign w:val="bottom"/>
            <w:hideMark/>
          </w:tcPr>
          <w:p w:rsidR="00F30E6D" w:rsidRPr="00733001" w:rsidRDefault="00F30E6D" w:rsidP="007C2A50">
            <w:pPr>
              <w:jc w:val="center"/>
              <w:rPr>
                <w:rFonts w:ascii="Rotis Sans Serif Std" w:hAnsi="Rotis Sans Serif Std"/>
                <w:color w:val="000000"/>
                <w:szCs w:val="22"/>
              </w:rPr>
            </w:pPr>
            <w:r w:rsidRPr="00733001">
              <w:rPr>
                <w:rFonts w:ascii="Rotis Sans Serif Std" w:hAnsi="Rotis Sans Serif Std"/>
                <w:color w:val="000000"/>
                <w:szCs w:val="22"/>
              </w:rPr>
              <w:t>14.395</w:t>
            </w:r>
          </w:p>
        </w:tc>
      </w:tr>
      <w:tr w:rsidR="00F30E6D" w:rsidRPr="00A90148" w:rsidTr="007C2A50">
        <w:trPr>
          <w:trHeight w:val="300"/>
          <w:jc w:val="center"/>
        </w:trPr>
        <w:tc>
          <w:tcPr>
            <w:tcW w:w="1801" w:type="dxa"/>
            <w:noWrap/>
            <w:vAlign w:val="bottom"/>
            <w:hideMark/>
          </w:tcPr>
          <w:p w:rsidR="00F30E6D" w:rsidRPr="00733001" w:rsidRDefault="00F30E6D" w:rsidP="007C2A50">
            <w:pPr>
              <w:rPr>
                <w:rFonts w:ascii="Rotis Sans Serif Std" w:hAnsi="Rotis Sans Serif Std"/>
                <w:b/>
                <w:color w:val="000000"/>
              </w:rPr>
            </w:pPr>
            <w:r w:rsidRPr="00733001">
              <w:rPr>
                <w:rFonts w:ascii="Rotis Sans Serif Std" w:hAnsi="Rotis Sans Serif Std"/>
                <w:b/>
                <w:color w:val="000000"/>
              </w:rPr>
              <w:t>Girona</w:t>
            </w:r>
          </w:p>
        </w:tc>
        <w:tc>
          <w:tcPr>
            <w:tcW w:w="2260" w:type="dxa"/>
            <w:noWrap/>
            <w:vAlign w:val="bottom"/>
            <w:hideMark/>
          </w:tcPr>
          <w:p w:rsidR="00F30E6D" w:rsidRPr="00733001" w:rsidRDefault="00F30E6D" w:rsidP="007C2A50">
            <w:pPr>
              <w:jc w:val="center"/>
              <w:rPr>
                <w:rFonts w:ascii="Rotis Sans Serif Std" w:hAnsi="Rotis Sans Serif Std"/>
                <w:color w:val="000000"/>
                <w:szCs w:val="22"/>
              </w:rPr>
            </w:pPr>
            <w:r w:rsidRPr="00733001">
              <w:rPr>
                <w:rFonts w:ascii="Rotis Sans Serif Std" w:hAnsi="Rotis Sans Serif Std"/>
                <w:color w:val="000000"/>
                <w:szCs w:val="22"/>
              </w:rPr>
              <w:t>3</w:t>
            </w:r>
          </w:p>
        </w:tc>
        <w:tc>
          <w:tcPr>
            <w:tcW w:w="2180" w:type="dxa"/>
            <w:noWrap/>
            <w:vAlign w:val="bottom"/>
            <w:hideMark/>
          </w:tcPr>
          <w:p w:rsidR="00F30E6D" w:rsidRPr="00733001" w:rsidRDefault="00F30E6D" w:rsidP="007C2A50">
            <w:pPr>
              <w:jc w:val="center"/>
              <w:rPr>
                <w:rFonts w:ascii="Rotis Sans Serif Std" w:hAnsi="Rotis Sans Serif Std"/>
                <w:color w:val="000000"/>
                <w:szCs w:val="22"/>
              </w:rPr>
            </w:pPr>
            <w:r w:rsidRPr="00733001">
              <w:rPr>
                <w:rFonts w:ascii="Rotis Sans Serif Std" w:hAnsi="Rotis Sans Serif Std"/>
                <w:color w:val="000000"/>
                <w:szCs w:val="22"/>
              </w:rPr>
              <w:t>3</w:t>
            </w:r>
          </w:p>
        </w:tc>
        <w:tc>
          <w:tcPr>
            <w:tcW w:w="2260" w:type="dxa"/>
            <w:noWrap/>
            <w:vAlign w:val="bottom"/>
            <w:hideMark/>
          </w:tcPr>
          <w:p w:rsidR="00F30E6D" w:rsidRPr="00733001" w:rsidRDefault="00F30E6D" w:rsidP="007C2A50">
            <w:pPr>
              <w:jc w:val="center"/>
              <w:rPr>
                <w:rFonts w:ascii="Rotis Sans Serif Std" w:hAnsi="Rotis Sans Serif Std"/>
                <w:color w:val="000000"/>
                <w:szCs w:val="22"/>
              </w:rPr>
            </w:pPr>
            <w:r w:rsidRPr="00733001">
              <w:rPr>
                <w:rFonts w:ascii="Rotis Sans Serif Std" w:hAnsi="Rotis Sans Serif Std"/>
                <w:color w:val="000000"/>
                <w:szCs w:val="22"/>
              </w:rPr>
              <w:t>908</w:t>
            </w:r>
          </w:p>
        </w:tc>
      </w:tr>
      <w:tr w:rsidR="00F30E6D" w:rsidRPr="00A90148" w:rsidTr="007C2A50">
        <w:trPr>
          <w:cnfStyle w:val="000000100000" w:firstRow="0" w:lastRow="0" w:firstColumn="0" w:lastColumn="0" w:oddVBand="0" w:evenVBand="0" w:oddHBand="1" w:evenHBand="0" w:firstRowFirstColumn="0" w:firstRowLastColumn="0" w:lastRowFirstColumn="0" w:lastRowLastColumn="0"/>
          <w:trHeight w:val="300"/>
          <w:jc w:val="center"/>
        </w:trPr>
        <w:tc>
          <w:tcPr>
            <w:tcW w:w="1801" w:type="dxa"/>
            <w:noWrap/>
            <w:vAlign w:val="bottom"/>
            <w:hideMark/>
          </w:tcPr>
          <w:p w:rsidR="00F30E6D" w:rsidRPr="00733001" w:rsidRDefault="00F30E6D" w:rsidP="007C2A50">
            <w:pPr>
              <w:rPr>
                <w:rFonts w:ascii="Rotis Sans Serif Std" w:hAnsi="Rotis Sans Serif Std"/>
                <w:b/>
                <w:color w:val="000000"/>
              </w:rPr>
            </w:pPr>
            <w:r w:rsidRPr="00733001">
              <w:rPr>
                <w:rFonts w:ascii="Rotis Sans Serif Std" w:hAnsi="Rotis Sans Serif Std"/>
                <w:b/>
                <w:color w:val="000000"/>
              </w:rPr>
              <w:t>Lleida</w:t>
            </w:r>
          </w:p>
        </w:tc>
        <w:tc>
          <w:tcPr>
            <w:tcW w:w="2260" w:type="dxa"/>
            <w:noWrap/>
            <w:vAlign w:val="bottom"/>
            <w:hideMark/>
          </w:tcPr>
          <w:p w:rsidR="00F30E6D" w:rsidRPr="00733001" w:rsidRDefault="00F30E6D" w:rsidP="007C2A50">
            <w:pPr>
              <w:jc w:val="center"/>
              <w:rPr>
                <w:rFonts w:ascii="Rotis Sans Serif Std" w:hAnsi="Rotis Sans Serif Std"/>
                <w:color w:val="000000"/>
                <w:szCs w:val="22"/>
              </w:rPr>
            </w:pPr>
            <w:r w:rsidRPr="00733001">
              <w:rPr>
                <w:rFonts w:ascii="Rotis Sans Serif Std" w:hAnsi="Rotis Sans Serif Std"/>
                <w:color w:val="000000"/>
                <w:szCs w:val="22"/>
              </w:rPr>
              <w:t>0</w:t>
            </w:r>
          </w:p>
        </w:tc>
        <w:tc>
          <w:tcPr>
            <w:tcW w:w="2180" w:type="dxa"/>
            <w:noWrap/>
            <w:vAlign w:val="bottom"/>
            <w:hideMark/>
          </w:tcPr>
          <w:p w:rsidR="00F30E6D" w:rsidRPr="00733001" w:rsidRDefault="00F30E6D" w:rsidP="007C2A50">
            <w:pPr>
              <w:jc w:val="center"/>
              <w:rPr>
                <w:rFonts w:ascii="Rotis Sans Serif Std" w:hAnsi="Rotis Sans Serif Std"/>
                <w:color w:val="000000"/>
                <w:szCs w:val="22"/>
              </w:rPr>
            </w:pPr>
            <w:r w:rsidRPr="00733001">
              <w:rPr>
                <w:rFonts w:ascii="Rotis Sans Serif Std" w:hAnsi="Rotis Sans Serif Std"/>
                <w:color w:val="000000"/>
                <w:szCs w:val="22"/>
              </w:rPr>
              <w:t>0</w:t>
            </w:r>
          </w:p>
        </w:tc>
        <w:tc>
          <w:tcPr>
            <w:tcW w:w="2260" w:type="dxa"/>
            <w:noWrap/>
            <w:vAlign w:val="bottom"/>
            <w:hideMark/>
          </w:tcPr>
          <w:p w:rsidR="00F30E6D" w:rsidRPr="00733001" w:rsidRDefault="00F30E6D" w:rsidP="007C2A50">
            <w:pPr>
              <w:jc w:val="center"/>
              <w:rPr>
                <w:rFonts w:ascii="Rotis Sans Serif Std" w:hAnsi="Rotis Sans Serif Std"/>
                <w:color w:val="000000"/>
                <w:szCs w:val="22"/>
              </w:rPr>
            </w:pPr>
            <w:r w:rsidRPr="00733001">
              <w:rPr>
                <w:rFonts w:ascii="Rotis Sans Serif Std" w:hAnsi="Rotis Sans Serif Std"/>
                <w:color w:val="000000"/>
                <w:szCs w:val="22"/>
              </w:rPr>
              <w:t>0</w:t>
            </w:r>
          </w:p>
        </w:tc>
      </w:tr>
      <w:tr w:rsidR="00F30E6D" w:rsidRPr="00A90148" w:rsidTr="007C2A50">
        <w:trPr>
          <w:trHeight w:val="300"/>
          <w:jc w:val="center"/>
        </w:trPr>
        <w:tc>
          <w:tcPr>
            <w:tcW w:w="1801" w:type="dxa"/>
            <w:noWrap/>
            <w:vAlign w:val="bottom"/>
            <w:hideMark/>
          </w:tcPr>
          <w:p w:rsidR="00F30E6D" w:rsidRPr="00733001" w:rsidRDefault="00F30E6D" w:rsidP="007C2A50">
            <w:pPr>
              <w:rPr>
                <w:rFonts w:ascii="Rotis Sans Serif Std" w:hAnsi="Rotis Sans Serif Std"/>
                <w:b/>
                <w:color w:val="000000"/>
              </w:rPr>
            </w:pPr>
            <w:r w:rsidRPr="00733001">
              <w:rPr>
                <w:rFonts w:ascii="Rotis Sans Serif Std" w:hAnsi="Rotis Sans Serif Std"/>
                <w:b/>
                <w:color w:val="000000"/>
              </w:rPr>
              <w:t xml:space="preserve">Tarragona </w:t>
            </w:r>
          </w:p>
        </w:tc>
        <w:tc>
          <w:tcPr>
            <w:tcW w:w="2260" w:type="dxa"/>
            <w:noWrap/>
            <w:vAlign w:val="bottom"/>
            <w:hideMark/>
          </w:tcPr>
          <w:p w:rsidR="00F30E6D" w:rsidRPr="00733001" w:rsidRDefault="00F30E6D" w:rsidP="007C2A50">
            <w:pPr>
              <w:jc w:val="center"/>
              <w:rPr>
                <w:rFonts w:ascii="Rotis Sans Serif Std" w:hAnsi="Rotis Sans Serif Std"/>
                <w:color w:val="000000"/>
                <w:szCs w:val="22"/>
              </w:rPr>
            </w:pPr>
            <w:r w:rsidRPr="00733001">
              <w:rPr>
                <w:rFonts w:ascii="Rotis Sans Serif Std" w:hAnsi="Rotis Sans Serif Std"/>
                <w:color w:val="000000"/>
                <w:szCs w:val="22"/>
              </w:rPr>
              <w:t>12</w:t>
            </w:r>
          </w:p>
        </w:tc>
        <w:tc>
          <w:tcPr>
            <w:tcW w:w="2180" w:type="dxa"/>
            <w:noWrap/>
            <w:vAlign w:val="bottom"/>
            <w:hideMark/>
          </w:tcPr>
          <w:p w:rsidR="00F30E6D" w:rsidRPr="00733001" w:rsidRDefault="00F30E6D" w:rsidP="007C2A50">
            <w:pPr>
              <w:jc w:val="center"/>
              <w:rPr>
                <w:rFonts w:ascii="Rotis Sans Serif Std" w:hAnsi="Rotis Sans Serif Std"/>
                <w:color w:val="000000"/>
                <w:szCs w:val="22"/>
              </w:rPr>
            </w:pPr>
            <w:r w:rsidRPr="00733001">
              <w:rPr>
                <w:rFonts w:ascii="Rotis Sans Serif Std" w:hAnsi="Rotis Sans Serif Std"/>
                <w:color w:val="000000"/>
                <w:szCs w:val="22"/>
              </w:rPr>
              <w:t>23</w:t>
            </w:r>
          </w:p>
        </w:tc>
        <w:tc>
          <w:tcPr>
            <w:tcW w:w="2260" w:type="dxa"/>
            <w:noWrap/>
            <w:vAlign w:val="bottom"/>
            <w:hideMark/>
          </w:tcPr>
          <w:p w:rsidR="00F30E6D" w:rsidRPr="00733001" w:rsidRDefault="00F30E6D" w:rsidP="007C2A50">
            <w:pPr>
              <w:jc w:val="center"/>
              <w:rPr>
                <w:rFonts w:ascii="Rotis Sans Serif Std" w:hAnsi="Rotis Sans Serif Std"/>
                <w:color w:val="000000"/>
                <w:szCs w:val="22"/>
              </w:rPr>
            </w:pPr>
            <w:r w:rsidRPr="00733001">
              <w:rPr>
                <w:rFonts w:ascii="Rotis Sans Serif Std" w:hAnsi="Rotis Sans Serif Std"/>
                <w:color w:val="000000"/>
                <w:szCs w:val="22"/>
              </w:rPr>
              <w:t>484</w:t>
            </w:r>
          </w:p>
        </w:tc>
      </w:tr>
    </w:tbl>
    <w:p w:rsidR="00F30E6D" w:rsidRDefault="00F30E6D" w:rsidP="00F30E6D">
      <w:pPr>
        <w:pStyle w:val="TEXTBOLD"/>
        <w:spacing w:line="276" w:lineRule="auto"/>
        <w:jc w:val="center"/>
        <w:rPr>
          <w:b w:val="0"/>
          <w:sz w:val="20"/>
          <w:szCs w:val="20"/>
          <w:lang w:val="ca-ES"/>
        </w:rPr>
      </w:pPr>
      <w:r w:rsidRPr="00EA5418">
        <w:rPr>
          <w:b w:val="0"/>
          <w:sz w:val="20"/>
          <w:szCs w:val="20"/>
          <w:lang w:val="ca-ES"/>
        </w:rPr>
        <w:t xml:space="preserve">Font: Elaboració pròpia a partir de les dades de l’Observatori </w:t>
      </w:r>
      <w:r>
        <w:rPr>
          <w:b w:val="0"/>
          <w:sz w:val="20"/>
          <w:szCs w:val="20"/>
          <w:lang w:val="ca-ES"/>
        </w:rPr>
        <w:t>del Treball i Model Productiu.</w:t>
      </w:r>
    </w:p>
    <w:p w:rsidR="00143C1E" w:rsidRPr="003C2FB0" w:rsidRDefault="005A63AE" w:rsidP="00AB0BAA">
      <w:pPr>
        <w:pStyle w:val="Prrafodelista"/>
        <w:numPr>
          <w:ilvl w:val="1"/>
          <w:numId w:val="9"/>
        </w:numPr>
        <w:shd w:val="clear" w:color="auto" w:fill="F2F2F2"/>
        <w:spacing w:line="276" w:lineRule="auto"/>
        <w:jc w:val="both"/>
        <w:rPr>
          <w:rFonts w:ascii="Rotis Sans Serif Std" w:hAnsi="Rotis Sans Serif Std"/>
          <w:b/>
          <w:color w:val="C00000"/>
        </w:rPr>
      </w:pPr>
      <w:bookmarkStart w:id="17" w:name="Flexibilitat"/>
      <w:r>
        <w:rPr>
          <w:rFonts w:ascii="Rotis Sans Serif Std" w:hAnsi="Rotis Sans Serif Std"/>
          <w:b/>
          <w:color w:val="C00000"/>
        </w:rPr>
        <w:t>FLEXIBILITAT EN EL TEMPS DE TREBALL</w:t>
      </w:r>
    </w:p>
    <w:bookmarkEnd w:id="15"/>
    <w:bookmarkEnd w:id="16"/>
    <w:bookmarkEnd w:id="17"/>
    <w:p w:rsidR="00321449" w:rsidRDefault="00321449" w:rsidP="00321449">
      <w:pPr>
        <w:spacing w:line="276" w:lineRule="auto"/>
        <w:jc w:val="both"/>
        <w:rPr>
          <w:rFonts w:ascii="Rotis Sans Serif Std" w:hAnsi="Rotis Sans Serif Std" w:cs="RotisSansSerifStd-Regular"/>
          <w:color w:val="5E6061"/>
          <w:lang w:eastAsia="es-ES_tradnl"/>
        </w:rPr>
      </w:pPr>
    </w:p>
    <w:p w:rsidR="007C2A50" w:rsidRDefault="007C2A50" w:rsidP="007C2A50">
      <w:pPr>
        <w:pStyle w:val="HTMLconformatoprevio"/>
        <w:jc w:val="both"/>
        <w:rPr>
          <w:rFonts w:ascii="Rotis Sans Serif Std" w:hAnsi="Rotis Sans Serif Std" w:cs="RotisSansSerifStd-Regular"/>
          <w:color w:val="5E6061"/>
          <w:sz w:val="24"/>
          <w:szCs w:val="24"/>
          <w:lang w:val="ca-ES" w:eastAsia="es-ES_tradnl"/>
        </w:rPr>
      </w:pPr>
      <w:r w:rsidRPr="0047073D">
        <w:rPr>
          <w:rFonts w:ascii="Rotis Sans Serif Std" w:hAnsi="Rotis Sans Serif Std" w:cs="RotisSansSerifStd-Regular"/>
          <w:color w:val="5E6061"/>
          <w:sz w:val="24"/>
          <w:szCs w:val="24"/>
          <w:lang w:val="ca-ES" w:eastAsia="es-ES_tradnl"/>
        </w:rPr>
        <w:t>L</w:t>
      </w:r>
      <w:r>
        <w:rPr>
          <w:rFonts w:ascii="Rotis Sans Serif Std" w:hAnsi="Rotis Sans Serif Std" w:cs="RotisSansSerifStd-Regular"/>
          <w:color w:val="5E6061"/>
          <w:sz w:val="24"/>
          <w:szCs w:val="24"/>
          <w:lang w:val="ca-ES" w:eastAsia="es-ES_tradnl"/>
        </w:rPr>
        <w:t>es darreres dades del mercat de treball posen de manifest una desacceleració progressiva en el ritme de recuperació de l’ocupació. L</w:t>
      </w:r>
      <w:r w:rsidRPr="00824804">
        <w:rPr>
          <w:rFonts w:ascii="Rotis Sans Serif Std" w:hAnsi="Rotis Sans Serif Std" w:cs="RotisSansSerifStd-Regular"/>
          <w:color w:val="5E6061"/>
          <w:sz w:val="24"/>
          <w:szCs w:val="24"/>
          <w:lang w:val="ca-ES" w:eastAsia="es-ES_tradnl"/>
        </w:rPr>
        <w:t>es altes taxes d'</w:t>
      </w:r>
      <w:r>
        <w:rPr>
          <w:rFonts w:ascii="Rotis Sans Serif Std" w:hAnsi="Rotis Sans Serif Std" w:cs="RotisSansSerifStd-Regular"/>
          <w:color w:val="5E6061"/>
          <w:sz w:val="24"/>
          <w:szCs w:val="24"/>
          <w:lang w:val="ca-ES" w:eastAsia="es-ES_tradnl"/>
        </w:rPr>
        <w:t xml:space="preserve">atur </w:t>
      </w:r>
      <w:r w:rsidRPr="00824804">
        <w:rPr>
          <w:rFonts w:ascii="Rotis Sans Serif Std" w:hAnsi="Rotis Sans Serif Std" w:cs="RotisSansSerifStd-Regular"/>
          <w:color w:val="5E6061"/>
          <w:sz w:val="24"/>
          <w:szCs w:val="24"/>
          <w:lang w:val="ca-ES" w:eastAsia="es-ES_tradnl"/>
        </w:rPr>
        <w:t xml:space="preserve">i un possible alentiment en el creixement econòmic obliguen a no adoptar mesures que puguin comportar increments de costos </w:t>
      </w:r>
      <w:r w:rsidR="00511B8F">
        <w:rPr>
          <w:rFonts w:ascii="Rotis Sans Serif Std" w:hAnsi="Rotis Sans Serif Std" w:cs="RotisSansSerifStd-Regular"/>
          <w:color w:val="5E6061"/>
          <w:sz w:val="24"/>
          <w:szCs w:val="24"/>
          <w:lang w:val="ca-ES" w:eastAsia="es-ES_tradnl"/>
        </w:rPr>
        <w:t>laborals</w:t>
      </w:r>
      <w:r w:rsidRPr="00824804">
        <w:rPr>
          <w:rFonts w:ascii="Rotis Sans Serif Std" w:hAnsi="Rotis Sans Serif Std" w:cs="RotisSansSerifStd-Regular"/>
          <w:color w:val="5E6061"/>
          <w:sz w:val="24"/>
          <w:szCs w:val="24"/>
          <w:lang w:val="ca-ES" w:eastAsia="es-ES_tradnl"/>
        </w:rPr>
        <w:t xml:space="preserve"> o noves obligacions o rigideses en el nostre mercat laboral per facilitar noves contractacions. </w:t>
      </w:r>
    </w:p>
    <w:p w:rsidR="007C2A50" w:rsidRDefault="007C2A50" w:rsidP="007C2A50">
      <w:pPr>
        <w:pStyle w:val="HTMLconformatoprevio"/>
        <w:jc w:val="both"/>
        <w:rPr>
          <w:rFonts w:ascii="Rotis Sans Serif Std" w:hAnsi="Rotis Sans Serif Std" w:cs="RotisSansSerifStd-Regular"/>
          <w:color w:val="5E6061"/>
          <w:sz w:val="24"/>
          <w:szCs w:val="24"/>
          <w:lang w:val="ca-ES" w:eastAsia="es-ES_tradnl"/>
        </w:rPr>
      </w:pPr>
    </w:p>
    <w:p w:rsidR="007C2A50" w:rsidRDefault="007C2A50" w:rsidP="007C2A50">
      <w:pPr>
        <w:pStyle w:val="HTMLconformatoprevio"/>
        <w:jc w:val="both"/>
        <w:rPr>
          <w:rFonts w:ascii="Rotis Sans Serif Std" w:hAnsi="Rotis Sans Serif Std" w:cs="RotisSansSerifStd-Regular"/>
          <w:color w:val="5E6061"/>
          <w:sz w:val="24"/>
          <w:szCs w:val="24"/>
          <w:lang w:val="ca-ES" w:eastAsia="es-ES_tradnl"/>
        </w:rPr>
      </w:pPr>
      <w:r>
        <w:rPr>
          <w:rFonts w:ascii="Rotis Sans Serif Std" w:hAnsi="Rotis Sans Serif Std" w:cs="RotisSansSerifStd-Regular"/>
          <w:color w:val="5E6061"/>
          <w:sz w:val="24"/>
          <w:szCs w:val="24"/>
          <w:lang w:val="ca-ES" w:eastAsia="es-ES_tradnl"/>
        </w:rPr>
        <w:t>De tal m</w:t>
      </w:r>
      <w:r w:rsidRPr="00824804">
        <w:rPr>
          <w:rFonts w:ascii="Rotis Sans Serif Std" w:hAnsi="Rotis Sans Serif Std" w:cs="RotisSansSerifStd-Regular"/>
          <w:color w:val="5E6061"/>
          <w:sz w:val="24"/>
          <w:szCs w:val="24"/>
          <w:lang w:val="ca-ES" w:eastAsia="es-ES_tradnl"/>
        </w:rPr>
        <w:t>anera que, no es pot abaixar la guàrdia i convé adoptar noves mesures que impulsin la creació d'ocupació per part de les empreses en termes de reducció de costos, flexibilització de les relacions laborals i més seguretat jurídica en l'a</w:t>
      </w:r>
      <w:r>
        <w:rPr>
          <w:rFonts w:ascii="Rotis Sans Serif Std" w:hAnsi="Rotis Sans Serif Std" w:cs="RotisSansSerifStd-Regular"/>
          <w:color w:val="5E6061"/>
          <w:sz w:val="24"/>
          <w:szCs w:val="24"/>
          <w:lang w:val="ca-ES" w:eastAsia="es-ES_tradnl"/>
        </w:rPr>
        <w:t>plicació de la normativa vigent, sent el diàleg i la concertació social els instruments sobre els quals construir les reformes necessàries</w:t>
      </w:r>
    </w:p>
    <w:p w:rsidR="007C2A50" w:rsidRDefault="007C2A50" w:rsidP="007C2A50">
      <w:pPr>
        <w:pStyle w:val="HTMLconformatoprevio"/>
        <w:jc w:val="both"/>
        <w:rPr>
          <w:rFonts w:ascii="Rotis Sans Serif Std" w:hAnsi="Rotis Sans Serif Std" w:cs="RotisSansSerifStd-Regular"/>
          <w:color w:val="5E6061"/>
          <w:sz w:val="24"/>
          <w:szCs w:val="24"/>
          <w:lang w:val="ca-ES" w:eastAsia="es-ES_tradnl"/>
        </w:rPr>
      </w:pPr>
    </w:p>
    <w:p w:rsidR="007C2A50" w:rsidRDefault="007C2A50" w:rsidP="007C2A50">
      <w:pPr>
        <w:tabs>
          <w:tab w:val="left" w:pos="3150"/>
        </w:tabs>
        <w:jc w:val="both"/>
        <w:rPr>
          <w:rFonts w:ascii="Rotis Sans Serif Std" w:hAnsi="Rotis Sans Serif Std" w:cs="RotisSansSerifStd-Regular"/>
          <w:color w:val="5E6061"/>
          <w:lang w:eastAsia="es-ES_tradnl"/>
        </w:rPr>
      </w:pPr>
      <w:r w:rsidRPr="008B4481">
        <w:rPr>
          <w:rFonts w:ascii="Rotis Sans Serif Std" w:hAnsi="Rotis Sans Serif Std" w:cs="RotisSansSerifStd-Regular"/>
          <w:color w:val="5E6061"/>
          <w:lang w:eastAsia="es-ES_tradnl"/>
        </w:rPr>
        <w:t>Segons les dades de l’Enque</w:t>
      </w:r>
      <w:r>
        <w:rPr>
          <w:rFonts w:ascii="Rotis Sans Serif Std" w:hAnsi="Rotis Sans Serif Std" w:cs="RotisSansSerifStd-Regular"/>
          <w:color w:val="5E6061"/>
          <w:lang w:eastAsia="es-ES_tradnl"/>
        </w:rPr>
        <w:t xml:space="preserve">sta Anual Laboral, del </w:t>
      </w:r>
      <w:proofErr w:type="spellStart"/>
      <w:r>
        <w:rPr>
          <w:rFonts w:ascii="Rotis Sans Serif Std" w:hAnsi="Rotis Sans Serif Std" w:cs="RotisSansSerifStd-Regular"/>
          <w:color w:val="5E6061"/>
          <w:lang w:eastAsia="es-ES_tradnl"/>
        </w:rPr>
        <w:t>Ministerio</w:t>
      </w:r>
      <w:proofErr w:type="spellEnd"/>
      <w:r>
        <w:rPr>
          <w:rFonts w:ascii="Rotis Sans Serif Std" w:hAnsi="Rotis Sans Serif Std" w:cs="RotisSansSerifStd-Regular"/>
          <w:color w:val="5E6061"/>
          <w:lang w:eastAsia="es-ES_tradnl"/>
        </w:rPr>
        <w:t xml:space="preserve"> de Trabajo, </w:t>
      </w:r>
      <w:proofErr w:type="spellStart"/>
      <w:r>
        <w:rPr>
          <w:rFonts w:ascii="Rotis Sans Serif Std" w:hAnsi="Rotis Sans Serif Std" w:cs="RotisSansSerifStd-Regular"/>
          <w:color w:val="5E6061"/>
          <w:lang w:eastAsia="es-ES_tradnl"/>
        </w:rPr>
        <w:t>Migraciones</w:t>
      </w:r>
      <w:proofErr w:type="spellEnd"/>
      <w:r>
        <w:rPr>
          <w:rFonts w:ascii="Rotis Sans Serif Std" w:hAnsi="Rotis Sans Serif Std" w:cs="RotisSansSerifStd-Regular"/>
          <w:color w:val="5E6061"/>
          <w:lang w:eastAsia="es-ES_tradnl"/>
        </w:rPr>
        <w:t xml:space="preserve"> y Seguridad Social</w:t>
      </w:r>
      <w:r w:rsidRPr="008B4481">
        <w:rPr>
          <w:rFonts w:ascii="Rotis Sans Serif Std" w:hAnsi="Rotis Sans Serif Std" w:cs="RotisSansSerifStd-Regular"/>
          <w:color w:val="5E6061"/>
          <w:lang w:eastAsia="es-ES_tradnl"/>
        </w:rPr>
        <w:t>, només un 27</w:t>
      </w:r>
      <w:r>
        <w:rPr>
          <w:rFonts w:ascii="Rotis Sans Serif Std" w:hAnsi="Rotis Sans Serif Std" w:cs="RotisSansSerifStd-Regular"/>
          <w:color w:val="5E6061"/>
          <w:lang w:eastAsia="es-ES_tradnl"/>
        </w:rPr>
        <w:t>,5</w:t>
      </w:r>
      <w:r w:rsidRPr="008B4481">
        <w:rPr>
          <w:rFonts w:ascii="Rotis Sans Serif Std" w:hAnsi="Rotis Sans Serif Std" w:cs="RotisSansSerifStd-Regular"/>
          <w:color w:val="5E6061"/>
          <w:lang w:eastAsia="es-ES_tradnl"/>
        </w:rPr>
        <w:t xml:space="preserve">% de les empreses </w:t>
      </w:r>
      <w:r>
        <w:rPr>
          <w:rFonts w:ascii="Rotis Sans Serif Std" w:hAnsi="Rotis Sans Serif Std" w:cs="RotisSansSerifStd-Regular"/>
          <w:color w:val="5E6061"/>
          <w:lang w:eastAsia="es-ES_tradnl"/>
        </w:rPr>
        <w:t>a Catalunya (el 27,2% a nivell estatal)</w:t>
      </w:r>
      <w:r w:rsidRPr="008B4481">
        <w:rPr>
          <w:rFonts w:ascii="Rotis Sans Serif Std" w:hAnsi="Rotis Sans Serif Std" w:cs="RotisSansSerifStd-Regular"/>
          <w:color w:val="5E6061"/>
          <w:lang w:eastAsia="es-ES_tradnl"/>
        </w:rPr>
        <w:t xml:space="preserve"> van aplicar mesures de flexibilitat interna en 201</w:t>
      </w:r>
      <w:r>
        <w:rPr>
          <w:rFonts w:ascii="Rotis Sans Serif Std" w:hAnsi="Rotis Sans Serif Std" w:cs="RotisSansSerifStd-Regular"/>
          <w:color w:val="5E6061"/>
          <w:lang w:eastAsia="es-ES_tradnl"/>
        </w:rPr>
        <w:t>6</w:t>
      </w:r>
      <w:r w:rsidRPr="008B4481">
        <w:rPr>
          <w:rFonts w:ascii="Rotis Sans Serif Std" w:hAnsi="Rotis Sans Serif Std" w:cs="RotisSansSerifStd-Regular"/>
          <w:color w:val="5E6061"/>
          <w:lang w:eastAsia="es-ES_tradnl"/>
        </w:rPr>
        <w:t xml:space="preserve">, última dada disponible. </w:t>
      </w:r>
    </w:p>
    <w:p w:rsidR="007C2A50" w:rsidRDefault="007C2A50" w:rsidP="007C2A50">
      <w:pPr>
        <w:tabs>
          <w:tab w:val="left" w:pos="3150"/>
        </w:tabs>
        <w:jc w:val="both"/>
        <w:rPr>
          <w:rFonts w:ascii="Rotis Sans Serif Std" w:hAnsi="Rotis Sans Serif Std" w:cs="RotisSansSerifStd-Regular"/>
          <w:color w:val="5E6061"/>
          <w:lang w:eastAsia="es-ES_tradnl"/>
        </w:rPr>
      </w:pPr>
    </w:p>
    <w:p w:rsidR="007C2A50" w:rsidRDefault="007C2A50" w:rsidP="007C2A50">
      <w:pPr>
        <w:tabs>
          <w:tab w:val="left" w:pos="3150"/>
        </w:tabs>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A nivell estatal, e</w:t>
      </w:r>
      <w:r w:rsidRPr="008B4481">
        <w:rPr>
          <w:rFonts w:ascii="Rotis Sans Serif Std" w:hAnsi="Rotis Sans Serif Std" w:cs="RotisSansSerifStd-Regular"/>
          <w:color w:val="5E6061"/>
          <w:lang w:eastAsia="es-ES_tradnl"/>
        </w:rPr>
        <w:t xml:space="preserve">l percentatge d’empreses que han aplicat mesures de flexibilitat interna és major </w:t>
      </w:r>
      <w:r>
        <w:rPr>
          <w:rFonts w:ascii="Rotis Sans Serif Std" w:hAnsi="Rotis Sans Serif Std" w:cs="RotisSansSerifStd-Regular"/>
          <w:color w:val="5E6061"/>
          <w:lang w:eastAsia="es-ES_tradnl"/>
        </w:rPr>
        <w:t xml:space="preserve">quan </w:t>
      </w:r>
      <w:r w:rsidRPr="008B4481">
        <w:rPr>
          <w:rFonts w:ascii="Rotis Sans Serif Std" w:hAnsi="Rotis Sans Serif Std" w:cs="RotisSansSerifStd-Regular"/>
          <w:color w:val="5E6061"/>
          <w:lang w:eastAsia="es-ES_tradnl"/>
        </w:rPr>
        <w:t xml:space="preserve">més gran és </w:t>
      </w:r>
      <w:r>
        <w:rPr>
          <w:rFonts w:ascii="Rotis Sans Serif Std" w:hAnsi="Rotis Sans Serif Std" w:cs="RotisSansSerifStd-Regular"/>
          <w:color w:val="5E6061"/>
          <w:lang w:eastAsia="es-ES_tradnl"/>
        </w:rPr>
        <w:t>la dimensió de l’</w:t>
      </w:r>
      <w:r w:rsidRPr="008B4481">
        <w:rPr>
          <w:rFonts w:ascii="Rotis Sans Serif Std" w:hAnsi="Rotis Sans Serif Std" w:cs="RotisSansSerifStd-Regular"/>
          <w:color w:val="5E6061"/>
          <w:lang w:eastAsia="es-ES_tradnl"/>
        </w:rPr>
        <w:t xml:space="preserve">empresa: des del </w:t>
      </w:r>
      <w:r>
        <w:rPr>
          <w:rFonts w:ascii="Rotis Sans Serif Std" w:hAnsi="Rotis Sans Serif Std" w:cs="RotisSansSerifStd-Regular"/>
          <w:color w:val="5E6061"/>
          <w:lang w:eastAsia="es-ES_tradnl"/>
        </w:rPr>
        <w:t>24,5</w:t>
      </w:r>
      <w:r w:rsidRPr="008B4481">
        <w:rPr>
          <w:rFonts w:ascii="Rotis Sans Serif Std" w:hAnsi="Rotis Sans Serif Std" w:cs="RotisSansSerifStd-Regular"/>
          <w:color w:val="5E6061"/>
          <w:lang w:eastAsia="es-ES_tradnl"/>
        </w:rPr>
        <w:t xml:space="preserve">8% en les empreses de 5 a 9 treballadors, fins arribar al </w:t>
      </w:r>
      <w:r>
        <w:rPr>
          <w:rFonts w:ascii="Rotis Sans Serif Std" w:hAnsi="Rotis Sans Serif Std" w:cs="RotisSansSerifStd-Regular"/>
          <w:color w:val="5E6061"/>
          <w:lang w:eastAsia="es-ES_tradnl"/>
        </w:rPr>
        <w:t>54</w:t>
      </w:r>
      <w:r w:rsidRPr="008B4481">
        <w:rPr>
          <w:rFonts w:ascii="Rotis Sans Serif Std" w:hAnsi="Rotis Sans Serif Std" w:cs="RotisSansSerifStd-Regular"/>
          <w:color w:val="5E6061"/>
          <w:lang w:eastAsia="es-ES_tradnl"/>
        </w:rPr>
        <w:t xml:space="preserve">,3% en les empreses de més de 499 treballadors.  </w:t>
      </w:r>
      <w:r>
        <w:rPr>
          <w:rFonts w:ascii="Rotis Sans Serif Std" w:hAnsi="Rotis Sans Serif Std" w:cs="RotisSansSerifStd-Regular"/>
          <w:color w:val="5E6061"/>
          <w:lang w:eastAsia="es-ES_tradnl"/>
        </w:rPr>
        <w:t>Per sector d’activitat, s’han aplicat mesures de flexibilitat interna en un 29,5% de les empreses del sector serveis, en un 22,3% en la indústria i en un 19,3% de les empreses de la construcció.</w:t>
      </w:r>
    </w:p>
    <w:p w:rsidR="007C2A50" w:rsidRDefault="007C2A50" w:rsidP="007C2A50">
      <w:pPr>
        <w:tabs>
          <w:tab w:val="left" w:pos="3150"/>
        </w:tabs>
        <w:jc w:val="both"/>
        <w:rPr>
          <w:rFonts w:ascii="Rotis Sans Serif Std" w:hAnsi="Rotis Sans Serif Std" w:cs="RotisSansSerifStd-Regular"/>
          <w:color w:val="5E6061"/>
          <w:lang w:eastAsia="es-ES_tradnl"/>
        </w:rPr>
      </w:pPr>
    </w:p>
    <w:p w:rsidR="007C2A50" w:rsidRPr="00734A4F" w:rsidRDefault="007C2A50" w:rsidP="007C2A50">
      <w:pPr>
        <w:tabs>
          <w:tab w:val="left" w:pos="3150"/>
        </w:tabs>
        <w:jc w:val="both"/>
        <w:rPr>
          <w:rFonts w:ascii="Rotis Sans Serif Std" w:hAnsi="Rotis Sans Serif Std" w:cs="RotisSansSerifStd-Regular"/>
          <w:color w:val="5E6061"/>
          <w:lang w:eastAsia="es-ES_tradnl"/>
        </w:rPr>
      </w:pPr>
    </w:p>
    <w:tbl>
      <w:tblPr>
        <w:tblStyle w:val="Listamedia1-nfasis2"/>
        <w:tblW w:w="0" w:type="auto"/>
        <w:tblLook w:val="04A0" w:firstRow="1" w:lastRow="0" w:firstColumn="1" w:lastColumn="0" w:noHBand="0" w:noVBand="1"/>
      </w:tblPr>
      <w:tblGrid>
        <w:gridCol w:w="1955"/>
        <w:gridCol w:w="1956"/>
        <w:gridCol w:w="1956"/>
        <w:gridCol w:w="1956"/>
        <w:gridCol w:w="1956"/>
      </w:tblGrid>
      <w:tr w:rsidR="007C2A50" w:rsidRPr="00734A4F" w:rsidTr="007C2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Borders>
              <w:bottom w:val="single" w:sz="12" w:space="0" w:color="FFFFFF" w:themeColor="background1"/>
            </w:tcBorders>
            <w:shd w:val="clear" w:color="auto" w:fill="C00000"/>
          </w:tcPr>
          <w:p w:rsidR="007C2A50" w:rsidRPr="00233A00" w:rsidRDefault="007C2A50" w:rsidP="007C2A50">
            <w:pPr>
              <w:tabs>
                <w:tab w:val="left" w:pos="3150"/>
              </w:tabs>
              <w:jc w:val="both"/>
              <w:rPr>
                <w:rFonts w:ascii="Rotis Sans Serif Std" w:hAnsi="Rotis Sans Serif Std" w:cs="RotisSansSerifStd-Regular"/>
                <w:color w:val="FFFFFF" w:themeColor="background1"/>
                <w:lang w:eastAsia="es-ES_tradnl"/>
              </w:rPr>
            </w:pPr>
          </w:p>
        </w:tc>
        <w:tc>
          <w:tcPr>
            <w:tcW w:w="1956" w:type="dxa"/>
            <w:tcBorders>
              <w:bottom w:val="single" w:sz="12" w:space="0" w:color="FFFFFF" w:themeColor="background1"/>
            </w:tcBorders>
            <w:shd w:val="clear" w:color="auto" w:fill="C00000"/>
            <w:vAlign w:val="center"/>
          </w:tcPr>
          <w:p w:rsidR="007C2A50" w:rsidRPr="00233A00" w:rsidRDefault="007C2A50" w:rsidP="007C2A50">
            <w:pPr>
              <w:jc w:val="center"/>
              <w:cnfStyle w:val="100000000000" w:firstRow="1" w:lastRow="0" w:firstColumn="0" w:lastColumn="0" w:oddVBand="0" w:evenVBand="0" w:oddHBand="0" w:evenHBand="0" w:firstRowFirstColumn="0" w:firstRowLastColumn="0" w:lastRowFirstColumn="0" w:lastRowLastColumn="0"/>
              <w:rPr>
                <w:rFonts w:ascii="Rotis Sans Serif Std" w:hAnsi="Rotis Sans Serif Std" w:cs="Arial"/>
                <w:b/>
                <w:bCs/>
                <w:color w:val="FFFFFF" w:themeColor="background1"/>
                <w:sz w:val="18"/>
                <w:szCs w:val="18"/>
              </w:rPr>
            </w:pPr>
            <w:r w:rsidRPr="00233A00">
              <w:rPr>
                <w:rFonts w:ascii="Rotis Sans Serif Std" w:hAnsi="Rotis Sans Serif Std" w:cs="Arial"/>
                <w:b/>
                <w:bCs/>
                <w:color w:val="FFFFFF" w:themeColor="background1"/>
                <w:sz w:val="18"/>
                <w:szCs w:val="18"/>
              </w:rPr>
              <w:t>TOTAL</w:t>
            </w:r>
          </w:p>
        </w:tc>
        <w:tc>
          <w:tcPr>
            <w:tcW w:w="1956" w:type="dxa"/>
            <w:tcBorders>
              <w:bottom w:val="single" w:sz="12" w:space="0" w:color="FFFFFF" w:themeColor="background1"/>
            </w:tcBorders>
            <w:shd w:val="clear" w:color="auto" w:fill="C00000"/>
            <w:vAlign w:val="center"/>
          </w:tcPr>
          <w:p w:rsidR="007C2A50" w:rsidRPr="00233A00" w:rsidRDefault="007C2A50" w:rsidP="007C2A50">
            <w:pPr>
              <w:jc w:val="center"/>
              <w:cnfStyle w:val="100000000000" w:firstRow="1" w:lastRow="0" w:firstColumn="0" w:lastColumn="0" w:oddVBand="0" w:evenVBand="0" w:oddHBand="0" w:evenHBand="0" w:firstRowFirstColumn="0" w:firstRowLastColumn="0" w:lastRowFirstColumn="0" w:lastRowLastColumn="0"/>
              <w:rPr>
                <w:rFonts w:ascii="Rotis Sans Serif Std" w:hAnsi="Rotis Sans Serif Std" w:cs="Arial"/>
                <w:b/>
                <w:bCs/>
                <w:color w:val="FFFFFF" w:themeColor="background1"/>
                <w:sz w:val="18"/>
                <w:szCs w:val="18"/>
              </w:rPr>
            </w:pPr>
            <w:r w:rsidRPr="00233A00">
              <w:rPr>
                <w:rFonts w:ascii="Rotis Sans Serif Std" w:hAnsi="Rotis Sans Serif Std" w:cs="Arial"/>
                <w:b/>
                <w:bCs/>
                <w:color w:val="FFFFFF" w:themeColor="background1"/>
                <w:sz w:val="18"/>
                <w:szCs w:val="18"/>
              </w:rPr>
              <w:t>INDÚSTRIA</w:t>
            </w:r>
          </w:p>
        </w:tc>
        <w:tc>
          <w:tcPr>
            <w:tcW w:w="1956" w:type="dxa"/>
            <w:tcBorders>
              <w:bottom w:val="single" w:sz="12" w:space="0" w:color="FFFFFF" w:themeColor="background1"/>
            </w:tcBorders>
            <w:shd w:val="clear" w:color="auto" w:fill="C00000"/>
            <w:vAlign w:val="center"/>
          </w:tcPr>
          <w:p w:rsidR="007C2A50" w:rsidRPr="00233A00" w:rsidRDefault="007C2A50" w:rsidP="007C2A50">
            <w:pPr>
              <w:jc w:val="center"/>
              <w:cnfStyle w:val="100000000000" w:firstRow="1" w:lastRow="0" w:firstColumn="0" w:lastColumn="0" w:oddVBand="0" w:evenVBand="0" w:oddHBand="0" w:evenHBand="0" w:firstRowFirstColumn="0" w:firstRowLastColumn="0" w:lastRowFirstColumn="0" w:lastRowLastColumn="0"/>
              <w:rPr>
                <w:rFonts w:ascii="Rotis Sans Serif Std" w:hAnsi="Rotis Sans Serif Std" w:cs="Arial"/>
                <w:b/>
                <w:bCs/>
                <w:color w:val="FFFFFF" w:themeColor="background1"/>
                <w:sz w:val="18"/>
                <w:szCs w:val="18"/>
              </w:rPr>
            </w:pPr>
            <w:r w:rsidRPr="00233A00">
              <w:rPr>
                <w:rFonts w:ascii="Rotis Sans Serif Std" w:hAnsi="Rotis Sans Serif Std" w:cs="Arial"/>
                <w:b/>
                <w:bCs/>
                <w:color w:val="FFFFFF" w:themeColor="background1"/>
                <w:sz w:val="18"/>
                <w:szCs w:val="18"/>
              </w:rPr>
              <w:t>CONSTRUCCIÓ</w:t>
            </w:r>
          </w:p>
        </w:tc>
        <w:tc>
          <w:tcPr>
            <w:tcW w:w="1956" w:type="dxa"/>
            <w:tcBorders>
              <w:bottom w:val="single" w:sz="12" w:space="0" w:color="FFFFFF" w:themeColor="background1"/>
            </w:tcBorders>
            <w:shd w:val="clear" w:color="auto" w:fill="C00000"/>
            <w:vAlign w:val="center"/>
          </w:tcPr>
          <w:p w:rsidR="007C2A50" w:rsidRPr="00233A00" w:rsidRDefault="007C2A50" w:rsidP="007C2A50">
            <w:pPr>
              <w:jc w:val="center"/>
              <w:cnfStyle w:val="100000000000" w:firstRow="1" w:lastRow="0" w:firstColumn="0" w:lastColumn="0" w:oddVBand="0" w:evenVBand="0" w:oddHBand="0" w:evenHBand="0" w:firstRowFirstColumn="0" w:firstRowLastColumn="0" w:lastRowFirstColumn="0" w:lastRowLastColumn="0"/>
              <w:rPr>
                <w:rFonts w:ascii="Rotis Sans Serif Std" w:hAnsi="Rotis Sans Serif Std" w:cs="Arial"/>
                <w:b/>
                <w:bCs/>
                <w:color w:val="FFFFFF" w:themeColor="background1"/>
                <w:sz w:val="18"/>
                <w:szCs w:val="18"/>
              </w:rPr>
            </w:pPr>
            <w:r w:rsidRPr="00233A00">
              <w:rPr>
                <w:rFonts w:ascii="Rotis Sans Serif Std" w:hAnsi="Rotis Sans Serif Std" w:cs="Arial"/>
                <w:b/>
                <w:bCs/>
                <w:color w:val="FFFFFF" w:themeColor="background1"/>
                <w:sz w:val="18"/>
                <w:szCs w:val="18"/>
              </w:rPr>
              <w:t>SERVEIS</w:t>
            </w:r>
          </w:p>
        </w:tc>
      </w:tr>
      <w:tr w:rsidR="007C2A50" w:rsidRPr="00734A4F" w:rsidTr="007C2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Borders>
              <w:top w:val="single" w:sz="12" w:space="0" w:color="FFFFFF" w:themeColor="background1"/>
              <w:bottom w:val="single" w:sz="12" w:space="0" w:color="FFFFFF" w:themeColor="background1"/>
              <w:right w:val="single" w:sz="12" w:space="0" w:color="FFFFFF" w:themeColor="background1"/>
            </w:tcBorders>
            <w:shd w:val="clear" w:color="auto" w:fill="C00000"/>
          </w:tcPr>
          <w:p w:rsidR="007C2A50" w:rsidRPr="00233A00" w:rsidRDefault="007C2A50" w:rsidP="007C2A50">
            <w:pPr>
              <w:rPr>
                <w:rFonts w:ascii="Rotis Sans Serif Std" w:hAnsi="Rotis Sans Serif Std"/>
                <w:b w:val="0"/>
                <w:bCs w:val="0"/>
                <w:color w:val="FFFFFF"/>
                <w:sz w:val="20"/>
                <w:szCs w:val="20"/>
                <w:lang w:eastAsia="es-ES"/>
              </w:rPr>
            </w:pPr>
            <w:r w:rsidRPr="00233A00">
              <w:rPr>
                <w:rFonts w:ascii="Rotis Sans Serif Std" w:hAnsi="Rotis Sans Serif Std"/>
                <w:b w:val="0"/>
                <w:bCs w:val="0"/>
                <w:color w:val="FFFFFF"/>
                <w:sz w:val="20"/>
                <w:szCs w:val="20"/>
                <w:lang w:eastAsia="es-ES"/>
              </w:rPr>
              <w:t>TOTAL</w:t>
            </w:r>
          </w:p>
        </w:tc>
        <w:tc>
          <w:tcPr>
            <w:tcW w:w="1956" w:type="dxa"/>
            <w:tcBorders>
              <w:top w:val="single" w:sz="12" w:space="0" w:color="FFFFFF" w:themeColor="background1"/>
              <w:left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27,2</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22,3</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19,3</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29,5</w:t>
            </w:r>
          </w:p>
        </w:tc>
      </w:tr>
      <w:tr w:rsidR="007C2A50" w:rsidRPr="00734A4F" w:rsidTr="007C2A50">
        <w:tc>
          <w:tcPr>
            <w:cnfStyle w:val="001000000000" w:firstRow="0" w:lastRow="0" w:firstColumn="1" w:lastColumn="0" w:oddVBand="0" w:evenVBand="0" w:oddHBand="0" w:evenHBand="0" w:firstRowFirstColumn="0" w:firstRowLastColumn="0" w:lastRowFirstColumn="0" w:lastRowLastColumn="0"/>
            <w:tcW w:w="1955" w:type="dxa"/>
            <w:tcBorders>
              <w:top w:val="single" w:sz="12" w:space="0" w:color="FFFFFF" w:themeColor="background1"/>
              <w:bottom w:val="single" w:sz="12" w:space="0" w:color="FFFFFF" w:themeColor="background1"/>
              <w:right w:val="single" w:sz="12" w:space="0" w:color="FFFFFF" w:themeColor="background1"/>
            </w:tcBorders>
            <w:shd w:val="clear" w:color="auto" w:fill="C00000"/>
          </w:tcPr>
          <w:p w:rsidR="007C2A50" w:rsidRPr="00233A00" w:rsidRDefault="007C2A50" w:rsidP="007C2A50">
            <w:pPr>
              <w:rPr>
                <w:rFonts w:ascii="Rotis Sans Serif Std" w:hAnsi="Rotis Sans Serif Std"/>
                <w:b w:val="0"/>
                <w:bCs w:val="0"/>
                <w:color w:val="FFFFFF"/>
                <w:sz w:val="20"/>
                <w:szCs w:val="20"/>
                <w:lang w:eastAsia="es-ES"/>
              </w:rPr>
            </w:pPr>
            <w:r w:rsidRPr="00233A00">
              <w:rPr>
                <w:rFonts w:ascii="Rotis Sans Serif Std" w:hAnsi="Rotis Sans Serif Std"/>
                <w:b w:val="0"/>
                <w:bCs w:val="0"/>
                <w:color w:val="FFFFFF"/>
                <w:sz w:val="20"/>
                <w:szCs w:val="20"/>
                <w:lang w:eastAsia="es-ES"/>
              </w:rPr>
              <w:t>De 5 a 9 treballadors</w:t>
            </w:r>
          </w:p>
        </w:tc>
        <w:tc>
          <w:tcPr>
            <w:tcW w:w="1956" w:type="dxa"/>
            <w:tcBorders>
              <w:top w:val="single" w:sz="12" w:space="0" w:color="FFFFFF" w:themeColor="background1"/>
              <w:left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24,5</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18,2</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15,6</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26,9</w:t>
            </w:r>
          </w:p>
        </w:tc>
      </w:tr>
      <w:tr w:rsidR="007C2A50" w:rsidRPr="00734A4F" w:rsidTr="007C2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Borders>
              <w:top w:val="single" w:sz="12" w:space="0" w:color="FFFFFF" w:themeColor="background1"/>
              <w:bottom w:val="single" w:sz="12" w:space="0" w:color="FFFFFF" w:themeColor="background1"/>
              <w:right w:val="single" w:sz="12" w:space="0" w:color="FFFFFF" w:themeColor="background1"/>
            </w:tcBorders>
            <w:shd w:val="clear" w:color="auto" w:fill="C00000"/>
          </w:tcPr>
          <w:p w:rsidR="007C2A50" w:rsidRPr="00233A00" w:rsidRDefault="007C2A50" w:rsidP="007C2A50">
            <w:pPr>
              <w:rPr>
                <w:rFonts w:ascii="Rotis Sans Serif Std" w:hAnsi="Rotis Sans Serif Std"/>
                <w:b w:val="0"/>
                <w:bCs w:val="0"/>
                <w:color w:val="FFFFFF"/>
                <w:sz w:val="20"/>
                <w:szCs w:val="20"/>
                <w:lang w:eastAsia="es-ES"/>
              </w:rPr>
            </w:pPr>
            <w:r w:rsidRPr="00233A00">
              <w:rPr>
                <w:rFonts w:ascii="Rotis Sans Serif Std" w:hAnsi="Rotis Sans Serif Std"/>
                <w:b w:val="0"/>
                <w:bCs w:val="0"/>
                <w:color w:val="FFFFFF"/>
                <w:sz w:val="20"/>
                <w:szCs w:val="20"/>
                <w:lang w:eastAsia="es-ES"/>
              </w:rPr>
              <w:t>De 10 a 49 treballadors</w:t>
            </w:r>
          </w:p>
        </w:tc>
        <w:tc>
          <w:tcPr>
            <w:tcW w:w="1956" w:type="dxa"/>
            <w:tcBorders>
              <w:top w:val="single" w:sz="12" w:space="0" w:color="FFFFFF" w:themeColor="background1"/>
              <w:left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29,1</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23,3</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23,2</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31,6</w:t>
            </w:r>
          </w:p>
        </w:tc>
      </w:tr>
      <w:tr w:rsidR="007C2A50" w:rsidRPr="00734A4F" w:rsidTr="007C2A50">
        <w:tc>
          <w:tcPr>
            <w:cnfStyle w:val="001000000000" w:firstRow="0" w:lastRow="0" w:firstColumn="1" w:lastColumn="0" w:oddVBand="0" w:evenVBand="0" w:oddHBand="0" w:evenHBand="0" w:firstRowFirstColumn="0" w:firstRowLastColumn="0" w:lastRowFirstColumn="0" w:lastRowLastColumn="0"/>
            <w:tcW w:w="1955" w:type="dxa"/>
            <w:tcBorders>
              <w:top w:val="single" w:sz="12" w:space="0" w:color="FFFFFF" w:themeColor="background1"/>
              <w:bottom w:val="single" w:sz="12" w:space="0" w:color="FFFFFF" w:themeColor="background1"/>
              <w:right w:val="single" w:sz="12" w:space="0" w:color="FFFFFF" w:themeColor="background1"/>
            </w:tcBorders>
            <w:shd w:val="clear" w:color="auto" w:fill="C00000"/>
          </w:tcPr>
          <w:p w:rsidR="007C2A50" w:rsidRPr="00233A00" w:rsidRDefault="007C2A50" w:rsidP="007C2A50">
            <w:pPr>
              <w:rPr>
                <w:rFonts w:ascii="Rotis Sans Serif Std" w:hAnsi="Rotis Sans Serif Std"/>
                <w:b w:val="0"/>
                <w:bCs w:val="0"/>
                <w:color w:val="FFFFFF"/>
                <w:sz w:val="20"/>
                <w:szCs w:val="20"/>
                <w:lang w:eastAsia="es-ES"/>
              </w:rPr>
            </w:pPr>
            <w:r w:rsidRPr="00233A00">
              <w:rPr>
                <w:rFonts w:ascii="Rotis Sans Serif Std" w:hAnsi="Rotis Sans Serif Std"/>
                <w:b w:val="0"/>
                <w:bCs w:val="0"/>
                <w:color w:val="FFFFFF"/>
                <w:sz w:val="20"/>
                <w:szCs w:val="20"/>
                <w:lang w:eastAsia="es-ES"/>
              </w:rPr>
              <w:t>De 50 a 249 treballadors</w:t>
            </w:r>
          </w:p>
        </w:tc>
        <w:tc>
          <w:tcPr>
            <w:tcW w:w="1956" w:type="dxa"/>
            <w:tcBorders>
              <w:top w:val="single" w:sz="12" w:space="0" w:color="FFFFFF" w:themeColor="background1"/>
              <w:left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36,3</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31,4</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35,0</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38,6</w:t>
            </w:r>
          </w:p>
        </w:tc>
      </w:tr>
      <w:tr w:rsidR="007C2A50" w:rsidRPr="00734A4F" w:rsidTr="007C2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Borders>
              <w:top w:val="single" w:sz="12" w:space="0" w:color="FFFFFF" w:themeColor="background1"/>
              <w:bottom w:val="single" w:sz="12" w:space="0" w:color="FFFFFF" w:themeColor="background1"/>
              <w:right w:val="single" w:sz="12" w:space="0" w:color="FFFFFF" w:themeColor="background1"/>
            </w:tcBorders>
            <w:shd w:val="clear" w:color="auto" w:fill="C00000"/>
          </w:tcPr>
          <w:p w:rsidR="007C2A50" w:rsidRPr="00233A00" w:rsidRDefault="007C2A50" w:rsidP="007C2A50">
            <w:pPr>
              <w:rPr>
                <w:rFonts w:ascii="Rotis Sans Serif Std" w:hAnsi="Rotis Sans Serif Std"/>
                <w:b w:val="0"/>
                <w:bCs w:val="0"/>
                <w:color w:val="FFFFFF"/>
                <w:sz w:val="20"/>
                <w:szCs w:val="20"/>
                <w:lang w:eastAsia="es-ES"/>
              </w:rPr>
            </w:pPr>
            <w:r w:rsidRPr="00233A00">
              <w:rPr>
                <w:rFonts w:ascii="Rotis Sans Serif Std" w:hAnsi="Rotis Sans Serif Std"/>
                <w:b w:val="0"/>
                <w:bCs w:val="0"/>
                <w:color w:val="FFFFFF"/>
                <w:sz w:val="20"/>
                <w:szCs w:val="20"/>
                <w:lang w:eastAsia="es-ES"/>
              </w:rPr>
              <w:t>De 250 a 499 treballadors</w:t>
            </w:r>
          </w:p>
        </w:tc>
        <w:tc>
          <w:tcPr>
            <w:tcW w:w="1956" w:type="dxa"/>
            <w:tcBorders>
              <w:top w:val="single" w:sz="12" w:space="0" w:color="FFFFFF" w:themeColor="background1"/>
              <w:left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47,5</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45,1</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57,4</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48,2</w:t>
            </w:r>
          </w:p>
        </w:tc>
      </w:tr>
      <w:tr w:rsidR="007C2A50" w:rsidRPr="00734A4F" w:rsidTr="007C2A50">
        <w:tc>
          <w:tcPr>
            <w:cnfStyle w:val="001000000000" w:firstRow="0" w:lastRow="0" w:firstColumn="1" w:lastColumn="0" w:oddVBand="0" w:evenVBand="0" w:oddHBand="0" w:evenHBand="0" w:firstRowFirstColumn="0" w:firstRowLastColumn="0" w:lastRowFirstColumn="0" w:lastRowLastColumn="0"/>
            <w:tcW w:w="1955" w:type="dxa"/>
            <w:tcBorders>
              <w:top w:val="single" w:sz="12" w:space="0" w:color="FFFFFF" w:themeColor="background1"/>
              <w:bottom w:val="single" w:sz="12" w:space="0" w:color="FFFFFF" w:themeColor="background1"/>
              <w:right w:val="single" w:sz="12" w:space="0" w:color="FFFFFF" w:themeColor="background1"/>
            </w:tcBorders>
            <w:shd w:val="clear" w:color="auto" w:fill="C00000"/>
          </w:tcPr>
          <w:p w:rsidR="007C2A50" w:rsidRPr="00233A00" w:rsidRDefault="007C2A50" w:rsidP="007C2A50">
            <w:pPr>
              <w:rPr>
                <w:rFonts w:ascii="Rotis Sans Serif Std" w:hAnsi="Rotis Sans Serif Std"/>
                <w:b w:val="0"/>
                <w:bCs w:val="0"/>
                <w:color w:val="FFFFFF"/>
                <w:sz w:val="20"/>
                <w:szCs w:val="20"/>
                <w:lang w:eastAsia="es-ES"/>
              </w:rPr>
            </w:pPr>
            <w:proofErr w:type="spellStart"/>
            <w:r w:rsidRPr="00233A00">
              <w:rPr>
                <w:rFonts w:ascii="Rotis Sans Serif Std" w:hAnsi="Rotis Sans Serif Std"/>
                <w:b w:val="0"/>
                <w:bCs w:val="0"/>
                <w:color w:val="FFFFFF"/>
                <w:sz w:val="20"/>
                <w:szCs w:val="20"/>
                <w:lang w:eastAsia="es-ES"/>
              </w:rPr>
              <w:t>Más</w:t>
            </w:r>
            <w:proofErr w:type="spellEnd"/>
            <w:r w:rsidRPr="00233A00">
              <w:rPr>
                <w:rFonts w:ascii="Rotis Sans Serif Std" w:hAnsi="Rotis Sans Serif Std"/>
                <w:b w:val="0"/>
                <w:bCs w:val="0"/>
                <w:color w:val="FFFFFF"/>
                <w:sz w:val="20"/>
                <w:szCs w:val="20"/>
                <w:lang w:eastAsia="es-ES"/>
              </w:rPr>
              <w:t xml:space="preserve"> de 499 treballadors</w:t>
            </w:r>
          </w:p>
        </w:tc>
        <w:tc>
          <w:tcPr>
            <w:tcW w:w="1956" w:type="dxa"/>
            <w:tcBorders>
              <w:top w:val="single" w:sz="12" w:space="0" w:color="FFFFFF" w:themeColor="background1"/>
              <w:left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54,3</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56,9</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67,4</w:t>
            </w:r>
          </w:p>
        </w:tc>
        <w:tc>
          <w:tcPr>
            <w:tcW w:w="1956" w:type="dxa"/>
            <w:tcBorders>
              <w:top w:val="single" w:sz="12" w:space="0" w:color="FFFFFF" w:themeColor="background1"/>
              <w:bottom w:val="single" w:sz="12" w:space="0" w:color="FFFFFF" w:themeColor="background1"/>
            </w:tcBorders>
            <w:shd w:val="clear" w:color="auto" w:fill="F2DBDB" w:themeFill="accent2" w:themeFillTint="33"/>
            <w:vAlign w:val="center"/>
          </w:tcPr>
          <w:p w:rsidR="007C2A50" w:rsidRPr="00233A00" w:rsidRDefault="007C2A50" w:rsidP="007C2A50">
            <w:pPr>
              <w:spacing w:line="276" w:lineRule="auto"/>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5E6061"/>
              </w:rPr>
            </w:pPr>
            <w:r w:rsidRPr="00233A00">
              <w:rPr>
                <w:rFonts w:ascii="Rotis Sans Serif Std" w:hAnsi="Rotis Sans Serif Std"/>
                <w:color w:val="5E6061"/>
              </w:rPr>
              <w:t>52,9</w:t>
            </w:r>
          </w:p>
        </w:tc>
      </w:tr>
    </w:tbl>
    <w:p w:rsidR="007C2A50" w:rsidRPr="00EA5418" w:rsidRDefault="007C2A50" w:rsidP="007C2A50">
      <w:pPr>
        <w:pStyle w:val="TEXTBOLD"/>
        <w:spacing w:line="276" w:lineRule="auto"/>
        <w:ind w:left="720"/>
        <w:jc w:val="center"/>
        <w:rPr>
          <w:b w:val="0"/>
          <w:color w:val="404040"/>
          <w:sz w:val="18"/>
          <w:lang w:val="ca-ES"/>
        </w:rPr>
      </w:pPr>
      <w:r w:rsidRPr="00EA5418">
        <w:rPr>
          <w:b w:val="0"/>
          <w:color w:val="404040"/>
          <w:sz w:val="18"/>
          <w:lang w:val="ca-ES"/>
        </w:rPr>
        <w:t xml:space="preserve">Font: Elaboració pròpia a partir de les dades del </w:t>
      </w:r>
      <w:proofErr w:type="spellStart"/>
      <w:r w:rsidRPr="00EA5418">
        <w:rPr>
          <w:b w:val="0"/>
          <w:color w:val="404040"/>
          <w:sz w:val="18"/>
          <w:lang w:val="ca-ES"/>
        </w:rPr>
        <w:t>Ministerio</w:t>
      </w:r>
      <w:proofErr w:type="spellEnd"/>
      <w:r w:rsidRPr="00EA5418">
        <w:rPr>
          <w:b w:val="0"/>
          <w:color w:val="404040"/>
          <w:sz w:val="18"/>
          <w:lang w:val="ca-ES"/>
        </w:rPr>
        <w:t xml:space="preserve"> de </w:t>
      </w:r>
      <w:r>
        <w:rPr>
          <w:b w:val="0"/>
          <w:color w:val="404040"/>
          <w:sz w:val="18"/>
          <w:lang w:val="ca-ES"/>
        </w:rPr>
        <w:t xml:space="preserve">Trabajo, </w:t>
      </w:r>
      <w:proofErr w:type="spellStart"/>
      <w:r>
        <w:rPr>
          <w:b w:val="0"/>
          <w:color w:val="404040"/>
          <w:sz w:val="18"/>
          <w:lang w:val="ca-ES"/>
        </w:rPr>
        <w:t>Migraciones</w:t>
      </w:r>
      <w:proofErr w:type="spellEnd"/>
      <w:r w:rsidRPr="00EA5418">
        <w:rPr>
          <w:b w:val="0"/>
          <w:color w:val="404040"/>
          <w:sz w:val="18"/>
          <w:lang w:val="ca-ES"/>
        </w:rPr>
        <w:t xml:space="preserve"> y Seguridad Social</w:t>
      </w:r>
    </w:p>
    <w:p w:rsidR="007C2A50" w:rsidRDefault="007C2A50" w:rsidP="007C2A50">
      <w:pPr>
        <w:tabs>
          <w:tab w:val="left" w:pos="3150"/>
        </w:tabs>
        <w:jc w:val="both"/>
        <w:rPr>
          <w:rFonts w:ascii="Rotis Sans Serif Std" w:hAnsi="Rotis Sans Serif Std" w:cs="RotisSansSerifStd-Regular"/>
          <w:color w:val="5E6061"/>
          <w:lang w:eastAsia="es-ES_tradnl"/>
        </w:rPr>
      </w:pPr>
    </w:p>
    <w:p w:rsidR="007C2A50" w:rsidRPr="008B4481" w:rsidRDefault="007C2A50" w:rsidP="007C2A50">
      <w:pPr>
        <w:tabs>
          <w:tab w:val="left" w:pos="3150"/>
        </w:tabs>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A Catalunya, d</w:t>
      </w:r>
      <w:r w:rsidRPr="008B4481">
        <w:rPr>
          <w:rFonts w:ascii="Rotis Sans Serif Std" w:hAnsi="Rotis Sans Serif Std" w:cs="RotisSansSerifStd-Regular"/>
          <w:color w:val="5E6061"/>
          <w:lang w:eastAsia="es-ES_tradnl"/>
        </w:rPr>
        <w:t xml:space="preserve">e les diferents </w:t>
      </w:r>
      <w:r>
        <w:rPr>
          <w:rFonts w:ascii="Rotis Sans Serif Std" w:hAnsi="Rotis Sans Serif Std" w:cs="RotisSansSerifStd-Regular"/>
          <w:color w:val="5E6061"/>
          <w:lang w:eastAsia="es-ES_tradnl"/>
        </w:rPr>
        <w:t>mesures de flexibilitat interna analitzades</w:t>
      </w:r>
      <w:r>
        <w:rPr>
          <w:rStyle w:val="Refdenotaalpie"/>
          <w:rFonts w:ascii="Rotis Sans Serif Std" w:hAnsi="Rotis Sans Serif Std"/>
          <w:color w:val="5E6061"/>
          <w:lang w:eastAsia="es-ES_tradnl"/>
        </w:rPr>
        <w:footnoteReference w:id="12"/>
      </w:r>
      <w:r w:rsidRPr="008B4481">
        <w:rPr>
          <w:rFonts w:ascii="Rotis Sans Serif Std" w:hAnsi="Rotis Sans Serif Std" w:cs="RotisSansSerifStd-Regular"/>
          <w:color w:val="5E6061"/>
          <w:lang w:eastAsia="es-ES_tradnl"/>
        </w:rPr>
        <w:t xml:space="preserve">, un </w:t>
      </w:r>
      <w:r>
        <w:rPr>
          <w:rFonts w:ascii="Rotis Sans Serif Std" w:hAnsi="Rotis Sans Serif Std" w:cs="RotisSansSerifStd-Regular"/>
          <w:color w:val="5E6061"/>
          <w:lang w:eastAsia="es-ES_tradnl"/>
        </w:rPr>
        <w:t>16,5</w:t>
      </w:r>
      <w:r w:rsidRPr="008B4481">
        <w:rPr>
          <w:rFonts w:ascii="Rotis Sans Serif Std" w:hAnsi="Rotis Sans Serif Std" w:cs="RotisSansSerifStd-Regular"/>
          <w:color w:val="5E6061"/>
          <w:lang w:eastAsia="es-ES_tradnl"/>
        </w:rPr>
        <w:t xml:space="preserve">% del total d’empreses van aplicar mesures que afectaven a </w:t>
      </w:r>
      <w:r>
        <w:rPr>
          <w:rFonts w:ascii="Rotis Sans Serif Std" w:hAnsi="Rotis Sans Serif Std" w:cs="RotisSansSerifStd-Regular"/>
          <w:color w:val="5E6061"/>
          <w:lang w:eastAsia="es-ES_tradnl"/>
        </w:rPr>
        <w:t>canvis de contracte segons tipus de jornada en el treball</w:t>
      </w:r>
      <w:r>
        <w:rPr>
          <w:rStyle w:val="Refdenotaalpie"/>
          <w:rFonts w:ascii="Rotis Sans Serif Std" w:hAnsi="Rotis Sans Serif Std"/>
          <w:color w:val="5E6061"/>
          <w:lang w:eastAsia="es-ES_tradnl"/>
        </w:rPr>
        <w:footnoteReference w:id="13"/>
      </w:r>
      <w:r>
        <w:rPr>
          <w:rFonts w:ascii="Rotis Sans Serif Std" w:hAnsi="Rotis Sans Serif Std" w:cs="RotisSansSerifStd-Regular"/>
          <w:color w:val="5E6061"/>
          <w:lang w:eastAsia="es-ES_tradnl"/>
        </w:rPr>
        <w:t>, un 12,4% a la jornada laboral</w:t>
      </w:r>
      <w:r>
        <w:rPr>
          <w:rStyle w:val="Refdenotaalpie"/>
          <w:rFonts w:ascii="Rotis Sans Serif Std" w:hAnsi="Rotis Sans Serif Std"/>
          <w:color w:val="5E6061"/>
          <w:lang w:eastAsia="es-ES_tradnl"/>
        </w:rPr>
        <w:footnoteReference w:id="14"/>
      </w:r>
      <w:r>
        <w:rPr>
          <w:rFonts w:ascii="Rotis Sans Serif Std" w:hAnsi="Rotis Sans Serif Std" w:cs="RotisSansSerifStd-Regular"/>
          <w:color w:val="5E6061"/>
          <w:lang w:eastAsia="es-ES_tradnl"/>
        </w:rPr>
        <w:t>, un 3,9% al sistema de remuneració i quantia salarial</w:t>
      </w:r>
      <w:r>
        <w:rPr>
          <w:rStyle w:val="Refdenotaalpie"/>
          <w:rFonts w:ascii="Rotis Sans Serif Std" w:hAnsi="Rotis Sans Serif Std"/>
          <w:color w:val="5E6061"/>
          <w:lang w:eastAsia="es-ES_tradnl"/>
        </w:rPr>
        <w:footnoteReference w:id="15"/>
      </w:r>
      <w:r w:rsidRPr="008B4481">
        <w:rPr>
          <w:rFonts w:ascii="Rotis Sans Serif Std" w:hAnsi="Rotis Sans Serif Std" w:cs="RotisSansSerifStd-Regular"/>
          <w:color w:val="5E6061"/>
          <w:lang w:eastAsia="es-ES_tradnl"/>
        </w:rPr>
        <w:t xml:space="preserve">, </w:t>
      </w:r>
      <w:r>
        <w:rPr>
          <w:rFonts w:ascii="Rotis Sans Serif Std" w:hAnsi="Rotis Sans Serif Std" w:cs="RotisSansSerifStd-Regular"/>
          <w:color w:val="5E6061"/>
          <w:lang w:eastAsia="es-ES_tradnl"/>
        </w:rPr>
        <w:t xml:space="preserve">un </w:t>
      </w:r>
      <w:r w:rsidR="00511B8F">
        <w:rPr>
          <w:rFonts w:ascii="Rotis Sans Serif Std" w:hAnsi="Rotis Sans Serif Std" w:cs="RotisSansSerifStd-Regular"/>
          <w:color w:val="5E6061"/>
          <w:lang w:eastAsia="es-ES_tradnl"/>
        </w:rPr>
        <w:t>2,5%</w:t>
      </w:r>
      <w:r w:rsidR="00511B8F" w:rsidRPr="008B4481">
        <w:rPr>
          <w:rFonts w:ascii="Rotis Sans Serif Std" w:hAnsi="Rotis Sans Serif Std" w:cs="RotisSansSerifStd-Regular"/>
          <w:color w:val="5E6061"/>
          <w:lang w:eastAsia="es-ES_tradnl"/>
        </w:rPr>
        <w:t xml:space="preserve"> </w:t>
      </w:r>
      <w:r w:rsidR="00511B8F">
        <w:rPr>
          <w:rFonts w:ascii="Rotis Sans Serif Std" w:hAnsi="Rotis Sans Serif Std" w:cs="RotisSansSerifStd-Regular"/>
          <w:color w:val="5E6061"/>
          <w:lang w:eastAsia="es-ES_tradnl"/>
        </w:rPr>
        <w:t xml:space="preserve">a la mobilitat funcional i un </w:t>
      </w:r>
      <w:r>
        <w:rPr>
          <w:rFonts w:ascii="Rotis Sans Serif Std" w:hAnsi="Rotis Sans Serif Std" w:cs="RotisSansSerifStd-Regular"/>
          <w:color w:val="5E6061"/>
          <w:lang w:eastAsia="es-ES_tradnl"/>
        </w:rPr>
        <w:t>1,7</w:t>
      </w:r>
      <w:r w:rsidRPr="008B4481">
        <w:rPr>
          <w:rFonts w:ascii="Rotis Sans Serif Std" w:hAnsi="Rotis Sans Serif Std" w:cs="RotisSansSerifStd-Regular"/>
          <w:color w:val="5E6061"/>
          <w:lang w:eastAsia="es-ES_tradnl"/>
        </w:rPr>
        <w:t xml:space="preserve">% </w:t>
      </w:r>
      <w:r w:rsidR="00511B8F">
        <w:rPr>
          <w:rFonts w:ascii="Rotis Sans Serif Std" w:hAnsi="Rotis Sans Serif Std" w:cs="RotisSansSerifStd-Regular"/>
          <w:color w:val="5E6061"/>
          <w:lang w:eastAsia="es-ES_tradnl"/>
        </w:rPr>
        <w:t>a la mobilitat geogràfica</w:t>
      </w:r>
      <w:r w:rsidRPr="008B4481">
        <w:rPr>
          <w:rFonts w:ascii="Rotis Sans Serif Std" w:hAnsi="Rotis Sans Serif Std" w:cs="RotisSansSerifStd-Regular"/>
          <w:color w:val="5E6061"/>
          <w:lang w:eastAsia="es-ES_tradnl"/>
        </w:rPr>
        <w:t xml:space="preserve">. </w:t>
      </w:r>
      <w:r>
        <w:rPr>
          <w:rFonts w:ascii="Rotis Sans Serif Std" w:hAnsi="Rotis Sans Serif Std" w:cs="RotisSansSerifStd-Regular"/>
          <w:color w:val="5E6061"/>
          <w:lang w:eastAsia="es-ES_tradnl"/>
        </w:rPr>
        <w:t xml:space="preserve"> </w:t>
      </w:r>
    </w:p>
    <w:p w:rsidR="007C2A50" w:rsidRDefault="007C2A50" w:rsidP="007C2A50">
      <w:pPr>
        <w:pStyle w:val="HTMLconformatoprevio"/>
        <w:jc w:val="center"/>
        <w:rPr>
          <w:rFonts w:ascii="Rotis Sans Serif Std" w:hAnsi="Rotis Sans Serif Std" w:cs="RotisSansSerifStd-Regular"/>
          <w:color w:val="5E6061"/>
          <w:sz w:val="24"/>
          <w:szCs w:val="24"/>
          <w:lang w:val="ca-ES" w:eastAsia="es-ES_tradnl"/>
        </w:rPr>
      </w:pPr>
      <w:r>
        <w:rPr>
          <w:noProof/>
        </w:rPr>
        <w:drawing>
          <wp:inline distT="0" distB="0" distL="0" distR="0" wp14:anchorId="58F22A08" wp14:editId="5D4368F8">
            <wp:extent cx="4572000" cy="2743200"/>
            <wp:effectExtent l="0" t="0" r="19050" b="1905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C2A50" w:rsidRPr="00EA5418" w:rsidRDefault="007C2A50" w:rsidP="007C2A50">
      <w:pPr>
        <w:pStyle w:val="TEXTBOLD"/>
        <w:spacing w:line="276" w:lineRule="auto"/>
        <w:jc w:val="center"/>
        <w:rPr>
          <w:b w:val="0"/>
          <w:color w:val="404040"/>
          <w:sz w:val="18"/>
          <w:lang w:val="ca-ES"/>
        </w:rPr>
      </w:pPr>
      <w:r w:rsidRPr="00EA5418">
        <w:rPr>
          <w:b w:val="0"/>
          <w:color w:val="404040"/>
          <w:sz w:val="18"/>
          <w:lang w:val="ca-ES"/>
        </w:rPr>
        <w:t xml:space="preserve">Font: Elaboració pròpia a partir de les dades del </w:t>
      </w:r>
      <w:proofErr w:type="spellStart"/>
      <w:r w:rsidRPr="00EA5418">
        <w:rPr>
          <w:b w:val="0"/>
          <w:color w:val="404040"/>
          <w:sz w:val="18"/>
          <w:lang w:val="ca-ES"/>
        </w:rPr>
        <w:t>Ministerio</w:t>
      </w:r>
      <w:proofErr w:type="spellEnd"/>
      <w:r w:rsidRPr="00EA5418">
        <w:rPr>
          <w:b w:val="0"/>
          <w:color w:val="404040"/>
          <w:sz w:val="18"/>
          <w:lang w:val="ca-ES"/>
        </w:rPr>
        <w:t xml:space="preserve"> de </w:t>
      </w:r>
      <w:r>
        <w:rPr>
          <w:b w:val="0"/>
          <w:color w:val="404040"/>
          <w:sz w:val="18"/>
          <w:lang w:val="ca-ES"/>
        </w:rPr>
        <w:t xml:space="preserve">Trabajo, </w:t>
      </w:r>
      <w:proofErr w:type="spellStart"/>
      <w:r>
        <w:rPr>
          <w:b w:val="0"/>
          <w:color w:val="404040"/>
          <w:sz w:val="18"/>
          <w:lang w:val="ca-ES"/>
        </w:rPr>
        <w:t>Migraciones</w:t>
      </w:r>
      <w:proofErr w:type="spellEnd"/>
      <w:r w:rsidRPr="00EA5418">
        <w:rPr>
          <w:b w:val="0"/>
          <w:color w:val="404040"/>
          <w:sz w:val="18"/>
          <w:lang w:val="ca-ES"/>
        </w:rPr>
        <w:t xml:space="preserve"> y Seguridad Social</w:t>
      </w:r>
    </w:p>
    <w:p w:rsidR="007C2A50" w:rsidRDefault="007C2A50" w:rsidP="007C2A50">
      <w:pPr>
        <w:pStyle w:val="HTMLconformatoprevio"/>
        <w:jc w:val="both"/>
        <w:rPr>
          <w:rFonts w:ascii="Rotis Sans Serif Std" w:hAnsi="Rotis Sans Serif Std" w:cs="RotisSansSerifStd-Regular"/>
          <w:color w:val="5E6061"/>
          <w:sz w:val="24"/>
          <w:szCs w:val="24"/>
          <w:lang w:val="ca-ES" w:eastAsia="es-ES_tradnl"/>
        </w:rPr>
      </w:pPr>
    </w:p>
    <w:p w:rsidR="007C2A50" w:rsidRDefault="007C2A50" w:rsidP="007C2A50">
      <w:pPr>
        <w:pStyle w:val="HTMLconformatoprevio"/>
        <w:jc w:val="both"/>
        <w:rPr>
          <w:rFonts w:ascii="Rotis Sans Serif Std" w:hAnsi="Rotis Sans Serif Std" w:cs="RotisSansSerifStd-Regular"/>
          <w:color w:val="5E6061"/>
          <w:sz w:val="24"/>
          <w:szCs w:val="24"/>
          <w:lang w:val="ca-ES" w:eastAsia="es-ES_tradnl"/>
        </w:rPr>
      </w:pPr>
      <w:r>
        <w:rPr>
          <w:rFonts w:ascii="Rotis Sans Serif Std" w:hAnsi="Rotis Sans Serif Std" w:cs="RotisSansSerifStd-Regular"/>
          <w:color w:val="5E6061"/>
          <w:sz w:val="24"/>
          <w:szCs w:val="24"/>
          <w:lang w:val="ca-ES" w:eastAsia="es-ES_tradnl"/>
        </w:rPr>
        <w:t>Si centrem l’anàlisi en aquelles mesures de flexibilitat interna que suposen una afectació a la jornada laboral (que pot observar-se que juntament amb aquelles que suposen un canvi de contracte segons el tipus de jornada són les que major pes tenen en relació a aquelles empreses que apliquen mesures de flexibilitat interna)</w:t>
      </w:r>
      <w:r w:rsidR="00DE6A05">
        <w:rPr>
          <w:rFonts w:ascii="Rotis Sans Serif Std" w:hAnsi="Rotis Sans Serif Std" w:cs="RotisSansSerifStd-Regular"/>
          <w:color w:val="5E6061"/>
          <w:sz w:val="24"/>
          <w:szCs w:val="24"/>
          <w:lang w:val="ca-ES" w:eastAsia="es-ES_tradnl"/>
        </w:rPr>
        <w:t>,</w:t>
      </w:r>
      <w:r w:rsidR="00B91CA9">
        <w:rPr>
          <w:rFonts w:ascii="Rotis Sans Serif Std" w:hAnsi="Rotis Sans Serif Std" w:cs="RotisSansSerifStd-Regular"/>
          <w:color w:val="5E6061"/>
          <w:sz w:val="24"/>
          <w:szCs w:val="24"/>
          <w:lang w:val="ca-ES" w:eastAsia="es-ES_tradnl"/>
        </w:rPr>
        <w:t xml:space="preserve"> les que recorren més aquestes empreses són: </w:t>
      </w:r>
      <w:r>
        <w:rPr>
          <w:rFonts w:ascii="Rotis Sans Serif Std" w:hAnsi="Rotis Sans Serif Std" w:cs="RotisSansSerifStd-Regular"/>
          <w:color w:val="5E6061"/>
          <w:sz w:val="24"/>
          <w:szCs w:val="24"/>
          <w:lang w:val="ca-ES" w:eastAsia="es-ES_tradnl"/>
        </w:rPr>
        <w:t xml:space="preserve">el </w:t>
      </w:r>
      <w:r w:rsidR="00B91CA9">
        <w:rPr>
          <w:rFonts w:ascii="Rotis Sans Serif Std" w:hAnsi="Rotis Sans Serif Std" w:cs="RotisSansSerifStd-Regular"/>
          <w:color w:val="5E6061"/>
          <w:sz w:val="24"/>
          <w:szCs w:val="24"/>
          <w:lang w:val="ca-ES" w:eastAsia="es-ES_tradnl"/>
        </w:rPr>
        <w:t>8,8</w:t>
      </w:r>
      <w:r>
        <w:rPr>
          <w:rFonts w:ascii="Rotis Sans Serif Std" w:hAnsi="Rotis Sans Serif Std" w:cs="RotisSansSerifStd-Regular"/>
          <w:color w:val="5E6061"/>
          <w:sz w:val="24"/>
          <w:szCs w:val="24"/>
          <w:lang w:val="ca-ES" w:eastAsia="es-ES_tradnl"/>
        </w:rPr>
        <w:t xml:space="preserve">% són com a conseqüència de l’aplicació d’un expedient de regulació d’ocupació de reducció de jornada, el </w:t>
      </w:r>
      <w:r w:rsidR="00B91CA9">
        <w:rPr>
          <w:rFonts w:ascii="Rotis Sans Serif Std" w:hAnsi="Rotis Sans Serif Std" w:cs="RotisSansSerifStd-Regular"/>
          <w:color w:val="5E6061"/>
          <w:sz w:val="24"/>
          <w:szCs w:val="24"/>
          <w:lang w:val="ca-ES" w:eastAsia="es-ES_tradnl"/>
        </w:rPr>
        <w:t>1,61</w:t>
      </w:r>
      <w:r>
        <w:rPr>
          <w:rFonts w:ascii="Rotis Sans Serif Std" w:hAnsi="Rotis Sans Serif Std" w:cs="RotisSansSerifStd-Regular"/>
          <w:color w:val="5E6061"/>
          <w:sz w:val="24"/>
          <w:szCs w:val="24"/>
          <w:lang w:val="ca-ES" w:eastAsia="es-ES_tradnl"/>
        </w:rPr>
        <w:t xml:space="preserve">% com a conseqüència d’un expedient d’ocupació de suspensió del contracte de treball, un </w:t>
      </w:r>
      <w:r w:rsidR="00B91CA9">
        <w:rPr>
          <w:rFonts w:ascii="Rotis Sans Serif Std" w:hAnsi="Rotis Sans Serif Std" w:cs="RotisSansSerifStd-Regular"/>
          <w:color w:val="5E6061"/>
          <w:sz w:val="24"/>
          <w:szCs w:val="24"/>
          <w:lang w:val="ca-ES" w:eastAsia="es-ES_tradnl"/>
        </w:rPr>
        <w:t>38,72</w:t>
      </w:r>
      <w:r>
        <w:rPr>
          <w:rFonts w:ascii="Rotis Sans Serif Std" w:hAnsi="Rotis Sans Serif Std" w:cs="RotisSansSerifStd-Regular"/>
          <w:color w:val="5E6061"/>
          <w:sz w:val="24"/>
          <w:szCs w:val="24"/>
          <w:lang w:val="ca-ES" w:eastAsia="es-ES_tradnl"/>
        </w:rPr>
        <w:t xml:space="preserve">% per ampliació de jornada, un </w:t>
      </w:r>
      <w:r w:rsidR="00B91CA9">
        <w:rPr>
          <w:rFonts w:ascii="Rotis Sans Serif Std" w:hAnsi="Rotis Sans Serif Std" w:cs="RotisSansSerifStd-Regular"/>
          <w:color w:val="5E6061"/>
          <w:sz w:val="24"/>
          <w:szCs w:val="24"/>
          <w:lang w:val="ca-ES" w:eastAsia="es-ES_tradnl"/>
        </w:rPr>
        <w:t>17</w:t>
      </w:r>
      <w:r>
        <w:rPr>
          <w:rFonts w:ascii="Rotis Sans Serif Std" w:hAnsi="Rotis Sans Serif Std" w:cs="RotisSansSerifStd-Regular"/>
          <w:color w:val="5E6061"/>
          <w:sz w:val="24"/>
          <w:szCs w:val="24"/>
          <w:lang w:val="ca-ES" w:eastAsia="es-ES_tradnl"/>
        </w:rPr>
        <w:t xml:space="preserve">% per la introducció o modificació de la distribució irregular de la jornada i el </w:t>
      </w:r>
      <w:r w:rsidR="00B91CA9">
        <w:rPr>
          <w:rFonts w:ascii="Rotis Sans Serif Std" w:hAnsi="Rotis Sans Serif Std" w:cs="RotisSansSerifStd-Regular"/>
          <w:color w:val="5E6061"/>
          <w:sz w:val="24"/>
          <w:szCs w:val="24"/>
          <w:lang w:val="ca-ES" w:eastAsia="es-ES_tradnl"/>
        </w:rPr>
        <w:t>54</w:t>
      </w:r>
      <w:r>
        <w:rPr>
          <w:rFonts w:ascii="Rotis Sans Serif Std" w:hAnsi="Rotis Sans Serif Std" w:cs="RotisSansSerifStd-Regular"/>
          <w:color w:val="5E6061"/>
          <w:sz w:val="24"/>
          <w:szCs w:val="24"/>
          <w:lang w:val="ca-ES" w:eastAsia="es-ES_tradnl"/>
        </w:rPr>
        <w:t>% per aplicació d’altres mesures de flexibilitat en la jornada.</w:t>
      </w:r>
    </w:p>
    <w:p w:rsidR="007C2A50" w:rsidRDefault="007C2A50" w:rsidP="007C2A50">
      <w:pPr>
        <w:pStyle w:val="HTMLconformatoprevio"/>
        <w:jc w:val="both"/>
        <w:rPr>
          <w:rFonts w:ascii="Rotis Sans Serif Std" w:hAnsi="Rotis Sans Serif Std" w:cs="RotisSansSerifStd-Regular"/>
          <w:color w:val="5E6061"/>
          <w:sz w:val="24"/>
          <w:szCs w:val="24"/>
          <w:lang w:val="ca-ES" w:eastAsia="es-ES_tradnl"/>
        </w:rPr>
      </w:pPr>
    </w:p>
    <w:p w:rsidR="007C2A50" w:rsidRDefault="00383589" w:rsidP="007C2A50">
      <w:pPr>
        <w:pStyle w:val="HTMLconformatoprevio"/>
        <w:jc w:val="center"/>
        <w:rPr>
          <w:rFonts w:ascii="Rotis Sans Serif Std" w:hAnsi="Rotis Sans Serif Std" w:cs="RotisSansSerifStd-Regular"/>
          <w:color w:val="5E6061"/>
          <w:sz w:val="24"/>
          <w:szCs w:val="24"/>
          <w:lang w:val="ca-ES" w:eastAsia="es-ES_tradnl"/>
        </w:rPr>
      </w:pPr>
      <w:r>
        <w:rPr>
          <w:noProof/>
        </w:rPr>
        <w:drawing>
          <wp:inline distT="0" distB="0" distL="0" distR="0" wp14:anchorId="4194F999" wp14:editId="30684FBA">
            <wp:extent cx="5612130" cy="3084195"/>
            <wp:effectExtent l="0" t="0" r="26670" b="2095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C2A50" w:rsidRPr="00EA5418" w:rsidRDefault="007C2A50" w:rsidP="007C2A50">
      <w:pPr>
        <w:pStyle w:val="TEXTBOLD"/>
        <w:spacing w:line="276" w:lineRule="auto"/>
        <w:jc w:val="center"/>
        <w:rPr>
          <w:b w:val="0"/>
          <w:color w:val="404040"/>
          <w:sz w:val="18"/>
          <w:lang w:val="ca-ES"/>
        </w:rPr>
      </w:pPr>
      <w:r w:rsidRPr="00EA5418">
        <w:rPr>
          <w:b w:val="0"/>
          <w:color w:val="404040"/>
          <w:sz w:val="18"/>
          <w:lang w:val="ca-ES"/>
        </w:rPr>
        <w:t xml:space="preserve">Font: Elaboració pròpia a partir de les dades del </w:t>
      </w:r>
      <w:proofErr w:type="spellStart"/>
      <w:r w:rsidRPr="00EA5418">
        <w:rPr>
          <w:b w:val="0"/>
          <w:color w:val="404040"/>
          <w:sz w:val="18"/>
          <w:lang w:val="ca-ES"/>
        </w:rPr>
        <w:t>Ministerio</w:t>
      </w:r>
      <w:proofErr w:type="spellEnd"/>
      <w:r w:rsidRPr="00EA5418">
        <w:rPr>
          <w:b w:val="0"/>
          <w:color w:val="404040"/>
          <w:sz w:val="18"/>
          <w:lang w:val="ca-ES"/>
        </w:rPr>
        <w:t xml:space="preserve"> de </w:t>
      </w:r>
      <w:r>
        <w:rPr>
          <w:b w:val="0"/>
          <w:color w:val="404040"/>
          <w:sz w:val="18"/>
          <w:lang w:val="ca-ES"/>
        </w:rPr>
        <w:t xml:space="preserve">Trabajo, </w:t>
      </w:r>
      <w:proofErr w:type="spellStart"/>
      <w:r>
        <w:rPr>
          <w:b w:val="0"/>
          <w:color w:val="404040"/>
          <w:sz w:val="18"/>
          <w:lang w:val="ca-ES"/>
        </w:rPr>
        <w:t>Migraciones</w:t>
      </w:r>
      <w:proofErr w:type="spellEnd"/>
      <w:r w:rsidRPr="00EA5418">
        <w:rPr>
          <w:b w:val="0"/>
          <w:color w:val="404040"/>
          <w:sz w:val="18"/>
          <w:lang w:val="ca-ES"/>
        </w:rPr>
        <w:t xml:space="preserve"> y Seguridad Social</w:t>
      </w:r>
    </w:p>
    <w:p w:rsidR="007C2A50" w:rsidRDefault="007C2A50" w:rsidP="007C2A50">
      <w:pPr>
        <w:pStyle w:val="HTMLconformatoprevio"/>
        <w:jc w:val="both"/>
        <w:rPr>
          <w:rFonts w:ascii="Rotis Sans Serif Std" w:hAnsi="Rotis Sans Serif Std" w:cs="RotisSansSerifStd-Regular"/>
          <w:color w:val="5E6061"/>
          <w:sz w:val="24"/>
          <w:szCs w:val="24"/>
          <w:lang w:val="ca-ES" w:eastAsia="es-ES_tradnl"/>
        </w:rPr>
      </w:pPr>
    </w:p>
    <w:p w:rsidR="007C2A50" w:rsidRDefault="007C2A50" w:rsidP="007C2A50">
      <w:pPr>
        <w:autoSpaceDE w:val="0"/>
        <w:autoSpaceDN w:val="0"/>
        <w:adjustRightInd w:val="0"/>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Per tant, l</w:t>
      </w:r>
      <w:r w:rsidRPr="00824804">
        <w:rPr>
          <w:rFonts w:ascii="Rotis Sans Serif Std" w:hAnsi="Rotis Sans Serif Std" w:cs="RotisSansSerifStd-Regular"/>
          <w:color w:val="5E6061"/>
          <w:lang w:eastAsia="es-ES_tradnl"/>
        </w:rPr>
        <w:t>a flexibilitat del temps de treball ens permet fer front a les noves realitats i necessitats.</w:t>
      </w:r>
    </w:p>
    <w:p w:rsidR="007C2A50" w:rsidRPr="00824804" w:rsidRDefault="007C2A50" w:rsidP="007C2A50">
      <w:pPr>
        <w:autoSpaceDE w:val="0"/>
        <w:autoSpaceDN w:val="0"/>
        <w:adjustRightInd w:val="0"/>
        <w:jc w:val="both"/>
        <w:rPr>
          <w:rFonts w:ascii="Rotis Sans Serif Std" w:hAnsi="Rotis Sans Serif Std" w:cs="RotisSansSerifStd-Regular"/>
          <w:color w:val="5E6061"/>
          <w:lang w:eastAsia="es-ES_tradnl"/>
        </w:rPr>
      </w:pPr>
    </w:p>
    <w:p w:rsidR="007C2A50" w:rsidRDefault="007C2A50" w:rsidP="007C2A50">
      <w:pPr>
        <w:autoSpaceDE w:val="0"/>
        <w:autoSpaceDN w:val="0"/>
        <w:adjustRightInd w:val="0"/>
        <w:jc w:val="both"/>
        <w:rPr>
          <w:rFonts w:ascii="Rotis Sans Serif Std" w:hAnsi="Rotis Sans Serif Std" w:cs="RotisSansSerifStd-Regular"/>
          <w:color w:val="5E6061"/>
          <w:lang w:eastAsia="es-ES_tradnl"/>
        </w:rPr>
      </w:pPr>
      <w:r w:rsidRPr="00824804">
        <w:rPr>
          <w:rFonts w:ascii="Rotis Sans Serif Std" w:hAnsi="Rotis Sans Serif Std" w:cs="RotisSansSerifStd-Regular"/>
          <w:color w:val="5E6061"/>
          <w:lang w:eastAsia="es-ES_tradnl"/>
        </w:rPr>
        <w:t xml:space="preserve">En tractar qüestions com els horaris i la seva racionalització, la productivitat i la competitivitat, emmarcats en la qüestió de la conciliació de la vida personal, familiar i laboral, han de realitzar-se una sèrie de consideracions prèvies tant des del punt de vista socioeconòmic, com demogràfic i estructures familiars, </w:t>
      </w:r>
      <w:r>
        <w:rPr>
          <w:rFonts w:ascii="Rotis Sans Serif Std" w:hAnsi="Rotis Sans Serif Std" w:cs="RotisSansSerifStd-Regular"/>
          <w:color w:val="5E6061"/>
          <w:lang w:eastAsia="es-ES_tradnl"/>
        </w:rPr>
        <w:t>com de canvis en les pautes socials i culturals</w:t>
      </w:r>
      <w:r w:rsidRPr="00824804">
        <w:rPr>
          <w:rFonts w:ascii="Rotis Sans Serif Std" w:hAnsi="Rotis Sans Serif Std" w:cs="RotisSansSerifStd-Regular"/>
          <w:color w:val="5E6061"/>
          <w:lang w:eastAsia="es-ES_tradnl"/>
        </w:rPr>
        <w:t xml:space="preserve"> que han de considerar-se a l'hora de valorar el tipus de mesures a adoptar, tant per les empreses, com per les Administracions.  </w:t>
      </w:r>
    </w:p>
    <w:p w:rsidR="007C2A50" w:rsidRPr="00824804" w:rsidRDefault="007C2A50" w:rsidP="007C2A50">
      <w:pPr>
        <w:autoSpaceDE w:val="0"/>
        <w:autoSpaceDN w:val="0"/>
        <w:adjustRightInd w:val="0"/>
        <w:jc w:val="both"/>
        <w:rPr>
          <w:rFonts w:ascii="Rotis Sans Serif Std" w:hAnsi="Rotis Sans Serif Std" w:cs="RotisSansSerifStd-Regular"/>
          <w:color w:val="5E6061"/>
          <w:lang w:eastAsia="es-ES_tradnl"/>
        </w:rPr>
      </w:pPr>
    </w:p>
    <w:p w:rsidR="007C2A50" w:rsidRDefault="007C2A50" w:rsidP="007C2A50">
      <w:pPr>
        <w:autoSpaceDE w:val="0"/>
        <w:autoSpaceDN w:val="0"/>
        <w:adjustRightInd w:val="0"/>
        <w:jc w:val="both"/>
        <w:rPr>
          <w:rFonts w:ascii="Rotis Sans Serif Std" w:hAnsi="Rotis Sans Serif Std" w:cs="RotisSansSerifStd-Regular"/>
          <w:color w:val="5E6061"/>
          <w:lang w:eastAsia="es-ES_tradnl"/>
        </w:rPr>
      </w:pPr>
      <w:r w:rsidRPr="00824804">
        <w:rPr>
          <w:rFonts w:ascii="Rotis Sans Serif Std" w:hAnsi="Rotis Sans Serif Std" w:cs="RotisSansSerifStd-Regular"/>
          <w:color w:val="5E6061"/>
          <w:lang w:eastAsia="es-ES_tradnl"/>
        </w:rPr>
        <w:t xml:space="preserve">Des del punt de vista socioeconòmic, en els últims temps s'han produït transformacions que han provocat l'aparició de noves formes de producció que generen, al seu torn, un nou marc organitzatiu a les empreses i que exigeixen un nou marc de relacions laborals. </w:t>
      </w:r>
    </w:p>
    <w:p w:rsidR="007C2A50" w:rsidRPr="00824804" w:rsidRDefault="007C2A50" w:rsidP="007C2A50">
      <w:pPr>
        <w:autoSpaceDE w:val="0"/>
        <w:autoSpaceDN w:val="0"/>
        <w:adjustRightInd w:val="0"/>
        <w:jc w:val="both"/>
        <w:rPr>
          <w:rFonts w:ascii="Rotis Sans Serif Std" w:hAnsi="Rotis Sans Serif Std" w:cs="RotisSansSerifStd-Regular"/>
          <w:color w:val="5E6061"/>
          <w:lang w:eastAsia="es-ES_tradnl"/>
        </w:rPr>
      </w:pPr>
    </w:p>
    <w:p w:rsidR="007C2A50" w:rsidRPr="00824804" w:rsidRDefault="007C2A50" w:rsidP="007C2A50">
      <w:pPr>
        <w:autoSpaceDE w:val="0"/>
        <w:autoSpaceDN w:val="0"/>
        <w:adjustRightInd w:val="0"/>
        <w:jc w:val="both"/>
        <w:rPr>
          <w:rFonts w:ascii="Rotis Sans Serif Std" w:hAnsi="Rotis Sans Serif Std" w:cs="RotisSansSerifStd-Regular"/>
          <w:color w:val="5E6061"/>
          <w:lang w:eastAsia="es-ES_tradnl"/>
        </w:rPr>
      </w:pPr>
    </w:p>
    <w:p w:rsidR="007C2A50" w:rsidRDefault="007C2A50" w:rsidP="007C2A50">
      <w:pPr>
        <w:tabs>
          <w:tab w:val="left" w:pos="75"/>
        </w:tabs>
        <w:autoSpaceDE w:val="0"/>
        <w:autoSpaceDN w:val="0"/>
        <w:adjustRightInd w:val="0"/>
        <w:ind w:left="75"/>
        <w:jc w:val="both"/>
        <w:rPr>
          <w:rFonts w:ascii="Rotis Sans Serif Std" w:hAnsi="Rotis Sans Serif Std" w:cs="RotisSansSerifStd-Regular"/>
          <w:color w:val="5E6061"/>
          <w:lang w:eastAsia="es-ES_tradnl"/>
        </w:rPr>
      </w:pPr>
      <w:r w:rsidRPr="00824804">
        <w:rPr>
          <w:rFonts w:ascii="Rotis Sans Serif Std" w:hAnsi="Rotis Sans Serif Std" w:cs="RotisSansSerifStd-Regular"/>
          <w:color w:val="5E6061"/>
          <w:lang w:eastAsia="es-ES_tradnl"/>
        </w:rPr>
        <w:t xml:space="preserve">El nou escenari pot resultar incompatible amb els treballs repetitius, </w:t>
      </w:r>
      <w:proofErr w:type="spellStart"/>
      <w:r w:rsidRPr="00824804">
        <w:rPr>
          <w:rFonts w:ascii="Rotis Sans Serif Std" w:hAnsi="Rotis Sans Serif Std" w:cs="RotisSansSerifStd-Regular"/>
          <w:color w:val="5E6061"/>
          <w:lang w:eastAsia="es-ES_tradnl"/>
        </w:rPr>
        <w:t>estandaritzats</w:t>
      </w:r>
      <w:proofErr w:type="spellEnd"/>
      <w:r w:rsidRPr="00824804">
        <w:rPr>
          <w:rFonts w:ascii="Rotis Sans Serif Std" w:hAnsi="Rotis Sans Serif Std" w:cs="RotisSansSerifStd-Regular"/>
          <w:color w:val="5E6061"/>
          <w:lang w:eastAsia="es-ES_tradnl"/>
        </w:rPr>
        <w:t xml:space="preserve"> i subjectes a horaris estrictes propis d’altres models productius, i per això, en l'actualitat, resulta necessari el debat sobre </w:t>
      </w:r>
      <w:r w:rsidR="00511B8F">
        <w:rPr>
          <w:rFonts w:ascii="Rotis Sans Serif Std" w:hAnsi="Rotis Sans Serif Std" w:cs="RotisSansSerifStd-Regular"/>
          <w:color w:val="5E6061"/>
          <w:lang w:eastAsia="es-ES_tradnl"/>
        </w:rPr>
        <w:t>una</w:t>
      </w:r>
      <w:r w:rsidRPr="00824804">
        <w:rPr>
          <w:rFonts w:ascii="Rotis Sans Serif Std" w:hAnsi="Rotis Sans Serif Std" w:cs="RotisSansSerifStd-Regular"/>
          <w:color w:val="5E6061"/>
          <w:lang w:eastAsia="es-ES_tradnl"/>
        </w:rPr>
        <w:t xml:space="preserve"> regulació del temps de treball </w:t>
      </w:r>
      <w:r w:rsidR="00511B8F">
        <w:rPr>
          <w:rFonts w:ascii="Rotis Sans Serif Std" w:hAnsi="Rotis Sans Serif Std" w:cs="RotisSansSerifStd-Regular"/>
          <w:color w:val="5E6061"/>
          <w:lang w:eastAsia="es-ES_tradnl"/>
        </w:rPr>
        <w:t>centrada</w:t>
      </w:r>
      <w:r w:rsidRPr="00824804">
        <w:rPr>
          <w:rFonts w:ascii="Rotis Sans Serif Std" w:hAnsi="Rotis Sans Serif Std" w:cs="RotisSansSerifStd-Regular"/>
          <w:color w:val="5E6061"/>
          <w:lang w:eastAsia="es-ES_tradnl"/>
        </w:rPr>
        <w:t xml:space="preserve"> en la reordenació flexible.</w:t>
      </w:r>
    </w:p>
    <w:p w:rsidR="007C2A50" w:rsidRPr="00824804" w:rsidRDefault="007C2A50" w:rsidP="007C2A50">
      <w:pPr>
        <w:tabs>
          <w:tab w:val="left" w:pos="75"/>
        </w:tabs>
        <w:autoSpaceDE w:val="0"/>
        <w:autoSpaceDN w:val="0"/>
        <w:adjustRightInd w:val="0"/>
        <w:ind w:left="75"/>
        <w:jc w:val="both"/>
        <w:rPr>
          <w:rFonts w:ascii="Rotis Sans Serif Std" w:hAnsi="Rotis Sans Serif Std" w:cs="RotisSansSerifStd-Regular"/>
          <w:color w:val="5E6061"/>
          <w:lang w:eastAsia="es-ES_tradnl"/>
        </w:rPr>
      </w:pPr>
    </w:p>
    <w:p w:rsidR="007C2A50" w:rsidRDefault="007C2A50" w:rsidP="007C2A50">
      <w:pPr>
        <w:autoSpaceDE w:val="0"/>
        <w:autoSpaceDN w:val="0"/>
        <w:adjustRightInd w:val="0"/>
        <w:jc w:val="both"/>
        <w:rPr>
          <w:rFonts w:ascii="Rotis Sans Serif Std" w:hAnsi="Rotis Sans Serif Std" w:cs="RotisSansSerifStd-Regular"/>
          <w:color w:val="5E6061"/>
          <w:lang w:eastAsia="es-ES_tradnl"/>
        </w:rPr>
      </w:pPr>
      <w:r w:rsidRPr="00824804">
        <w:rPr>
          <w:rFonts w:ascii="Rotis Sans Serif Std" w:hAnsi="Rotis Sans Serif Std" w:cs="RotisSansSerifStd-Regular"/>
          <w:color w:val="5E6061"/>
          <w:lang w:eastAsia="es-ES_tradnl"/>
        </w:rPr>
        <w:t xml:space="preserve">Seguint amb aquesta radiografia d'aspectes que afecten </w:t>
      </w:r>
      <w:r w:rsidR="00511B8F">
        <w:rPr>
          <w:rFonts w:ascii="Rotis Sans Serif Std" w:hAnsi="Rotis Sans Serif Std" w:cs="RotisSansSerifStd-Regular"/>
          <w:color w:val="5E6061"/>
          <w:lang w:eastAsia="es-ES_tradnl"/>
        </w:rPr>
        <w:t xml:space="preserve">a </w:t>
      </w:r>
      <w:r w:rsidRPr="00824804">
        <w:rPr>
          <w:rFonts w:ascii="Rotis Sans Serif Std" w:hAnsi="Rotis Sans Serif Std" w:cs="RotisSansSerifStd-Regular"/>
          <w:color w:val="5E6061"/>
          <w:lang w:eastAsia="es-ES_tradnl"/>
        </w:rPr>
        <w:t xml:space="preserve">la realitat socioeconòmica actual, no sols s'han produït canvis en les estructures econòmiques, sinó també en les estructures familiars i en el factor demogràfic. </w:t>
      </w:r>
      <w:r w:rsidR="00511B8F">
        <w:rPr>
          <w:rFonts w:ascii="Rotis Sans Serif Std" w:hAnsi="Rotis Sans Serif Std" w:cs="RotisSansSerifStd-Regular"/>
          <w:color w:val="5E6061"/>
          <w:lang w:eastAsia="es-ES_tradnl"/>
        </w:rPr>
        <w:t>Respecte</w:t>
      </w:r>
      <w:r w:rsidRPr="00824804">
        <w:rPr>
          <w:rFonts w:ascii="Rotis Sans Serif Std" w:hAnsi="Rotis Sans Serif Std" w:cs="RotisSansSerifStd-Regular"/>
          <w:color w:val="5E6061"/>
          <w:lang w:eastAsia="es-ES_tradnl"/>
        </w:rPr>
        <w:t xml:space="preserve"> a l'estructura familiar tenim, d'una banda, la incorporació massiva de la dona al mercat laboral, d'altra banda,  s'observa com s’incrementen el nombre de famílies monoparentals. A aquesta nova estructura familiar hem d’afegir els canvis demogràfics que s'han produït en els últims temps en el nostre país i en la resta d'Europa, com són la baixa natalitat i l’envelliment de la població (això genera l'augment dels col·lectius necessitats d’atenció i cures).</w:t>
      </w:r>
    </w:p>
    <w:p w:rsidR="007C2A50" w:rsidRDefault="007C2A50" w:rsidP="007C2A50">
      <w:pPr>
        <w:autoSpaceDE w:val="0"/>
        <w:autoSpaceDN w:val="0"/>
        <w:adjustRightInd w:val="0"/>
        <w:jc w:val="both"/>
        <w:rPr>
          <w:rFonts w:ascii="Rotis Sans Serif Std" w:hAnsi="Rotis Sans Serif Std" w:cs="RotisSansSerifStd-Regular"/>
          <w:color w:val="5E6061"/>
          <w:lang w:eastAsia="es-ES_tradnl"/>
        </w:rPr>
      </w:pPr>
    </w:p>
    <w:p w:rsidR="007C2A50" w:rsidRDefault="007C2A50" w:rsidP="007C2A50">
      <w:pPr>
        <w:autoSpaceDE w:val="0"/>
        <w:autoSpaceDN w:val="0"/>
        <w:adjustRightInd w:val="0"/>
        <w:jc w:val="both"/>
        <w:rPr>
          <w:rFonts w:ascii="Rotis Sans Serif Std" w:hAnsi="Rotis Sans Serif Std" w:cs="RotisSansSerifStd-Regular"/>
          <w:color w:val="5E6061"/>
          <w:lang w:eastAsia="es-ES_tradnl"/>
        </w:rPr>
      </w:pPr>
      <w:r w:rsidRPr="00FE460E">
        <w:rPr>
          <w:rFonts w:ascii="Rotis Sans Serif Std" w:hAnsi="Rotis Sans Serif Std" w:cs="RotisSansSerifStd-Regular"/>
          <w:color w:val="5E6061"/>
          <w:lang w:eastAsia="es-ES_tradnl"/>
        </w:rPr>
        <w:t xml:space="preserve">El treball és el factor vertebrador del dia a dia de les persones i el temps de treball  es configura com un dels eixos principals en relació als altres temps. Però, tot i la supremacia del temps de treball, s’està produint un canvi en la percepció de la importància del factor temps en general. Aquesta nova concepció del temps i dels seus usos provoquen una demanda més gran per equilibrar la vida personal-familiar-laboral mitjançant una reforma dels horaris que els faci més racionals. </w:t>
      </w:r>
    </w:p>
    <w:p w:rsidR="00511B8F" w:rsidRDefault="00511B8F" w:rsidP="007C2A50">
      <w:pPr>
        <w:autoSpaceDE w:val="0"/>
        <w:autoSpaceDN w:val="0"/>
        <w:adjustRightInd w:val="0"/>
        <w:jc w:val="both"/>
        <w:rPr>
          <w:rFonts w:ascii="Rotis Sans Serif Std" w:hAnsi="Rotis Sans Serif Std" w:cs="RotisSansSerifStd-Regular"/>
          <w:color w:val="5E6061"/>
          <w:lang w:eastAsia="es-ES_tradnl"/>
        </w:rPr>
      </w:pPr>
    </w:p>
    <w:p w:rsidR="007C2A50" w:rsidRDefault="007C2A50" w:rsidP="007C2A50">
      <w:pPr>
        <w:autoSpaceDE w:val="0"/>
        <w:autoSpaceDN w:val="0"/>
        <w:adjustRightInd w:val="0"/>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A continuació s’exposa</w:t>
      </w:r>
      <w:r w:rsidR="00511B8F">
        <w:rPr>
          <w:rFonts w:ascii="Rotis Sans Serif Std" w:hAnsi="Rotis Sans Serif Std" w:cs="RotisSansSerifStd-Regular"/>
          <w:color w:val="5E6061"/>
          <w:lang w:eastAsia="es-ES_tradnl"/>
        </w:rPr>
        <w:t>,</w:t>
      </w:r>
      <w:r>
        <w:rPr>
          <w:rFonts w:ascii="Rotis Sans Serif Std" w:hAnsi="Rotis Sans Serif Std" w:cs="RotisSansSerifStd-Regular"/>
          <w:color w:val="5E6061"/>
          <w:lang w:eastAsia="es-ES_tradnl"/>
        </w:rPr>
        <w:t xml:space="preserve"> segons les darreres dades publicades de l’Enquesta de </w:t>
      </w:r>
      <w:r>
        <w:rPr>
          <w:sz w:val="20"/>
          <w:szCs w:val="20"/>
        </w:rPr>
        <w:t xml:space="preserve"> </w:t>
      </w:r>
      <w:r>
        <w:rPr>
          <w:rFonts w:ascii="Rotis Sans Serif Std" w:hAnsi="Rotis Sans Serif Std" w:cs="RotisSansSerifStd-Regular"/>
          <w:color w:val="5E6061"/>
          <w:lang w:eastAsia="es-ES_tradnl"/>
        </w:rPr>
        <w:t>l’ús del temps 2010-2011 a Catalunya, la p</w:t>
      </w:r>
      <w:r w:rsidRPr="00E55A1C">
        <w:rPr>
          <w:rFonts w:ascii="Rotis Sans Serif Std" w:hAnsi="Rotis Sans Serif Std" w:cs="RotisSansSerifStd-Regular"/>
          <w:color w:val="5E6061"/>
          <w:lang w:eastAsia="es-ES_tradnl"/>
        </w:rPr>
        <w:t>articipació i durada mitjana de les activitats diàries detal</w:t>
      </w:r>
      <w:r>
        <w:rPr>
          <w:rFonts w:ascii="Rotis Sans Serif Std" w:hAnsi="Rotis Sans Serif Std" w:cs="RotisSansSerifStd-Regular"/>
          <w:color w:val="5E6061"/>
          <w:lang w:eastAsia="es-ES_tradnl"/>
        </w:rPr>
        <w:t>lades per sexe, i on es pot observar que desprès de les cures personals</w:t>
      </w:r>
      <w:r>
        <w:rPr>
          <w:rStyle w:val="Refdenotaalpie"/>
          <w:rFonts w:ascii="Rotis Sans Serif Std" w:hAnsi="Rotis Sans Serif Std"/>
          <w:color w:val="5E6061"/>
          <w:lang w:eastAsia="es-ES_tradnl"/>
        </w:rPr>
        <w:footnoteReference w:id="16"/>
      </w:r>
      <w:r>
        <w:rPr>
          <w:rFonts w:ascii="Rotis Sans Serif Std" w:hAnsi="Rotis Sans Serif Std" w:cs="RotisSansSerifStd-Regular"/>
          <w:color w:val="5E6061"/>
          <w:lang w:eastAsia="es-ES_tradnl"/>
        </w:rPr>
        <w:t>, el treball remunerat és l’activitat on es destina major temps.</w:t>
      </w:r>
    </w:p>
    <w:p w:rsidR="007C2A50" w:rsidRDefault="007C2A50" w:rsidP="007C2A50">
      <w:pPr>
        <w:autoSpaceDE w:val="0"/>
        <w:autoSpaceDN w:val="0"/>
        <w:adjustRightInd w:val="0"/>
        <w:jc w:val="both"/>
        <w:rPr>
          <w:rFonts w:ascii="Rotis Sans Serif Std" w:hAnsi="Rotis Sans Serif Std" w:cs="RotisSansSerifStd-Regular"/>
          <w:color w:val="5E6061"/>
          <w:lang w:eastAsia="es-ES_tradnl"/>
        </w:rPr>
      </w:pPr>
    </w:p>
    <w:p w:rsidR="007C2A50" w:rsidRPr="00824804" w:rsidRDefault="007C2A50" w:rsidP="007C2A50">
      <w:pPr>
        <w:autoSpaceDE w:val="0"/>
        <w:autoSpaceDN w:val="0"/>
        <w:adjustRightInd w:val="0"/>
        <w:jc w:val="both"/>
        <w:rPr>
          <w:rFonts w:ascii="Rotis Sans Serif Std" w:hAnsi="Rotis Sans Serif Std" w:cs="RotisSansSerifStd-Regular"/>
          <w:color w:val="5E6061"/>
          <w:lang w:eastAsia="es-ES_tradnl"/>
        </w:rPr>
      </w:pPr>
      <w:r>
        <w:rPr>
          <w:noProof/>
          <w:lang w:val="es-ES" w:eastAsia="es-ES"/>
        </w:rPr>
        <w:drawing>
          <wp:inline distT="0" distB="0" distL="0" distR="0" wp14:anchorId="1BC5A460" wp14:editId="083FC4A8">
            <wp:extent cx="6162675" cy="3609975"/>
            <wp:effectExtent l="0" t="0" r="9525" b="952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C2A50" w:rsidRPr="00EA5418" w:rsidRDefault="007C2A50" w:rsidP="007C2A50">
      <w:pPr>
        <w:pStyle w:val="TEXTBOLD"/>
        <w:spacing w:line="276" w:lineRule="auto"/>
        <w:ind w:left="720"/>
        <w:jc w:val="center"/>
        <w:rPr>
          <w:b w:val="0"/>
          <w:color w:val="404040"/>
          <w:sz w:val="18"/>
          <w:lang w:val="ca-ES"/>
        </w:rPr>
      </w:pPr>
      <w:r w:rsidRPr="00EA5418">
        <w:rPr>
          <w:b w:val="0"/>
          <w:color w:val="404040"/>
          <w:sz w:val="18"/>
          <w:lang w:val="ca-ES"/>
        </w:rPr>
        <w:t xml:space="preserve">Font: Elaboració pròpia a partir de les dades </w:t>
      </w:r>
      <w:r>
        <w:rPr>
          <w:b w:val="0"/>
          <w:color w:val="404040"/>
          <w:sz w:val="18"/>
          <w:lang w:val="ca-ES"/>
        </w:rPr>
        <w:t xml:space="preserve">de </w:t>
      </w:r>
      <w:r w:rsidRPr="00AE7F18">
        <w:rPr>
          <w:b w:val="0"/>
          <w:color w:val="404040"/>
          <w:sz w:val="18"/>
          <w:lang w:val="ca-ES"/>
        </w:rPr>
        <w:t>l’Enquesta de  l’ús del temps 2010-2011 a Catalunya</w:t>
      </w:r>
    </w:p>
    <w:p w:rsidR="007C2A50" w:rsidRDefault="007C2A50" w:rsidP="007C2A50">
      <w:pPr>
        <w:autoSpaceDE w:val="0"/>
        <w:autoSpaceDN w:val="0"/>
        <w:adjustRightInd w:val="0"/>
        <w:jc w:val="both"/>
        <w:rPr>
          <w:rFonts w:ascii="Rotis Sans Serif Std" w:hAnsi="Rotis Sans Serif Std" w:cs="RotisSansSerifStd-Regular"/>
          <w:color w:val="5E6061"/>
          <w:lang w:eastAsia="es-ES_tradnl"/>
        </w:rPr>
      </w:pPr>
    </w:p>
    <w:p w:rsidR="007C2A50" w:rsidRDefault="007C2A50" w:rsidP="007C2A50">
      <w:pPr>
        <w:autoSpaceDE w:val="0"/>
        <w:autoSpaceDN w:val="0"/>
        <w:adjustRightInd w:val="0"/>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Així mateix, segons les dades de l’Enquesta Nacional de Condicions de Vida i de gestió de la prevenció de l’any 2015, davant de la pregunta en quina mesura s’adapta l’horari de treball als respectius  compromisos socials i familiars fora del treball, el 23,7% dels enquestats consideren que molt bé, el 51,6% bé, el 16,7% no gaire bé i el 7,9% gens bé.</w:t>
      </w:r>
    </w:p>
    <w:p w:rsidR="007C2A50" w:rsidRDefault="007C2A50" w:rsidP="007C2A50">
      <w:pPr>
        <w:autoSpaceDE w:val="0"/>
        <w:autoSpaceDN w:val="0"/>
        <w:adjustRightInd w:val="0"/>
        <w:rPr>
          <w:rFonts w:ascii="Rotis Sans Serif Std" w:hAnsi="Rotis Sans Serif Std" w:cs="RotisSansSerifStd-Regular"/>
          <w:color w:val="5E6061"/>
          <w:lang w:eastAsia="es-ES_tradnl"/>
        </w:rPr>
      </w:pPr>
    </w:p>
    <w:p w:rsidR="007C2A50" w:rsidRDefault="007C2A50" w:rsidP="007C2A50">
      <w:pPr>
        <w:autoSpaceDE w:val="0"/>
        <w:autoSpaceDN w:val="0"/>
        <w:adjustRightInd w:val="0"/>
        <w:jc w:val="center"/>
        <w:rPr>
          <w:rFonts w:ascii="Rotis Sans Serif Std" w:hAnsi="Rotis Sans Serif Std" w:cs="RotisSansSerifStd-Regular"/>
          <w:color w:val="5E6061"/>
          <w:lang w:eastAsia="es-ES_tradnl"/>
        </w:rPr>
      </w:pPr>
      <w:r>
        <w:rPr>
          <w:noProof/>
          <w:lang w:val="es-ES" w:eastAsia="es-ES"/>
        </w:rPr>
        <w:drawing>
          <wp:inline distT="0" distB="0" distL="0" distR="0" wp14:anchorId="11680E7A" wp14:editId="60002B4F">
            <wp:extent cx="4572000" cy="2743200"/>
            <wp:effectExtent l="0" t="0" r="19050" b="1905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C2A50" w:rsidRPr="00EA5418" w:rsidRDefault="007C2A50" w:rsidP="007C2A50">
      <w:pPr>
        <w:pStyle w:val="TEXTBOLD"/>
        <w:spacing w:line="276" w:lineRule="auto"/>
        <w:ind w:left="720"/>
        <w:jc w:val="center"/>
        <w:rPr>
          <w:b w:val="0"/>
          <w:color w:val="404040"/>
          <w:sz w:val="18"/>
          <w:lang w:val="ca-ES"/>
        </w:rPr>
      </w:pPr>
      <w:r w:rsidRPr="00EA5418">
        <w:rPr>
          <w:b w:val="0"/>
          <w:color w:val="404040"/>
          <w:sz w:val="18"/>
          <w:lang w:val="ca-ES"/>
        </w:rPr>
        <w:t>Font:</w:t>
      </w:r>
      <w:r>
        <w:rPr>
          <w:b w:val="0"/>
          <w:color w:val="404040"/>
          <w:sz w:val="18"/>
          <w:lang w:val="ca-ES"/>
        </w:rPr>
        <w:t xml:space="preserve"> </w:t>
      </w:r>
      <w:r w:rsidRPr="00F573C8">
        <w:rPr>
          <w:b w:val="0"/>
          <w:color w:val="404040"/>
          <w:sz w:val="18"/>
          <w:lang w:val="ca-ES"/>
        </w:rPr>
        <w:t>Enquesta Nacional de Condicions de Vida i de gestió de la prevenció de l’any 2015</w:t>
      </w:r>
    </w:p>
    <w:p w:rsidR="007C2A50" w:rsidRDefault="007C2A50" w:rsidP="007C2A50">
      <w:pPr>
        <w:autoSpaceDE w:val="0"/>
        <w:autoSpaceDN w:val="0"/>
        <w:adjustRightInd w:val="0"/>
        <w:rPr>
          <w:rFonts w:ascii="ArialNarrow" w:hAnsi="ArialNarrow" w:cs="ArialNarrow"/>
          <w:lang w:val="es-ES" w:eastAsia="es-ES"/>
        </w:rPr>
      </w:pPr>
    </w:p>
    <w:p w:rsidR="007C2A50" w:rsidRDefault="007A46A8" w:rsidP="007C2A50">
      <w:pPr>
        <w:autoSpaceDE w:val="0"/>
        <w:autoSpaceDN w:val="0"/>
        <w:adjustRightInd w:val="0"/>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A</w:t>
      </w:r>
      <w:r w:rsidR="007C2A50">
        <w:rPr>
          <w:rFonts w:ascii="Rotis Sans Serif Std" w:hAnsi="Rotis Sans Serif Std" w:cs="RotisSansSerifStd-Regular"/>
          <w:color w:val="5E6061"/>
          <w:lang w:eastAsia="es-ES_tradnl"/>
        </w:rPr>
        <w:t xml:space="preserve">quest context, ha de permetre l’aplicació de mesures de </w:t>
      </w:r>
      <w:r w:rsidR="007C2A50" w:rsidRPr="00824804">
        <w:rPr>
          <w:rFonts w:ascii="Rotis Sans Serif Std" w:hAnsi="Rotis Sans Serif Std" w:cs="RotisSansSerifStd-Regular"/>
          <w:color w:val="5E6061"/>
          <w:lang w:eastAsia="es-ES_tradnl"/>
        </w:rPr>
        <w:t xml:space="preserve">flexibilitat del temps de treball </w:t>
      </w:r>
      <w:r w:rsidR="007C2A50">
        <w:rPr>
          <w:rFonts w:ascii="Rotis Sans Serif Std" w:hAnsi="Rotis Sans Serif Std" w:cs="RotisSansSerifStd-Regular"/>
          <w:color w:val="5E6061"/>
          <w:lang w:eastAsia="es-ES_tradnl"/>
        </w:rPr>
        <w:t>mitjançant la introducció de m</w:t>
      </w:r>
      <w:r w:rsidR="007C2A50" w:rsidRPr="00824804">
        <w:rPr>
          <w:rFonts w:ascii="Rotis Sans Serif Std" w:hAnsi="Rotis Sans Serif Std" w:cs="RotisSansSerifStd-Regular"/>
          <w:color w:val="5E6061"/>
          <w:lang w:eastAsia="es-ES_tradnl"/>
        </w:rPr>
        <w:t xml:space="preserve">ecanismes </w:t>
      </w:r>
      <w:r w:rsidR="007C2A50">
        <w:rPr>
          <w:rFonts w:ascii="Rotis Sans Serif Std" w:hAnsi="Rotis Sans Serif Std" w:cs="RotisSansSerifStd-Regular"/>
          <w:color w:val="5E6061"/>
          <w:lang w:eastAsia="es-ES_tradnl"/>
        </w:rPr>
        <w:t>que facilitin l</w:t>
      </w:r>
      <w:r w:rsidR="007C2A50" w:rsidRPr="00824804">
        <w:rPr>
          <w:rFonts w:ascii="Rotis Sans Serif Std" w:hAnsi="Rotis Sans Serif Std" w:cs="RotisSansSerifStd-Regular"/>
          <w:color w:val="5E6061"/>
          <w:lang w:eastAsia="es-ES_tradnl"/>
        </w:rPr>
        <w:t xml:space="preserve">a màxima eficàcia en el procés productiu i una major capacitat d'adaptació als canvis. Però, al mateix temps, ha de procurar-se que aquesta flexibilitat comporti avantatges, tant per a les empreses com per als treballadors. </w:t>
      </w:r>
    </w:p>
    <w:p w:rsidR="007C2A50" w:rsidRPr="00824804" w:rsidRDefault="007C2A50" w:rsidP="007C2A50">
      <w:pPr>
        <w:autoSpaceDE w:val="0"/>
        <w:autoSpaceDN w:val="0"/>
        <w:adjustRightInd w:val="0"/>
        <w:jc w:val="both"/>
        <w:rPr>
          <w:rFonts w:ascii="Rotis Sans Serif Std" w:hAnsi="Rotis Sans Serif Std" w:cs="RotisSansSerifStd-Regular"/>
          <w:color w:val="5E6061"/>
          <w:lang w:eastAsia="es-ES_tradnl"/>
        </w:rPr>
      </w:pPr>
    </w:p>
    <w:p w:rsidR="007C2A50" w:rsidRDefault="007C2A50" w:rsidP="007C2A50">
      <w:pPr>
        <w:jc w:val="both"/>
        <w:rPr>
          <w:rFonts w:ascii="Rotis Sans Serif Std" w:hAnsi="Rotis Sans Serif Std" w:cs="RotisSansSerifStd-Regular"/>
          <w:color w:val="5E6061"/>
          <w:lang w:eastAsia="es-ES_tradnl"/>
        </w:rPr>
      </w:pPr>
      <w:r w:rsidRPr="00824804">
        <w:rPr>
          <w:rFonts w:ascii="Rotis Sans Serif Std" w:hAnsi="Rotis Sans Serif Std" w:cs="RotisSansSerifStd-Regular"/>
          <w:color w:val="5E6061"/>
          <w:lang w:eastAsia="es-ES_tradnl"/>
        </w:rPr>
        <w:t xml:space="preserve">Aquesta flexibilitat es materialitza amb l'establiment de mecanismes, com són per exemple: </w:t>
      </w:r>
      <w:proofErr w:type="spellStart"/>
      <w:r w:rsidRPr="00824804">
        <w:rPr>
          <w:rFonts w:ascii="Rotis Sans Serif Std" w:hAnsi="Rotis Sans Serif Std" w:cs="RotisSansSerifStd-Regular"/>
          <w:color w:val="5E6061"/>
          <w:lang w:eastAsia="es-ES_tradnl"/>
        </w:rPr>
        <w:t>l’anualització</w:t>
      </w:r>
      <w:proofErr w:type="spellEnd"/>
      <w:r w:rsidRPr="00824804">
        <w:rPr>
          <w:rFonts w:ascii="Rotis Sans Serif Std" w:hAnsi="Rotis Sans Serif Std" w:cs="RotisSansSerifStd-Regular"/>
          <w:color w:val="5E6061"/>
          <w:lang w:eastAsia="es-ES_tradnl"/>
        </w:rPr>
        <w:t xml:space="preserve"> de la jornada laboral; la distribució irregular del temps de treball per potenciar la màxima eficiència del procés productiu; els sistemes d'horaris flexibles; les bosses horàries flexibles; la flexibilitat d'entrada i sortida, la implantació de la jornada contínua quan sigui possible; la reducció del temps per dinar, finalitzant abans la jornada laboral; o reducció de jornada en els períodes de menor activitat de l'empresa.</w:t>
      </w:r>
    </w:p>
    <w:p w:rsidR="007C2A50" w:rsidRPr="00824804" w:rsidRDefault="007C2A50" w:rsidP="007C2A50">
      <w:pPr>
        <w:jc w:val="both"/>
        <w:rPr>
          <w:rFonts w:ascii="Rotis Sans Serif Std" w:hAnsi="Rotis Sans Serif Std" w:cs="RotisSansSerifStd-Regular"/>
          <w:color w:val="5E6061"/>
          <w:lang w:eastAsia="es-ES_tradnl"/>
        </w:rPr>
      </w:pPr>
    </w:p>
    <w:p w:rsidR="007C2A50" w:rsidRDefault="007C2A50" w:rsidP="007C2A50">
      <w:pPr>
        <w:jc w:val="both"/>
        <w:rPr>
          <w:rFonts w:ascii="Rotis Sans Serif Std" w:hAnsi="Rotis Sans Serif Std" w:cs="RotisSansSerifStd-Regular"/>
          <w:color w:val="5E6061"/>
          <w:lang w:eastAsia="es-ES_tradnl"/>
        </w:rPr>
      </w:pPr>
      <w:r w:rsidRPr="00824804">
        <w:rPr>
          <w:rFonts w:ascii="Rotis Sans Serif Std" w:hAnsi="Rotis Sans Serif Std" w:cs="RotisSansSerifStd-Regular"/>
          <w:color w:val="5E6061"/>
          <w:lang w:eastAsia="es-ES_tradnl"/>
        </w:rPr>
        <w:t xml:space="preserve">La negociació col·lectiva és l’instrument adequat per regular la reordenació flexible del temps de treball i l'instrument que permet establir mesures de conciliació, amb una major capacitat d'adaptació a les realitats concretes dels sectors, de les empreses i dels treballadors.  Per tant,  l’eina més adient per tal de mantenir el necessari equilibri entre les necessitats empresarials i socials, són la concertació i el diàleg social, i com a concreció última d’aquest diàleg, la plasmació de les mesures en els Convenis Col·lectius, les quals es configuraran com un marc comú i de mínims per totes les empreses del sector. </w:t>
      </w:r>
    </w:p>
    <w:p w:rsidR="007C2A50" w:rsidRDefault="007C2A50" w:rsidP="007C2A50">
      <w:pPr>
        <w:jc w:val="both"/>
        <w:rPr>
          <w:rFonts w:ascii="Rotis Sans Serif Std" w:hAnsi="Rotis Sans Serif Std" w:cs="RotisSansSerifStd-Regular"/>
          <w:color w:val="5E6061"/>
          <w:lang w:eastAsia="es-ES_tradnl"/>
        </w:rPr>
      </w:pPr>
    </w:p>
    <w:p w:rsidR="007C2A50" w:rsidRPr="008E33F4" w:rsidRDefault="007C2A50" w:rsidP="00972EC4">
      <w:pPr>
        <w:pStyle w:val="HTMLconformatoprevio"/>
        <w:spacing w:after="200"/>
        <w:jc w:val="both"/>
        <w:rPr>
          <w:rFonts w:ascii="Rotis Sans Serif Std" w:hAnsi="Rotis Sans Serif Std" w:cs="RotisSansSerifStd-Regular"/>
          <w:color w:val="5E6061"/>
          <w:sz w:val="24"/>
          <w:szCs w:val="24"/>
          <w:lang w:val="ca-ES" w:eastAsia="es-ES_tradnl"/>
        </w:rPr>
      </w:pPr>
      <w:r w:rsidRPr="008E33F4">
        <w:rPr>
          <w:rFonts w:ascii="Rotis Sans Serif Std" w:hAnsi="Rotis Sans Serif Std" w:cs="RotisSansSerifStd-Regular"/>
          <w:color w:val="5E6061"/>
          <w:sz w:val="24"/>
          <w:szCs w:val="24"/>
          <w:lang w:val="ca-ES" w:eastAsia="es-ES_tradnl"/>
        </w:rPr>
        <w:t xml:space="preserve">És per això, que en el darrer Acord Interprofessional </w:t>
      </w:r>
      <w:r>
        <w:rPr>
          <w:rFonts w:ascii="Rotis Sans Serif Std" w:hAnsi="Rotis Sans Serif Std" w:cs="RotisSansSerifStd-Regular"/>
          <w:color w:val="5E6061"/>
          <w:sz w:val="24"/>
          <w:szCs w:val="24"/>
          <w:lang w:val="ca-ES" w:eastAsia="es-ES_tradnl"/>
        </w:rPr>
        <w:t xml:space="preserve">de Catalunya </w:t>
      </w:r>
      <w:r w:rsidRPr="008E33F4">
        <w:rPr>
          <w:rFonts w:ascii="Rotis Sans Serif Std" w:hAnsi="Rotis Sans Serif Std" w:cs="RotisSansSerifStd-Regular"/>
          <w:color w:val="5E6061"/>
          <w:sz w:val="24"/>
          <w:szCs w:val="24"/>
          <w:lang w:val="ca-ES" w:eastAsia="es-ES_tradnl"/>
        </w:rPr>
        <w:t xml:space="preserve">2018-2020 signat per les organitzacions empresarials i sindicals més representatives a Catalunya el passat mes de juliol, la flexibilitat en el temps de treball i les mesures de gestió del  mateix </w:t>
      </w:r>
      <w:r>
        <w:rPr>
          <w:rFonts w:ascii="Rotis Sans Serif Std" w:hAnsi="Rotis Sans Serif Std" w:cs="RotisSansSerifStd-Regular"/>
          <w:color w:val="5E6061"/>
          <w:sz w:val="24"/>
          <w:szCs w:val="24"/>
          <w:lang w:val="ca-ES" w:eastAsia="es-ES_tradnl"/>
        </w:rPr>
        <w:t>ha</w:t>
      </w:r>
      <w:r w:rsidR="00972EC4">
        <w:rPr>
          <w:rFonts w:ascii="Rotis Sans Serif Std" w:hAnsi="Rotis Sans Serif Std" w:cs="RotisSansSerifStd-Regular"/>
          <w:color w:val="5E6061"/>
          <w:sz w:val="24"/>
          <w:szCs w:val="24"/>
          <w:lang w:val="ca-ES" w:eastAsia="es-ES_tradnl"/>
        </w:rPr>
        <w:t>n</w:t>
      </w:r>
      <w:r>
        <w:rPr>
          <w:rFonts w:ascii="Rotis Sans Serif Std" w:hAnsi="Rotis Sans Serif Std" w:cs="RotisSansSerifStd-Regular"/>
          <w:color w:val="5E6061"/>
          <w:sz w:val="24"/>
          <w:szCs w:val="24"/>
          <w:lang w:val="ca-ES" w:eastAsia="es-ES_tradnl"/>
        </w:rPr>
        <w:t xml:space="preserve"> tingut </w:t>
      </w:r>
      <w:r w:rsidRPr="008E33F4">
        <w:rPr>
          <w:rFonts w:ascii="Rotis Sans Serif Std" w:hAnsi="Rotis Sans Serif Std" w:cs="RotisSansSerifStd-Regular"/>
          <w:color w:val="5E6061"/>
          <w:sz w:val="24"/>
          <w:szCs w:val="24"/>
          <w:lang w:val="ca-ES" w:eastAsia="es-ES_tradnl"/>
        </w:rPr>
        <w:t>un paper cabdal tant en les negociacions</w:t>
      </w:r>
      <w:r>
        <w:rPr>
          <w:rFonts w:ascii="Rotis Sans Serif Std" w:hAnsi="Rotis Sans Serif Std" w:cs="RotisSansSerifStd-Regular"/>
          <w:color w:val="5E6061"/>
          <w:sz w:val="24"/>
          <w:szCs w:val="24"/>
          <w:lang w:val="ca-ES" w:eastAsia="es-ES_tradnl"/>
        </w:rPr>
        <w:t xml:space="preserve"> com</w:t>
      </w:r>
      <w:r w:rsidRPr="008E33F4">
        <w:rPr>
          <w:rFonts w:ascii="Rotis Sans Serif Std" w:hAnsi="Rotis Sans Serif Std" w:cs="RotisSansSerifStd-Regular"/>
          <w:color w:val="5E6061"/>
          <w:sz w:val="24"/>
          <w:szCs w:val="24"/>
          <w:lang w:val="ca-ES" w:eastAsia="es-ES_tradnl"/>
        </w:rPr>
        <w:t xml:space="preserve"> en els acords assolits en la mat</w:t>
      </w:r>
      <w:r>
        <w:rPr>
          <w:rFonts w:ascii="Rotis Sans Serif Std" w:hAnsi="Rotis Sans Serif Std" w:cs="RotisSansSerifStd-Regular"/>
          <w:color w:val="5E6061"/>
          <w:sz w:val="24"/>
          <w:szCs w:val="24"/>
          <w:lang w:val="ca-ES" w:eastAsia="es-ES_tradnl"/>
        </w:rPr>
        <w:t>èria, introduint-se</w:t>
      </w:r>
      <w:r w:rsidRPr="008E33F4">
        <w:rPr>
          <w:rFonts w:ascii="Rotis Sans Serif Std" w:hAnsi="Rotis Sans Serif Std" w:cs="RotisSansSerifStd-Regular"/>
          <w:color w:val="5E6061"/>
          <w:sz w:val="24"/>
          <w:szCs w:val="24"/>
          <w:lang w:val="ca-ES" w:eastAsia="es-ES_tradnl"/>
        </w:rPr>
        <w:t xml:space="preserve"> millores en la gestió negociada de la flexibilitat que combini la flexibilitat necessària que requereixen les empreses amb una protecció adequada dels drets de les persones treballadores.</w:t>
      </w:r>
    </w:p>
    <w:p w:rsidR="007C2A50" w:rsidRDefault="007C2A50" w:rsidP="007C2A50">
      <w:pPr>
        <w:jc w:val="both"/>
        <w:rPr>
          <w:rFonts w:ascii="Rotis Sans Serif Std" w:hAnsi="Rotis Sans Serif Std" w:cs="RotisSansSerifStd-Regular"/>
          <w:color w:val="5E6061"/>
          <w:lang w:eastAsia="es-ES_tradnl"/>
        </w:rPr>
      </w:pPr>
      <w:r w:rsidRPr="00824804">
        <w:rPr>
          <w:rFonts w:ascii="Rotis Sans Serif Std" w:hAnsi="Rotis Sans Serif Std" w:cs="RotisSansSerifStd-Regular"/>
          <w:color w:val="5E6061"/>
          <w:lang w:eastAsia="es-ES_tradnl"/>
        </w:rPr>
        <w:t>Així mateix, la negociació col·lectiva implica una constant comunicació entre empreses i representants dels treballadors, per tant, això implica prendre en consideració la mateixa com un element dinàmic, i amb capacitat d’adaptabilitat a les diferents circumstàncies i contextos. No podem obviar que quan parlem de racionalització dels horaris, usos del temps, etc. hem de tenir en compte en primer lloc que les necessitats dels treballadors canvien al llarg de la vida, i en segon lloc que les necessitats de cada sector són divergents i canviants, així com,  que dins del propi sector les realitats de les empreses poden ser molt diferents.</w:t>
      </w:r>
    </w:p>
    <w:p w:rsidR="007C2A50" w:rsidRDefault="007C2A50" w:rsidP="007C2A50">
      <w:pPr>
        <w:jc w:val="both"/>
        <w:rPr>
          <w:rFonts w:ascii="Rotis Sans Serif Std" w:hAnsi="Rotis Sans Serif Std" w:cs="RotisSansSerifStd-Regular"/>
          <w:color w:val="5E6061"/>
          <w:lang w:eastAsia="es-ES_tradnl"/>
        </w:rPr>
      </w:pPr>
    </w:p>
    <w:p w:rsidR="007C2A50" w:rsidRPr="008E33F4" w:rsidRDefault="007C2A50" w:rsidP="007C2A50">
      <w:pPr>
        <w:tabs>
          <w:tab w:val="left" w:pos="-3402"/>
        </w:tabs>
        <w:jc w:val="both"/>
        <w:rPr>
          <w:rFonts w:ascii="Rotis Sans Serif Std" w:hAnsi="Rotis Sans Serif Std" w:cs="RotisSansSerifStd-Regular"/>
          <w:color w:val="5E6061"/>
          <w:lang w:eastAsia="es-ES_tradnl"/>
        </w:rPr>
      </w:pPr>
      <w:r w:rsidRPr="008E33F4">
        <w:rPr>
          <w:rFonts w:ascii="Rotis Sans Serif Std" w:hAnsi="Rotis Sans Serif Std" w:cs="RotisSansSerifStd-Regular"/>
          <w:color w:val="5E6061"/>
          <w:lang w:eastAsia="es-ES_tradnl"/>
        </w:rPr>
        <w:t>Les parts signatàries de l’Acord Interprofessional de Catalunya vam determinar que la regulació de les qüestions relacionades amb el temps de treball ha de combinar la flexibilitat en la distribució del temps de treball amb una protecció adequada dels drets de les persones treballadores i una major estabilitat en l’ocupació. Pe tant, la negociació col·lectiva ha de regular l'organització flexible del temps de treball en relació amb les necessitats de l'activitat empresarial, especialment, en cicles de diferent intensitat de l'activitat i fluctuacions en la demanda.</w:t>
      </w:r>
    </w:p>
    <w:p w:rsidR="007C2A50" w:rsidRPr="008E33F4" w:rsidRDefault="007C2A50" w:rsidP="007C2A50">
      <w:pPr>
        <w:tabs>
          <w:tab w:val="left" w:pos="-3402"/>
        </w:tabs>
        <w:jc w:val="both"/>
        <w:rPr>
          <w:rFonts w:ascii="Rotis Sans Serif Std" w:hAnsi="Rotis Sans Serif Std" w:cs="RotisSansSerifStd-Regular"/>
          <w:color w:val="5E6061"/>
          <w:lang w:eastAsia="es-ES_tradnl"/>
        </w:rPr>
      </w:pPr>
    </w:p>
    <w:p w:rsidR="007C2A50" w:rsidRPr="0094793D" w:rsidRDefault="007C2A50" w:rsidP="007C2A50">
      <w:pPr>
        <w:tabs>
          <w:tab w:val="left" w:pos="-3402"/>
        </w:tabs>
        <w:jc w:val="both"/>
        <w:rPr>
          <w:rFonts w:ascii="Calibri" w:eastAsia="Calibri" w:hAnsi="Calibri" w:cs="Calibri"/>
        </w:rPr>
      </w:pPr>
      <w:r w:rsidRPr="008E33F4">
        <w:rPr>
          <w:rFonts w:ascii="Rotis Sans Serif Std" w:hAnsi="Rotis Sans Serif Std" w:cs="RotisSansSerifStd-Regular"/>
          <w:color w:val="5E6061"/>
          <w:lang w:eastAsia="es-ES_tradnl"/>
        </w:rPr>
        <w:t>Els convenis col·lectius han d'establir el còmput anual de la jornada i la seva distribució irregular a l'efecte de contribuir a racionalitzar la gestió del temps de treball, així com, la flexibilitat del temps de treball, millorant l'eficiència en l'activitat productiva i en la prestació de serveis, i incrementant la productivitat del treball.</w:t>
      </w:r>
    </w:p>
    <w:p w:rsidR="007C2A50" w:rsidRPr="00824804" w:rsidRDefault="007C2A50" w:rsidP="007C2A50">
      <w:pPr>
        <w:jc w:val="both"/>
        <w:rPr>
          <w:rFonts w:ascii="Rotis Sans Serif Std" w:hAnsi="Rotis Sans Serif Std" w:cs="RotisSansSerifStd-Regular"/>
          <w:color w:val="5E6061"/>
          <w:lang w:eastAsia="es-ES_tradnl"/>
        </w:rPr>
      </w:pPr>
    </w:p>
    <w:p w:rsidR="007C2A50" w:rsidRDefault="007C2A50" w:rsidP="007C2A50">
      <w:pPr>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Tanmateix,</w:t>
      </w:r>
      <w:r w:rsidRPr="00824804">
        <w:rPr>
          <w:rFonts w:ascii="Rotis Sans Serif Std" w:hAnsi="Rotis Sans Serif Std" w:cs="RotisSansSerifStd-Regular"/>
          <w:color w:val="5E6061"/>
          <w:lang w:eastAsia="es-ES_tradnl"/>
        </w:rPr>
        <w:t xml:space="preserve"> alhora d’aplicar les diferents mesures o instruments que haurien de ser tinguts en compte per la negociació col·lectiva, no pot obviar-se que cada sector i cada empresa, en funció de paràmetres com poden ser l’activitat sectorial, la seva dimensió, situació con</w:t>
      </w:r>
      <w:r w:rsidRPr="00824804">
        <w:rPr>
          <w:rFonts w:ascii="Rotis Sans Serif Std" w:hAnsi="Rotis Sans Serif Std" w:cs="RotisSansSerifStd-Regular"/>
          <w:color w:val="5E6061"/>
          <w:lang w:eastAsia="es-ES_tradnl"/>
        </w:rPr>
        <w:softHyphen/>
        <w:t>juntural, o la seva relació amb l’exterior, per exemple, són diferents, i per tant, han de han de tenir un tractament diferenciat i adaptat a la seva realitat. No es poden fer jornades o horaris de manera uniforme, sinó que té molt a veure amb la situació de cada sector i de cada empresa.</w:t>
      </w:r>
    </w:p>
    <w:p w:rsidR="00972EC4" w:rsidRDefault="00972EC4" w:rsidP="007C2A50">
      <w:pPr>
        <w:jc w:val="both"/>
        <w:rPr>
          <w:rFonts w:ascii="Rotis Sans Serif Std" w:hAnsi="Rotis Sans Serif Std" w:cs="RotisSansSerifStd-Regular"/>
          <w:color w:val="5E6061"/>
          <w:lang w:eastAsia="es-ES_tradnl"/>
        </w:rPr>
      </w:pPr>
    </w:p>
    <w:p w:rsidR="007C2A50" w:rsidRDefault="007C2A50" w:rsidP="007C2A50">
      <w:pPr>
        <w:autoSpaceDE w:val="0"/>
        <w:autoSpaceDN w:val="0"/>
        <w:adjustRightInd w:val="0"/>
        <w:jc w:val="both"/>
        <w:rPr>
          <w:rFonts w:ascii="Rotis Sans Serif Std" w:hAnsi="Rotis Sans Serif Std" w:cs="RotisSansSerifStd-Regular"/>
          <w:color w:val="5E6061"/>
          <w:lang w:eastAsia="es-ES_tradnl"/>
        </w:rPr>
      </w:pPr>
      <w:r w:rsidRPr="00824804">
        <w:rPr>
          <w:rFonts w:ascii="Rotis Sans Serif Std" w:hAnsi="Rotis Sans Serif Std" w:cs="RotisSansSerifStd-Regular"/>
          <w:color w:val="5E6061"/>
          <w:lang w:eastAsia="es-ES_tradnl"/>
        </w:rPr>
        <w:t>Quan es genera el debat relatiu a la distribució del temps de treball</w:t>
      </w:r>
      <w:r w:rsidR="00972EC4">
        <w:rPr>
          <w:rFonts w:ascii="Rotis Sans Serif Std" w:hAnsi="Rotis Sans Serif Std" w:cs="RotisSansSerifStd-Regular"/>
          <w:color w:val="5E6061"/>
          <w:lang w:eastAsia="es-ES_tradnl"/>
        </w:rPr>
        <w:t xml:space="preserve"> s’ha de valorar</w:t>
      </w:r>
      <w:r w:rsidRPr="00824804">
        <w:rPr>
          <w:rFonts w:ascii="Rotis Sans Serif Std" w:hAnsi="Rotis Sans Serif Std" w:cs="RotisSansSerifStd-Regular"/>
          <w:color w:val="5E6061"/>
          <w:lang w:eastAsia="es-ES_tradnl"/>
        </w:rPr>
        <w:t xml:space="preserve">, la relació entre hores de treball i productivitat. És evident que en la productivitat incideixen diversos factors: el grau d'incorporació de les noves tecnologies, les inversions </w:t>
      </w:r>
      <w:proofErr w:type="spellStart"/>
      <w:r w:rsidRPr="00824804">
        <w:rPr>
          <w:rFonts w:ascii="Rotis Sans Serif Std" w:hAnsi="Rotis Sans Serif Std" w:cs="RotisSansSerifStd-Regular"/>
          <w:color w:val="5E6061"/>
          <w:lang w:eastAsia="es-ES_tradnl"/>
        </w:rPr>
        <w:t>d'I+D+i</w:t>
      </w:r>
      <w:proofErr w:type="spellEnd"/>
      <w:r w:rsidRPr="00824804">
        <w:rPr>
          <w:rFonts w:ascii="Rotis Sans Serif Std" w:hAnsi="Rotis Sans Serif Std" w:cs="RotisSansSerifStd-Regular"/>
          <w:color w:val="5E6061"/>
          <w:lang w:eastAsia="es-ES_tradnl"/>
        </w:rPr>
        <w:t xml:space="preserve">, major intensitat tecnològica , la formació, l'acumulació de treball, la flexibilitat en les relacions de treball, etc. Ara bé, centrant-nos en la relació entre productivitat i horaris, malgrat que òbviament hi ha una relació entre ambdós conceptes, no és menys cert que la relació entre el nombre d'hores treballades i la productivitat no és una relació directa. </w:t>
      </w:r>
    </w:p>
    <w:p w:rsidR="007C2A50" w:rsidRPr="00824804" w:rsidRDefault="007C2A50" w:rsidP="007C2A50">
      <w:pPr>
        <w:autoSpaceDE w:val="0"/>
        <w:autoSpaceDN w:val="0"/>
        <w:adjustRightInd w:val="0"/>
        <w:jc w:val="both"/>
        <w:rPr>
          <w:rFonts w:ascii="Rotis Sans Serif Std" w:hAnsi="Rotis Sans Serif Std" w:cs="RotisSansSerifStd-Regular"/>
          <w:color w:val="5E6061"/>
          <w:lang w:eastAsia="es-ES_tradnl"/>
        </w:rPr>
      </w:pPr>
    </w:p>
    <w:p w:rsidR="007C2A50" w:rsidRDefault="007C2A50" w:rsidP="007C2A50">
      <w:pPr>
        <w:jc w:val="both"/>
        <w:rPr>
          <w:rFonts w:ascii="Rotis Sans Serif Std" w:hAnsi="Rotis Sans Serif Std" w:cs="RotisSansSerifStd-Regular"/>
          <w:color w:val="5E6061"/>
          <w:lang w:eastAsia="es-ES_tradnl"/>
        </w:rPr>
      </w:pPr>
      <w:r w:rsidRPr="00824804">
        <w:rPr>
          <w:rFonts w:ascii="Rotis Sans Serif Std" w:hAnsi="Rotis Sans Serif Std" w:cs="RotisSansSerifStd-Regular"/>
          <w:color w:val="5E6061"/>
          <w:lang w:eastAsia="es-ES_tradnl"/>
        </w:rPr>
        <w:t xml:space="preserve">S’ha de reconèixer que treballar moltes hores però amb una mala organització del treball, que suposi un gran nombre d'hores improductives, hores de mera presència, amb horaris irracionals, i que generen al seu torn, insatisfacció i desmotivació en el treballador,   dóna com a resultat una pèrdua notòria de la productivitat per hora treballada (per tant hem de fer front al </w:t>
      </w:r>
      <w:proofErr w:type="spellStart"/>
      <w:r w:rsidRPr="00824804">
        <w:rPr>
          <w:rFonts w:ascii="Rotis Sans Serif Std" w:hAnsi="Rotis Sans Serif Std" w:cs="RotisSansSerifStd-Regular"/>
          <w:color w:val="5E6061"/>
          <w:lang w:eastAsia="es-ES_tradnl"/>
        </w:rPr>
        <w:t>presencialisme</w:t>
      </w:r>
      <w:proofErr w:type="spellEnd"/>
      <w:r w:rsidRPr="00824804">
        <w:rPr>
          <w:rFonts w:ascii="Rotis Sans Serif Std" w:hAnsi="Rotis Sans Serif Std" w:cs="RotisSansSerifStd-Regular"/>
          <w:color w:val="5E6061"/>
          <w:lang w:eastAsia="es-ES_tradnl"/>
        </w:rPr>
        <w:t xml:space="preserve">). </w:t>
      </w:r>
      <w:r w:rsidR="00972EC4">
        <w:rPr>
          <w:rFonts w:ascii="Rotis Sans Serif Std" w:hAnsi="Rotis Sans Serif Std" w:cs="RotisSansSerifStd-Regular"/>
          <w:color w:val="5E6061"/>
          <w:lang w:eastAsia="es-ES_tradnl"/>
        </w:rPr>
        <w:t>Igualment</w:t>
      </w:r>
      <w:r w:rsidRPr="00824804">
        <w:rPr>
          <w:rFonts w:ascii="Rotis Sans Serif Std" w:hAnsi="Rotis Sans Serif Std" w:cs="RotisSansSerifStd-Regular"/>
          <w:color w:val="5E6061"/>
          <w:lang w:eastAsia="es-ES_tradnl"/>
        </w:rPr>
        <w:t>, és necessari realitzar una menció específica a l’absentisme laboral el qual és un dels principals problemes que tenen les nostres empreses i que afecten de forma més directa a la productivitat.</w:t>
      </w:r>
    </w:p>
    <w:p w:rsidR="007C2A50" w:rsidRDefault="007C2A50" w:rsidP="007C2A50">
      <w:pPr>
        <w:jc w:val="both"/>
        <w:rPr>
          <w:rFonts w:ascii="Rotis Sans Serif Std" w:hAnsi="Rotis Sans Serif Std" w:cs="RotisSansSerifStd-Regular"/>
          <w:color w:val="5E6061"/>
          <w:lang w:eastAsia="es-ES_tradnl"/>
        </w:rPr>
      </w:pPr>
    </w:p>
    <w:p w:rsidR="007C2A50" w:rsidRDefault="007C2A50" w:rsidP="007C2A50">
      <w:pPr>
        <w:autoSpaceDE w:val="0"/>
        <w:autoSpaceDN w:val="0"/>
        <w:adjustRightInd w:val="0"/>
        <w:jc w:val="both"/>
        <w:rPr>
          <w:rFonts w:ascii="Rotis Sans Serif Std" w:hAnsi="Rotis Sans Serif Std" w:cs="RotisSansSerifStd-Regular"/>
          <w:color w:val="5E6061"/>
          <w:lang w:eastAsia="es-ES_tradnl"/>
        </w:rPr>
      </w:pPr>
      <w:r w:rsidRPr="00824804">
        <w:rPr>
          <w:rFonts w:ascii="Rotis Sans Serif Std" w:hAnsi="Rotis Sans Serif Std" w:cs="RotisSansSerifStd-Regular"/>
          <w:color w:val="5E6061"/>
          <w:lang w:eastAsia="es-ES_tradnl"/>
        </w:rPr>
        <w:t xml:space="preserve">Des d'alguns àmbits es pretén vincular l'absentisme laboral amb el dèficit en la conciliació de la vida familiar i laboral. És a dir, es reconeix que una part gens menyspreable dels índexs d'absentisme laboral com a conseqüència de les baixes per IT corresponen a les denominades “baixes socials”. És a dir, baixes mèdiques que se sol·liciten per cobrir necessitats socials dels treballadors (com a cures de fills o majors dependents, acompanyament de familiars al metge, etc.). </w:t>
      </w:r>
    </w:p>
    <w:p w:rsidR="007C2A50" w:rsidRPr="00824804" w:rsidRDefault="007C2A50" w:rsidP="007C2A50">
      <w:pPr>
        <w:autoSpaceDE w:val="0"/>
        <w:autoSpaceDN w:val="0"/>
        <w:adjustRightInd w:val="0"/>
        <w:jc w:val="both"/>
        <w:rPr>
          <w:rFonts w:ascii="Rotis Sans Serif Std" w:hAnsi="Rotis Sans Serif Std" w:cs="RotisSansSerifStd-Regular"/>
          <w:color w:val="5E6061"/>
          <w:lang w:eastAsia="es-ES_tradnl"/>
        </w:rPr>
      </w:pPr>
    </w:p>
    <w:p w:rsidR="007C2A50" w:rsidRDefault="007C2A50" w:rsidP="007C2A50">
      <w:pPr>
        <w:autoSpaceDE w:val="0"/>
        <w:autoSpaceDN w:val="0"/>
        <w:adjustRightInd w:val="0"/>
        <w:jc w:val="both"/>
        <w:rPr>
          <w:rFonts w:ascii="Rotis Sans Serif Std" w:hAnsi="Rotis Sans Serif Std" w:cs="RotisSansSerifStd-Regular"/>
          <w:color w:val="5E6061"/>
          <w:lang w:eastAsia="es-ES_tradnl"/>
        </w:rPr>
      </w:pPr>
      <w:r w:rsidRPr="00824804">
        <w:rPr>
          <w:rFonts w:ascii="Rotis Sans Serif Std" w:hAnsi="Rotis Sans Serif Std" w:cs="RotisSansSerifStd-Regular"/>
          <w:color w:val="5E6061"/>
          <w:lang w:eastAsia="es-ES_tradnl"/>
        </w:rPr>
        <w:t xml:space="preserve">Òbviament, és inacceptable que es realitzi aquesta vinculació, ara bé malgrat que és inadmissible el frau de la concessió de baixes mèdiques en els supòsits denominats com “baixes socials”, sí que ha de servir la situació exposada per valorar l'existència d'un problema com a conseqüència de que, probablement, determinades necessitats de caràcter social i de conciliació de la vida familiar i laboral no estan resoltes satisfactòriament i es busquen vies de fuga inadequades i nocives per a la competitivitat de les empreses i dels pressupostos públics. </w:t>
      </w:r>
    </w:p>
    <w:p w:rsidR="00DF7DF3" w:rsidRDefault="00DF7DF3" w:rsidP="00DF7DF3">
      <w:pPr>
        <w:rPr>
          <w:rFonts w:ascii="Rotis Sans Serif Std" w:eastAsiaTheme="minorHAnsi" w:hAnsi="Rotis Sans Serif Std" w:cstheme="minorBidi"/>
          <w:b/>
          <w:color w:val="C1002B"/>
        </w:rPr>
      </w:pPr>
    </w:p>
    <w:p w:rsidR="00DF7DF3" w:rsidRPr="00EC60D6" w:rsidRDefault="00DF7DF3" w:rsidP="00DF7DF3">
      <w:pPr>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Le</w:t>
      </w:r>
      <w:r w:rsidRPr="00EC60D6">
        <w:rPr>
          <w:rFonts w:ascii="Rotis Sans Serif Std" w:hAnsi="Rotis Sans Serif Std" w:cs="RotisSansSerifStd-Regular"/>
          <w:color w:val="5E6061"/>
          <w:lang w:eastAsia="es-ES_tradnl"/>
        </w:rPr>
        <w:t>s estadístiques oficials no proporcionen dades que mesurin de forma directe l’absentisme laboral. No obstant</w:t>
      </w:r>
      <w:r>
        <w:rPr>
          <w:rFonts w:ascii="Rotis Sans Serif Std" w:hAnsi="Rotis Sans Serif Std" w:cs="RotisSansSerifStd-Regular"/>
          <w:color w:val="5E6061"/>
          <w:lang w:eastAsia="es-ES_tradnl"/>
        </w:rPr>
        <w:t xml:space="preserve"> això</w:t>
      </w:r>
      <w:r w:rsidRPr="00EC60D6">
        <w:rPr>
          <w:rFonts w:ascii="Rotis Sans Serif Std" w:hAnsi="Rotis Sans Serif Std" w:cs="RotisSansSerifStd-Regular"/>
          <w:color w:val="5E6061"/>
          <w:lang w:eastAsia="es-ES_tradnl"/>
        </w:rPr>
        <w:t xml:space="preserve">, a partir de les dades de l’Enquesta Trimestral de Costos Laborals (en endavant, ETCL), poden estimar-se les taxes d’absentisme. </w:t>
      </w:r>
    </w:p>
    <w:p w:rsidR="00DF7DF3" w:rsidRPr="00EC60D6" w:rsidRDefault="00DF7DF3" w:rsidP="00DF7DF3">
      <w:pPr>
        <w:jc w:val="both"/>
        <w:rPr>
          <w:rFonts w:ascii="Rotis Sans Serif Std" w:hAnsi="Rotis Sans Serif Std" w:cs="RotisSansSerifStd-Regular"/>
          <w:color w:val="5E6061"/>
          <w:lang w:eastAsia="es-ES_tradnl"/>
        </w:rPr>
      </w:pPr>
    </w:p>
    <w:p w:rsidR="00DF7DF3" w:rsidRPr="00EC60D6" w:rsidRDefault="00DF7DF3" w:rsidP="00DF7DF3">
      <w:pPr>
        <w:jc w:val="both"/>
        <w:rPr>
          <w:rFonts w:ascii="Rotis Sans Serif Std" w:hAnsi="Rotis Sans Serif Std" w:cs="RotisSansSerifStd-Regular"/>
          <w:color w:val="5E6061"/>
          <w:lang w:eastAsia="es-ES_tradnl"/>
        </w:rPr>
      </w:pPr>
      <w:r w:rsidRPr="00EC60D6">
        <w:rPr>
          <w:rFonts w:ascii="Rotis Sans Serif Std" w:hAnsi="Rotis Sans Serif Std" w:cs="RotisSansSerifStd-Regular"/>
          <w:color w:val="5E6061"/>
          <w:lang w:eastAsia="es-ES_tradnl"/>
        </w:rPr>
        <w:t>La taxa d’</w:t>
      </w:r>
      <w:r>
        <w:rPr>
          <w:rFonts w:ascii="Rotis Sans Serif Std" w:hAnsi="Rotis Sans Serif Std" w:cs="RotisSansSerifStd-Regular"/>
          <w:color w:val="5E6061"/>
          <w:lang w:eastAsia="es-ES_tradnl"/>
        </w:rPr>
        <w:t>absentisme es defineix com el pe</w:t>
      </w:r>
      <w:r w:rsidRPr="00EC60D6">
        <w:rPr>
          <w:rFonts w:ascii="Rotis Sans Serif Std" w:hAnsi="Rotis Sans Serif Std" w:cs="RotisSansSerifStd-Regular"/>
          <w:color w:val="5E6061"/>
          <w:lang w:eastAsia="es-ES_tradnl"/>
        </w:rPr>
        <w:t>rcentatge d’hores no treballades (no inclou vacances, festius</w:t>
      </w:r>
      <w:r>
        <w:rPr>
          <w:rFonts w:ascii="Rotis Sans Serif Std" w:hAnsi="Rotis Sans Serif Std" w:cs="RotisSansSerifStd-Regular"/>
          <w:color w:val="5E6061"/>
          <w:lang w:eastAsia="es-ES_tradnl"/>
        </w:rPr>
        <w:t>,</w:t>
      </w:r>
      <w:r w:rsidRPr="00EC60D6">
        <w:rPr>
          <w:rFonts w:ascii="Rotis Sans Serif Std" w:hAnsi="Rotis Sans Serif Std" w:cs="RotisSansSerifStd-Regular"/>
          <w:color w:val="5E6061"/>
          <w:lang w:eastAsia="es-ES_tradnl"/>
        </w:rPr>
        <w:t xml:space="preserve"> ni les hores perdudes derivades d’un Expedient de Regulació Temporal) respecte a la jornada pactada efectiva. </w:t>
      </w:r>
    </w:p>
    <w:p w:rsidR="00DF7DF3" w:rsidRPr="00EC60D6" w:rsidRDefault="00DF7DF3" w:rsidP="00DF7DF3">
      <w:pPr>
        <w:jc w:val="both"/>
        <w:rPr>
          <w:rFonts w:ascii="Rotis Sans Serif Std" w:hAnsi="Rotis Sans Serif Std" w:cs="RotisSansSerifStd-Regular"/>
          <w:color w:val="5E6061"/>
          <w:lang w:eastAsia="es-ES_tradnl"/>
        </w:rPr>
      </w:pPr>
    </w:p>
    <w:p w:rsidR="00DF7DF3" w:rsidRPr="00EC60D6" w:rsidRDefault="00DF7DF3" w:rsidP="00DF7DF3">
      <w:pPr>
        <w:jc w:val="both"/>
        <w:rPr>
          <w:rFonts w:ascii="Rotis Sans Serif Std" w:hAnsi="Rotis Sans Serif Std" w:cs="RotisSansSerifStd-Regular"/>
          <w:color w:val="5E6061"/>
          <w:lang w:eastAsia="es-ES_tradnl"/>
        </w:rPr>
      </w:pPr>
      <w:r w:rsidRPr="00EC60D6">
        <w:rPr>
          <w:rFonts w:ascii="Rotis Sans Serif Std" w:hAnsi="Rotis Sans Serif Std" w:cs="RotisSansSerifStd-Regular"/>
          <w:color w:val="5E6061"/>
          <w:lang w:eastAsia="es-ES_tradnl"/>
        </w:rPr>
        <w:t xml:space="preserve">La taxa d'absentisme estimada a partir de les dades de la ETCL augmenta entre els anys 2000 i 2007, per estabilitzar-se i reduir-se lleugerament entre 2008 i 2011, produint-se una baixada més profunda en 2012 i 2013. </w:t>
      </w:r>
      <w:r>
        <w:rPr>
          <w:rFonts w:ascii="Rotis Sans Serif Std" w:hAnsi="Rotis Sans Serif Std" w:cs="RotisSansSerifStd-Regular"/>
          <w:color w:val="5E6061"/>
          <w:lang w:eastAsia="es-ES_tradnl"/>
        </w:rPr>
        <w:t>E</w:t>
      </w:r>
      <w:r w:rsidRPr="00EC60D6">
        <w:rPr>
          <w:rFonts w:ascii="Rotis Sans Serif Std" w:hAnsi="Rotis Sans Serif Std" w:cs="RotisSansSerifStd-Regular"/>
          <w:color w:val="5E6061"/>
          <w:lang w:eastAsia="es-ES_tradnl"/>
        </w:rPr>
        <w:t>n 2014, es va produir un repunt, pujant al 4,4%</w:t>
      </w:r>
      <w:r>
        <w:rPr>
          <w:rFonts w:ascii="Rotis Sans Serif Std" w:hAnsi="Rotis Sans Serif Std" w:cs="RotisSansSerifStd-Regular"/>
          <w:color w:val="5E6061"/>
          <w:lang w:eastAsia="es-ES_tradnl"/>
        </w:rPr>
        <w:t xml:space="preserve"> que va continuar augmentant fins al 5% al 2017</w:t>
      </w:r>
      <w:r w:rsidRPr="00EC60D6">
        <w:rPr>
          <w:rFonts w:ascii="Rotis Sans Serif Std" w:hAnsi="Rotis Sans Serif Std" w:cs="RotisSansSerifStd-Regular"/>
          <w:color w:val="5E6061"/>
          <w:lang w:eastAsia="es-ES_tradnl"/>
        </w:rPr>
        <w:t xml:space="preserve">. L'any 2014, per tant, ha marcat el final d'una tendència de reducció d'absentisme que havia durat 6 anys, des de 2008 fins a 2013. </w:t>
      </w:r>
    </w:p>
    <w:p w:rsidR="00DF7DF3" w:rsidRPr="00EC60D6" w:rsidRDefault="00DF7DF3" w:rsidP="00DF7DF3">
      <w:pPr>
        <w:jc w:val="both"/>
        <w:rPr>
          <w:rFonts w:ascii="Rotis Sans Serif Std" w:hAnsi="Rotis Sans Serif Std" w:cs="RotisSansSerifStd-Regular"/>
          <w:color w:val="5E6061"/>
          <w:lang w:eastAsia="es-ES_tradnl"/>
        </w:rPr>
      </w:pPr>
    </w:p>
    <w:p w:rsidR="00DF7DF3" w:rsidRPr="00EC60D6" w:rsidRDefault="00DF7DF3" w:rsidP="00DF7DF3">
      <w:pPr>
        <w:jc w:val="both"/>
        <w:rPr>
          <w:rFonts w:ascii="Rotis Sans Serif Std" w:hAnsi="Rotis Sans Serif Std" w:cs="RotisSansSerifStd-Regular"/>
          <w:color w:val="5E6061"/>
          <w:lang w:eastAsia="es-ES_tradnl"/>
        </w:rPr>
      </w:pPr>
      <w:r w:rsidRPr="00EC60D6">
        <w:rPr>
          <w:rFonts w:ascii="Rotis Sans Serif Std" w:hAnsi="Rotis Sans Serif Std" w:cs="RotisSansSerifStd-Regular"/>
          <w:color w:val="5E6061"/>
          <w:lang w:eastAsia="es-ES_tradnl"/>
        </w:rPr>
        <w:t>El factor determinant de la taxa d'absentisme resulta ser el nombre d'hores no treballades per I</w:t>
      </w:r>
      <w:r>
        <w:rPr>
          <w:rFonts w:ascii="Rotis Sans Serif Std" w:hAnsi="Rotis Sans Serif Std" w:cs="RotisSansSerifStd-Regular"/>
          <w:color w:val="5E6061"/>
          <w:lang w:eastAsia="es-ES_tradnl"/>
        </w:rPr>
        <w:t xml:space="preserve">ncapacitat </w:t>
      </w:r>
      <w:r w:rsidRPr="00EC60D6">
        <w:rPr>
          <w:rFonts w:ascii="Rotis Sans Serif Std" w:hAnsi="Rotis Sans Serif Std" w:cs="RotisSansSerifStd-Regular"/>
          <w:color w:val="5E6061"/>
          <w:lang w:eastAsia="es-ES_tradnl"/>
        </w:rPr>
        <w:t>T</w:t>
      </w:r>
      <w:r>
        <w:rPr>
          <w:rFonts w:ascii="Rotis Sans Serif Std" w:hAnsi="Rotis Sans Serif Std" w:cs="RotisSansSerifStd-Regular"/>
          <w:color w:val="5E6061"/>
          <w:lang w:eastAsia="es-ES_tradnl"/>
        </w:rPr>
        <w:t>emporal (en endavant IT)</w:t>
      </w:r>
      <w:r w:rsidRPr="00EC60D6">
        <w:rPr>
          <w:rFonts w:ascii="Rotis Sans Serif Std" w:hAnsi="Rotis Sans Serif Std" w:cs="RotisSansSerifStd-Regular"/>
          <w:color w:val="5E6061"/>
          <w:lang w:eastAsia="es-ES_tradnl"/>
        </w:rPr>
        <w:t>. A més, s</w:t>
      </w:r>
      <w:r>
        <w:rPr>
          <w:rFonts w:ascii="Rotis Sans Serif Std" w:hAnsi="Rotis Sans Serif Std" w:cs="RotisSansSerifStd-Regular"/>
          <w:color w:val="5E6061"/>
          <w:lang w:eastAsia="es-ES_tradnl"/>
        </w:rPr>
        <w:t>'observa en el període 2007-2017</w:t>
      </w:r>
      <w:r w:rsidRPr="00EC60D6">
        <w:rPr>
          <w:rFonts w:ascii="Rotis Sans Serif Std" w:hAnsi="Rotis Sans Serif Std" w:cs="RotisSansSerifStd-Regular"/>
          <w:color w:val="5E6061"/>
          <w:lang w:eastAsia="es-ES_tradnl"/>
        </w:rPr>
        <w:t>, una reducció gradual del nombre d'hores pactades per treballador i any. Com</w:t>
      </w:r>
      <w:r>
        <w:rPr>
          <w:rFonts w:ascii="Rotis Sans Serif Std" w:hAnsi="Rotis Sans Serif Std" w:cs="RotisSansSerifStd-Regular"/>
          <w:color w:val="5E6061"/>
          <w:lang w:eastAsia="es-ES_tradnl"/>
        </w:rPr>
        <w:t xml:space="preserve"> es pot observar en el següent q</w:t>
      </w:r>
      <w:r w:rsidRPr="00EC60D6">
        <w:rPr>
          <w:rFonts w:ascii="Rotis Sans Serif Std" w:hAnsi="Rotis Sans Serif Std" w:cs="RotisSansSerifStd-Regular"/>
          <w:color w:val="5E6061"/>
          <w:lang w:eastAsia="es-ES_tradnl"/>
        </w:rPr>
        <w:t xml:space="preserve">uadre resum: </w:t>
      </w:r>
    </w:p>
    <w:p w:rsidR="00DF7DF3" w:rsidRPr="00EC60D6" w:rsidRDefault="00DF7DF3" w:rsidP="00DF7DF3">
      <w:pPr>
        <w:jc w:val="both"/>
        <w:rPr>
          <w:rFonts w:ascii="Rotis Sans Serif Std" w:hAnsi="Rotis Sans Serif Std" w:cs="RotisSansSerifStd-Regular"/>
          <w:color w:val="5E6061"/>
          <w:lang w:eastAsia="es-ES_tradnl"/>
        </w:rPr>
      </w:pPr>
    </w:p>
    <w:tbl>
      <w:tblPr>
        <w:tblStyle w:val="Cuadrculamedia3-nfasis2"/>
        <w:tblW w:w="9965" w:type="dxa"/>
        <w:jc w:val="center"/>
        <w:tblInd w:w="904" w:type="dxa"/>
        <w:tblLook w:val="04A0" w:firstRow="1" w:lastRow="0" w:firstColumn="1" w:lastColumn="0" w:noHBand="0" w:noVBand="1"/>
      </w:tblPr>
      <w:tblGrid>
        <w:gridCol w:w="1443"/>
        <w:gridCol w:w="740"/>
        <w:gridCol w:w="740"/>
        <w:gridCol w:w="740"/>
        <w:gridCol w:w="807"/>
        <w:gridCol w:w="807"/>
        <w:gridCol w:w="807"/>
        <w:gridCol w:w="807"/>
        <w:gridCol w:w="807"/>
        <w:gridCol w:w="740"/>
        <w:gridCol w:w="740"/>
        <w:gridCol w:w="787"/>
      </w:tblGrid>
      <w:tr w:rsidR="00DF7DF3" w:rsidRPr="00EC60D6" w:rsidTr="00DF7DF3">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9965" w:type="dxa"/>
            <w:gridSpan w:val="12"/>
            <w:tcBorders>
              <w:bottom w:val="nil"/>
            </w:tcBorders>
            <w:noWrap/>
            <w:hideMark/>
          </w:tcPr>
          <w:p w:rsidR="00DF7DF3" w:rsidRDefault="00DF7DF3" w:rsidP="00767D0B">
            <w:pPr>
              <w:jc w:val="center"/>
              <w:rPr>
                <w:rFonts w:ascii="Rotis Sans Serif Std" w:hAnsi="Rotis Sans Serif Std"/>
                <w:sz w:val="22"/>
                <w:szCs w:val="22"/>
                <w:lang w:eastAsia="es-ES"/>
              </w:rPr>
            </w:pPr>
            <w:r>
              <w:rPr>
                <w:rFonts w:ascii="Rotis Sans Serif Std" w:hAnsi="Rotis Sans Serif Std"/>
                <w:sz w:val="22"/>
                <w:szCs w:val="22"/>
                <w:lang w:eastAsia="es-ES"/>
              </w:rPr>
              <w:t>JORNADA LABORAL (ETCL): HORES PACTADES, HORE</w:t>
            </w:r>
            <w:r w:rsidRPr="00EC60D6">
              <w:rPr>
                <w:rFonts w:ascii="Rotis Sans Serif Std" w:hAnsi="Rotis Sans Serif Std"/>
                <w:sz w:val="22"/>
                <w:szCs w:val="22"/>
                <w:lang w:eastAsia="es-ES"/>
              </w:rPr>
              <w:t>S PAG</w:t>
            </w:r>
            <w:r>
              <w:rPr>
                <w:rFonts w:ascii="Rotis Sans Serif Std" w:hAnsi="Rotis Sans Serif Std"/>
                <w:sz w:val="22"/>
                <w:szCs w:val="22"/>
                <w:lang w:eastAsia="es-ES"/>
              </w:rPr>
              <w:t>ADES, HORES EFECTIVES I NO TRE</w:t>
            </w:r>
            <w:r w:rsidRPr="00EC60D6">
              <w:rPr>
                <w:rFonts w:ascii="Rotis Sans Serif Std" w:hAnsi="Rotis Sans Serif Std"/>
                <w:sz w:val="22"/>
                <w:szCs w:val="22"/>
                <w:lang w:eastAsia="es-ES"/>
              </w:rPr>
              <w:t>BA</w:t>
            </w:r>
            <w:r>
              <w:rPr>
                <w:rFonts w:ascii="Rotis Sans Serif Std" w:hAnsi="Rotis Sans Serif Std"/>
                <w:sz w:val="22"/>
                <w:szCs w:val="22"/>
                <w:lang w:eastAsia="es-ES"/>
              </w:rPr>
              <w:t>LLADES</w:t>
            </w:r>
            <w:r w:rsidRPr="00EC60D6">
              <w:rPr>
                <w:rFonts w:ascii="Rotis Sans Serif Std" w:hAnsi="Rotis Sans Serif Std"/>
                <w:sz w:val="22"/>
                <w:szCs w:val="22"/>
                <w:lang w:eastAsia="es-ES"/>
              </w:rPr>
              <w:t xml:space="preserve"> </w:t>
            </w:r>
          </w:p>
        </w:tc>
      </w:tr>
      <w:tr w:rsidR="00DF7DF3" w:rsidRPr="00DF7DF3" w:rsidTr="00DF7D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3" w:type="dxa"/>
            <w:tcBorders>
              <w:top w:val="nil"/>
            </w:tcBorders>
            <w:noWrap/>
            <w:hideMark/>
          </w:tcPr>
          <w:p w:rsidR="00DF7DF3" w:rsidRPr="00EC60D6" w:rsidRDefault="00DF7DF3" w:rsidP="00767D0B">
            <w:pPr>
              <w:rPr>
                <w:rFonts w:ascii="Rotis Sans Serif Std" w:hAnsi="Rotis Sans Serif Std"/>
                <w:color w:val="000000"/>
                <w:sz w:val="22"/>
                <w:szCs w:val="22"/>
                <w:lang w:eastAsia="es-ES"/>
              </w:rPr>
            </w:pPr>
          </w:p>
        </w:tc>
        <w:tc>
          <w:tcPr>
            <w:tcW w:w="740" w:type="dxa"/>
            <w:noWrap/>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2007</w:t>
            </w:r>
          </w:p>
        </w:tc>
        <w:tc>
          <w:tcPr>
            <w:tcW w:w="740" w:type="dxa"/>
            <w:noWrap/>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2008</w:t>
            </w:r>
          </w:p>
        </w:tc>
        <w:tc>
          <w:tcPr>
            <w:tcW w:w="740" w:type="dxa"/>
            <w:noWrap/>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2009</w:t>
            </w:r>
          </w:p>
        </w:tc>
        <w:tc>
          <w:tcPr>
            <w:tcW w:w="807" w:type="dxa"/>
            <w:noWrap/>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2010</w:t>
            </w:r>
          </w:p>
        </w:tc>
        <w:tc>
          <w:tcPr>
            <w:tcW w:w="807" w:type="dxa"/>
            <w:noWrap/>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2011</w:t>
            </w:r>
          </w:p>
        </w:tc>
        <w:tc>
          <w:tcPr>
            <w:tcW w:w="807" w:type="dxa"/>
            <w:noWrap/>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2012</w:t>
            </w:r>
          </w:p>
        </w:tc>
        <w:tc>
          <w:tcPr>
            <w:tcW w:w="807" w:type="dxa"/>
            <w:noWrap/>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2013</w:t>
            </w:r>
          </w:p>
        </w:tc>
        <w:tc>
          <w:tcPr>
            <w:tcW w:w="807" w:type="dxa"/>
            <w:noWrap/>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2014</w:t>
            </w:r>
          </w:p>
        </w:tc>
        <w:tc>
          <w:tcPr>
            <w:tcW w:w="740" w:type="dxa"/>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2015</w:t>
            </w:r>
          </w:p>
        </w:tc>
        <w:tc>
          <w:tcPr>
            <w:tcW w:w="740" w:type="dxa"/>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2016</w:t>
            </w:r>
          </w:p>
        </w:tc>
        <w:tc>
          <w:tcPr>
            <w:tcW w:w="787" w:type="dxa"/>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2017</w:t>
            </w:r>
          </w:p>
        </w:tc>
      </w:tr>
      <w:tr w:rsidR="00DF7DF3" w:rsidRPr="00DF7DF3" w:rsidTr="00DF7DF3">
        <w:trPr>
          <w:trHeight w:val="300"/>
          <w:jc w:val="center"/>
        </w:trPr>
        <w:tc>
          <w:tcPr>
            <w:cnfStyle w:val="001000000000" w:firstRow="0" w:lastRow="0" w:firstColumn="1" w:lastColumn="0" w:oddVBand="0" w:evenVBand="0" w:oddHBand="0" w:evenHBand="0" w:firstRowFirstColumn="0" w:firstRowLastColumn="0" w:lastRowFirstColumn="0" w:lastRowLastColumn="0"/>
            <w:tcW w:w="1443" w:type="dxa"/>
            <w:noWrap/>
            <w:hideMark/>
          </w:tcPr>
          <w:p w:rsidR="00DF7DF3" w:rsidRPr="00DF7DF3" w:rsidRDefault="00DF7DF3" w:rsidP="00767D0B">
            <w:pPr>
              <w:rPr>
                <w:rFonts w:ascii="Rotis Sans Serif Std" w:hAnsi="Rotis Sans Serif Std"/>
                <w:b w:val="0"/>
                <w:sz w:val="20"/>
                <w:szCs w:val="22"/>
                <w:lang w:eastAsia="es-ES"/>
              </w:rPr>
            </w:pPr>
            <w:r w:rsidRPr="00DF7DF3">
              <w:rPr>
                <w:rFonts w:ascii="Rotis Sans Serif Std" w:hAnsi="Rotis Sans Serif Std"/>
                <w:b w:val="0"/>
                <w:sz w:val="20"/>
                <w:szCs w:val="22"/>
                <w:lang w:eastAsia="es-ES"/>
              </w:rPr>
              <w:t>Hores pactades</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1.882</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1.873</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1.856</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1.838</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1.825</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1.814</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1.805</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1.795</w:t>
            </w:r>
          </w:p>
        </w:tc>
        <w:tc>
          <w:tcPr>
            <w:tcW w:w="740"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1.797</w:t>
            </w:r>
          </w:p>
        </w:tc>
        <w:tc>
          <w:tcPr>
            <w:tcW w:w="740"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1.793</w:t>
            </w:r>
          </w:p>
        </w:tc>
        <w:tc>
          <w:tcPr>
            <w:tcW w:w="787"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1.795</w:t>
            </w:r>
          </w:p>
        </w:tc>
      </w:tr>
      <w:tr w:rsidR="00DF7DF3" w:rsidRPr="00DF7DF3" w:rsidTr="00DF7D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3" w:type="dxa"/>
            <w:noWrap/>
            <w:hideMark/>
          </w:tcPr>
          <w:p w:rsidR="00DF7DF3" w:rsidRPr="00DF7DF3" w:rsidRDefault="00DF7DF3" w:rsidP="00767D0B">
            <w:pPr>
              <w:rPr>
                <w:rFonts w:ascii="Rotis Sans Serif Std" w:hAnsi="Rotis Sans Serif Std"/>
                <w:b w:val="0"/>
                <w:sz w:val="20"/>
                <w:szCs w:val="22"/>
                <w:lang w:eastAsia="es-ES"/>
              </w:rPr>
            </w:pPr>
            <w:r w:rsidRPr="00DF7DF3">
              <w:rPr>
                <w:rFonts w:ascii="Rotis Sans Serif Std" w:hAnsi="Rotis Sans Serif Std"/>
                <w:b w:val="0"/>
                <w:sz w:val="20"/>
                <w:szCs w:val="22"/>
                <w:lang w:eastAsia="es-ES"/>
              </w:rPr>
              <w:t>Hores pagades</w:t>
            </w:r>
          </w:p>
        </w:tc>
        <w:tc>
          <w:tcPr>
            <w:tcW w:w="740"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1.889</w:t>
            </w:r>
          </w:p>
        </w:tc>
        <w:tc>
          <w:tcPr>
            <w:tcW w:w="740"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1.880</w:t>
            </w:r>
          </w:p>
        </w:tc>
        <w:tc>
          <w:tcPr>
            <w:tcW w:w="740"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1.861</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1.843</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1.830</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1.816</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1.808</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1.799</w:t>
            </w:r>
          </w:p>
        </w:tc>
        <w:tc>
          <w:tcPr>
            <w:tcW w:w="740" w:type="dxa"/>
            <w:vAlign w:val="bottom"/>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1.801</w:t>
            </w:r>
          </w:p>
        </w:tc>
        <w:tc>
          <w:tcPr>
            <w:tcW w:w="740" w:type="dxa"/>
            <w:vAlign w:val="bottom"/>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1.797</w:t>
            </w:r>
          </w:p>
        </w:tc>
        <w:tc>
          <w:tcPr>
            <w:tcW w:w="787" w:type="dxa"/>
            <w:vAlign w:val="bottom"/>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1.800</w:t>
            </w:r>
          </w:p>
        </w:tc>
      </w:tr>
      <w:tr w:rsidR="00DF7DF3" w:rsidRPr="00DF7DF3" w:rsidTr="00DF7DF3">
        <w:trPr>
          <w:trHeight w:val="300"/>
          <w:jc w:val="center"/>
        </w:trPr>
        <w:tc>
          <w:tcPr>
            <w:cnfStyle w:val="001000000000" w:firstRow="0" w:lastRow="0" w:firstColumn="1" w:lastColumn="0" w:oddVBand="0" w:evenVBand="0" w:oddHBand="0" w:evenHBand="0" w:firstRowFirstColumn="0" w:firstRowLastColumn="0" w:lastRowFirstColumn="0" w:lastRowLastColumn="0"/>
            <w:tcW w:w="1443" w:type="dxa"/>
            <w:noWrap/>
            <w:hideMark/>
          </w:tcPr>
          <w:p w:rsidR="00DF7DF3" w:rsidRPr="00DF7DF3" w:rsidRDefault="00DF7DF3" w:rsidP="00767D0B">
            <w:pPr>
              <w:rPr>
                <w:rFonts w:ascii="Rotis Sans Serif Std" w:hAnsi="Rotis Sans Serif Std"/>
                <w:b w:val="0"/>
                <w:sz w:val="20"/>
                <w:szCs w:val="22"/>
                <w:lang w:eastAsia="es-ES"/>
              </w:rPr>
            </w:pPr>
            <w:r w:rsidRPr="00DF7DF3">
              <w:rPr>
                <w:rFonts w:ascii="Rotis Sans Serif Std" w:hAnsi="Rotis Sans Serif Std"/>
                <w:b w:val="0"/>
                <w:sz w:val="20"/>
                <w:szCs w:val="22"/>
                <w:lang w:eastAsia="es-ES"/>
              </w:rPr>
              <w:t>Hores efectives</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1.621</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1.623</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1.590</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1.586</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1.571</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1.562</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1.557</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1.550</w:t>
            </w:r>
          </w:p>
        </w:tc>
        <w:tc>
          <w:tcPr>
            <w:tcW w:w="740"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1.550</w:t>
            </w:r>
          </w:p>
        </w:tc>
        <w:tc>
          <w:tcPr>
            <w:tcW w:w="740"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1.545</w:t>
            </w:r>
          </w:p>
        </w:tc>
        <w:tc>
          <w:tcPr>
            <w:tcW w:w="787"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1.547</w:t>
            </w:r>
          </w:p>
        </w:tc>
      </w:tr>
      <w:tr w:rsidR="00DF7DF3" w:rsidRPr="00DF7DF3" w:rsidTr="00DF7DF3">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443" w:type="dxa"/>
            <w:hideMark/>
          </w:tcPr>
          <w:p w:rsidR="00DF7DF3" w:rsidRPr="00DF7DF3" w:rsidRDefault="00DF7DF3" w:rsidP="00767D0B">
            <w:pPr>
              <w:rPr>
                <w:rFonts w:ascii="Rotis Sans Serif Std" w:hAnsi="Rotis Sans Serif Std"/>
                <w:b w:val="0"/>
                <w:sz w:val="20"/>
                <w:szCs w:val="22"/>
                <w:lang w:eastAsia="es-ES"/>
              </w:rPr>
            </w:pPr>
            <w:r w:rsidRPr="00DF7DF3">
              <w:rPr>
                <w:rFonts w:ascii="Rotis Sans Serif Std" w:hAnsi="Rotis Sans Serif Std"/>
                <w:b w:val="0"/>
                <w:sz w:val="20"/>
                <w:szCs w:val="22"/>
                <w:lang w:eastAsia="es-ES"/>
              </w:rPr>
              <w:t xml:space="preserve">Hores no treballades i pagades </w:t>
            </w:r>
          </w:p>
        </w:tc>
        <w:tc>
          <w:tcPr>
            <w:tcW w:w="740"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269</w:t>
            </w:r>
          </w:p>
        </w:tc>
        <w:tc>
          <w:tcPr>
            <w:tcW w:w="740"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259</w:t>
            </w:r>
          </w:p>
        </w:tc>
        <w:tc>
          <w:tcPr>
            <w:tcW w:w="740"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271</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257</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259</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255</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252</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249</w:t>
            </w:r>
          </w:p>
        </w:tc>
        <w:tc>
          <w:tcPr>
            <w:tcW w:w="740" w:type="dxa"/>
            <w:vAlign w:val="bottom"/>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252</w:t>
            </w:r>
          </w:p>
        </w:tc>
        <w:tc>
          <w:tcPr>
            <w:tcW w:w="740" w:type="dxa"/>
            <w:vAlign w:val="bottom"/>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253</w:t>
            </w:r>
          </w:p>
        </w:tc>
        <w:tc>
          <w:tcPr>
            <w:tcW w:w="787" w:type="dxa"/>
            <w:vAlign w:val="bottom"/>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253</w:t>
            </w:r>
          </w:p>
        </w:tc>
      </w:tr>
      <w:tr w:rsidR="00DF7DF3" w:rsidRPr="00DF7DF3" w:rsidTr="00DF7DF3">
        <w:trPr>
          <w:trHeight w:val="300"/>
          <w:jc w:val="center"/>
        </w:trPr>
        <w:tc>
          <w:tcPr>
            <w:cnfStyle w:val="001000000000" w:firstRow="0" w:lastRow="0" w:firstColumn="1" w:lastColumn="0" w:oddVBand="0" w:evenVBand="0" w:oddHBand="0" w:evenHBand="0" w:firstRowFirstColumn="0" w:firstRowLastColumn="0" w:lastRowFirstColumn="0" w:lastRowLastColumn="0"/>
            <w:tcW w:w="1443" w:type="dxa"/>
            <w:noWrap/>
            <w:hideMark/>
          </w:tcPr>
          <w:p w:rsidR="00DF7DF3" w:rsidRPr="00DF7DF3" w:rsidRDefault="00DF7DF3" w:rsidP="00767D0B">
            <w:pPr>
              <w:rPr>
                <w:rFonts w:ascii="Rotis Sans Serif Std" w:hAnsi="Rotis Sans Serif Std"/>
                <w:b w:val="0"/>
                <w:sz w:val="20"/>
                <w:szCs w:val="22"/>
                <w:lang w:eastAsia="es-ES"/>
              </w:rPr>
            </w:pPr>
            <w:r w:rsidRPr="00DF7DF3">
              <w:rPr>
                <w:rFonts w:ascii="Rotis Sans Serif Std" w:hAnsi="Rotis Sans Serif Std"/>
                <w:b w:val="0"/>
                <w:sz w:val="20"/>
                <w:szCs w:val="22"/>
                <w:lang w:eastAsia="es-ES"/>
              </w:rPr>
              <w:t xml:space="preserve">Hores extres </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9,3</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9,3</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7,2</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7,8</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7,2</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6,6</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6,0</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6,6</w:t>
            </w:r>
          </w:p>
        </w:tc>
        <w:tc>
          <w:tcPr>
            <w:tcW w:w="740"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6,9</w:t>
            </w:r>
          </w:p>
        </w:tc>
        <w:tc>
          <w:tcPr>
            <w:tcW w:w="740"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7,8</w:t>
            </w:r>
          </w:p>
        </w:tc>
        <w:tc>
          <w:tcPr>
            <w:tcW w:w="787"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7,8</w:t>
            </w:r>
          </w:p>
        </w:tc>
      </w:tr>
      <w:tr w:rsidR="00DF7DF3" w:rsidRPr="00DF7DF3" w:rsidTr="00DF7D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3" w:type="dxa"/>
            <w:noWrap/>
            <w:hideMark/>
          </w:tcPr>
          <w:p w:rsidR="00DF7DF3" w:rsidRPr="00DF7DF3" w:rsidRDefault="00DF7DF3" w:rsidP="00767D0B">
            <w:pPr>
              <w:rPr>
                <w:rFonts w:ascii="Rotis Sans Serif Std" w:hAnsi="Rotis Sans Serif Std"/>
                <w:b w:val="0"/>
                <w:sz w:val="20"/>
                <w:szCs w:val="22"/>
                <w:lang w:eastAsia="es-ES"/>
              </w:rPr>
            </w:pPr>
            <w:r w:rsidRPr="00DF7DF3">
              <w:rPr>
                <w:rFonts w:ascii="Rotis Sans Serif Std" w:hAnsi="Rotis Sans Serif Std"/>
                <w:b w:val="0"/>
                <w:sz w:val="20"/>
                <w:szCs w:val="22"/>
                <w:lang w:eastAsia="es-ES"/>
              </w:rPr>
              <w:t>Vacances, festius</w:t>
            </w:r>
          </w:p>
        </w:tc>
        <w:tc>
          <w:tcPr>
            <w:tcW w:w="740"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185</w:t>
            </w:r>
          </w:p>
        </w:tc>
        <w:tc>
          <w:tcPr>
            <w:tcW w:w="740"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177</w:t>
            </w:r>
          </w:p>
        </w:tc>
        <w:tc>
          <w:tcPr>
            <w:tcW w:w="740"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186</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176</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178,5</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178,8</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179,7</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176,7</w:t>
            </w:r>
          </w:p>
        </w:tc>
        <w:tc>
          <w:tcPr>
            <w:tcW w:w="740" w:type="dxa"/>
            <w:vAlign w:val="bottom"/>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174,9</w:t>
            </w:r>
          </w:p>
        </w:tc>
        <w:tc>
          <w:tcPr>
            <w:tcW w:w="740" w:type="dxa"/>
            <w:vAlign w:val="bottom"/>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175,5</w:t>
            </w:r>
          </w:p>
        </w:tc>
        <w:tc>
          <w:tcPr>
            <w:tcW w:w="787" w:type="dxa"/>
            <w:vAlign w:val="bottom"/>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173,7</w:t>
            </w:r>
          </w:p>
        </w:tc>
      </w:tr>
      <w:tr w:rsidR="00DF7DF3" w:rsidRPr="00DF7DF3" w:rsidTr="00DF7DF3">
        <w:trPr>
          <w:trHeight w:val="300"/>
          <w:jc w:val="center"/>
        </w:trPr>
        <w:tc>
          <w:tcPr>
            <w:cnfStyle w:val="001000000000" w:firstRow="0" w:lastRow="0" w:firstColumn="1" w:lastColumn="0" w:oddVBand="0" w:evenVBand="0" w:oddHBand="0" w:evenHBand="0" w:firstRowFirstColumn="0" w:firstRowLastColumn="0" w:lastRowFirstColumn="0" w:lastRowLastColumn="0"/>
            <w:tcW w:w="1443" w:type="dxa"/>
            <w:noWrap/>
            <w:hideMark/>
          </w:tcPr>
          <w:p w:rsidR="00DF7DF3" w:rsidRPr="00DF7DF3" w:rsidRDefault="00DF7DF3" w:rsidP="00767D0B">
            <w:pPr>
              <w:rPr>
                <w:rFonts w:ascii="Rotis Sans Serif Std" w:hAnsi="Rotis Sans Serif Std"/>
                <w:b w:val="0"/>
                <w:sz w:val="20"/>
                <w:szCs w:val="22"/>
                <w:lang w:eastAsia="es-ES"/>
              </w:rPr>
            </w:pPr>
            <w:r w:rsidRPr="00DF7DF3">
              <w:rPr>
                <w:rFonts w:ascii="Rotis Sans Serif Std" w:hAnsi="Rotis Sans Serif Std"/>
                <w:b w:val="0"/>
                <w:sz w:val="20"/>
                <w:szCs w:val="22"/>
                <w:lang w:eastAsia="es-ES"/>
              </w:rPr>
              <w:t>Resta motius</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84</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82</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85</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82</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81</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76</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72</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73</w:t>
            </w:r>
          </w:p>
        </w:tc>
        <w:tc>
          <w:tcPr>
            <w:tcW w:w="740"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77</w:t>
            </w:r>
          </w:p>
        </w:tc>
        <w:tc>
          <w:tcPr>
            <w:tcW w:w="740"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77</w:t>
            </w:r>
          </w:p>
        </w:tc>
        <w:tc>
          <w:tcPr>
            <w:tcW w:w="787"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79</w:t>
            </w:r>
          </w:p>
        </w:tc>
      </w:tr>
      <w:tr w:rsidR="00DF7DF3" w:rsidRPr="00DF7DF3" w:rsidTr="00DF7D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3" w:type="dxa"/>
            <w:noWrap/>
            <w:hideMark/>
          </w:tcPr>
          <w:p w:rsidR="00DF7DF3" w:rsidRPr="00DF7DF3" w:rsidRDefault="00DF7DF3" w:rsidP="00767D0B">
            <w:pPr>
              <w:rPr>
                <w:rFonts w:ascii="Rotis Sans Serif Std" w:hAnsi="Rotis Sans Serif Std"/>
                <w:b w:val="0"/>
                <w:sz w:val="20"/>
                <w:szCs w:val="22"/>
                <w:lang w:eastAsia="es-ES"/>
              </w:rPr>
            </w:pPr>
            <w:r w:rsidRPr="00DF7DF3">
              <w:rPr>
                <w:rFonts w:ascii="Rotis Sans Serif Std" w:hAnsi="Rotis Sans Serif Std"/>
                <w:b w:val="0"/>
                <w:sz w:val="20"/>
                <w:szCs w:val="22"/>
                <w:lang w:eastAsia="es-ES"/>
              </w:rPr>
              <w:t xml:space="preserve">Hores pactades efectives </w:t>
            </w:r>
          </w:p>
        </w:tc>
        <w:tc>
          <w:tcPr>
            <w:tcW w:w="740"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1.705</w:t>
            </w:r>
          </w:p>
        </w:tc>
        <w:tc>
          <w:tcPr>
            <w:tcW w:w="740"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1.705</w:t>
            </w:r>
          </w:p>
        </w:tc>
        <w:tc>
          <w:tcPr>
            <w:tcW w:w="740"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1.677</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1.665</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1.648</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1.633</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1.623</w:t>
            </w:r>
          </w:p>
        </w:tc>
        <w:tc>
          <w:tcPr>
            <w:tcW w:w="807" w:type="dxa"/>
            <w:noWrap/>
            <w:vAlign w:val="bottom"/>
            <w:hideMark/>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1.620</w:t>
            </w:r>
          </w:p>
        </w:tc>
        <w:tc>
          <w:tcPr>
            <w:tcW w:w="740" w:type="dxa"/>
            <w:vAlign w:val="bottom"/>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1.626</w:t>
            </w:r>
          </w:p>
        </w:tc>
        <w:tc>
          <w:tcPr>
            <w:tcW w:w="740" w:type="dxa"/>
            <w:vAlign w:val="bottom"/>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1.624</w:t>
            </w:r>
          </w:p>
        </w:tc>
        <w:tc>
          <w:tcPr>
            <w:tcW w:w="787" w:type="dxa"/>
            <w:vAlign w:val="bottom"/>
          </w:tcPr>
          <w:p w:rsidR="00DF7DF3" w:rsidRPr="00DF7DF3" w:rsidRDefault="00DF7DF3" w:rsidP="00767D0B">
            <w:pPr>
              <w:jc w:val="right"/>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sz w:val="18"/>
                <w:szCs w:val="20"/>
              </w:rPr>
            </w:pPr>
            <w:r w:rsidRPr="00DF7DF3">
              <w:rPr>
                <w:rFonts w:ascii="Rotis Sans Serif Std" w:hAnsi="Rotis Sans Serif Std"/>
                <w:color w:val="000000"/>
                <w:sz w:val="18"/>
                <w:szCs w:val="20"/>
              </w:rPr>
              <w:t>1.627</w:t>
            </w:r>
          </w:p>
        </w:tc>
      </w:tr>
      <w:tr w:rsidR="00DF7DF3" w:rsidRPr="00DF7DF3" w:rsidTr="00DF7DF3">
        <w:trPr>
          <w:trHeight w:val="300"/>
          <w:jc w:val="center"/>
        </w:trPr>
        <w:tc>
          <w:tcPr>
            <w:cnfStyle w:val="001000000000" w:firstRow="0" w:lastRow="0" w:firstColumn="1" w:lastColumn="0" w:oddVBand="0" w:evenVBand="0" w:oddHBand="0" w:evenHBand="0" w:firstRowFirstColumn="0" w:firstRowLastColumn="0" w:lastRowFirstColumn="0" w:lastRowLastColumn="0"/>
            <w:tcW w:w="1443" w:type="dxa"/>
            <w:noWrap/>
            <w:hideMark/>
          </w:tcPr>
          <w:p w:rsidR="00DF7DF3" w:rsidRPr="00DF7DF3" w:rsidRDefault="00DF7DF3" w:rsidP="00767D0B">
            <w:pPr>
              <w:rPr>
                <w:rFonts w:ascii="Rotis Sans Serif Std" w:hAnsi="Rotis Sans Serif Std"/>
                <w:color w:val="000000"/>
                <w:sz w:val="20"/>
                <w:szCs w:val="22"/>
                <w:lang w:eastAsia="es-ES"/>
              </w:rPr>
            </w:pPr>
            <w:r w:rsidRPr="00DF7DF3">
              <w:rPr>
                <w:rFonts w:ascii="Rotis Sans Serif Std" w:hAnsi="Rotis Sans Serif Std"/>
                <w:sz w:val="20"/>
                <w:szCs w:val="22"/>
                <w:lang w:eastAsia="es-ES"/>
              </w:rPr>
              <w:t>Taxa d’absentisme</w:t>
            </w:r>
            <w:r w:rsidRPr="00DF7DF3">
              <w:rPr>
                <w:rFonts w:ascii="Rotis Sans Serif Std" w:hAnsi="Rotis Sans Serif Std"/>
                <w:color w:val="000000"/>
                <w:sz w:val="20"/>
                <w:szCs w:val="22"/>
                <w:lang w:eastAsia="es-ES"/>
              </w:rPr>
              <w:t xml:space="preserve"> </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b/>
                <w:bCs/>
                <w:color w:val="000000"/>
                <w:sz w:val="18"/>
                <w:szCs w:val="20"/>
              </w:rPr>
            </w:pPr>
            <w:r w:rsidRPr="00DF7DF3">
              <w:rPr>
                <w:rFonts w:ascii="Rotis Sans Serif Std" w:hAnsi="Rotis Sans Serif Std"/>
                <w:b/>
                <w:bCs/>
                <w:color w:val="000000"/>
                <w:sz w:val="18"/>
                <w:szCs w:val="20"/>
              </w:rPr>
              <w:t>4,95%</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b/>
                <w:bCs/>
                <w:color w:val="000000"/>
                <w:sz w:val="18"/>
                <w:szCs w:val="20"/>
              </w:rPr>
            </w:pPr>
            <w:r w:rsidRPr="00DF7DF3">
              <w:rPr>
                <w:rFonts w:ascii="Rotis Sans Serif Std" w:hAnsi="Rotis Sans Serif Std"/>
                <w:b/>
                <w:bCs/>
                <w:color w:val="000000"/>
                <w:sz w:val="18"/>
                <w:szCs w:val="20"/>
              </w:rPr>
              <w:t>4,80%</w:t>
            </w:r>
          </w:p>
        </w:tc>
        <w:tc>
          <w:tcPr>
            <w:tcW w:w="740"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b/>
                <w:bCs/>
                <w:color w:val="000000"/>
                <w:sz w:val="18"/>
                <w:szCs w:val="20"/>
              </w:rPr>
            </w:pPr>
            <w:r w:rsidRPr="00DF7DF3">
              <w:rPr>
                <w:rFonts w:ascii="Rotis Sans Serif Std" w:hAnsi="Rotis Sans Serif Std"/>
                <w:b/>
                <w:bCs/>
                <w:color w:val="000000"/>
                <w:sz w:val="18"/>
                <w:szCs w:val="20"/>
              </w:rPr>
              <w:t>4,87%</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b/>
                <w:bCs/>
                <w:color w:val="000000"/>
                <w:sz w:val="18"/>
                <w:szCs w:val="20"/>
              </w:rPr>
            </w:pPr>
            <w:r w:rsidRPr="00DF7DF3">
              <w:rPr>
                <w:rFonts w:ascii="Rotis Sans Serif Std" w:hAnsi="Rotis Sans Serif Std"/>
                <w:b/>
                <w:bCs/>
                <w:color w:val="000000"/>
                <w:sz w:val="18"/>
                <w:szCs w:val="20"/>
              </w:rPr>
              <w:t>4,70%</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b/>
                <w:bCs/>
                <w:color w:val="000000"/>
                <w:sz w:val="18"/>
                <w:szCs w:val="20"/>
              </w:rPr>
            </w:pPr>
            <w:r w:rsidRPr="00DF7DF3">
              <w:rPr>
                <w:rFonts w:ascii="Rotis Sans Serif Std" w:hAnsi="Rotis Sans Serif Std"/>
                <w:b/>
                <w:bCs/>
                <w:color w:val="000000"/>
                <w:sz w:val="18"/>
                <w:szCs w:val="20"/>
              </w:rPr>
              <w:t>4,70%</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b/>
                <w:bCs/>
                <w:color w:val="000000"/>
                <w:sz w:val="18"/>
                <w:szCs w:val="20"/>
              </w:rPr>
            </w:pPr>
            <w:r w:rsidRPr="00DF7DF3">
              <w:rPr>
                <w:rFonts w:ascii="Rotis Sans Serif Std" w:hAnsi="Rotis Sans Serif Std"/>
                <w:b/>
                <w:bCs/>
                <w:color w:val="000000"/>
                <w:sz w:val="18"/>
                <w:szCs w:val="20"/>
              </w:rPr>
              <w:t>4,30%</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b/>
                <w:bCs/>
                <w:color w:val="000000"/>
                <w:sz w:val="18"/>
                <w:szCs w:val="20"/>
              </w:rPr>
            </w:pPr>
            <w:r w:rsidRPr="00DF7DF3">
              <w:rPr>
                <w:rFonts w:ascii="Rotis Sans Serif Std" w:hAnsi="Rotis Sans Serif Std"/>
                <w:b/>
                <w:bCs/>
                <w:color w:val="000000"/>
                <w:sz w:val="18"/>
                <w:szCs w:val="20"/>
              </w:rPr>
              <w:t>4,10%</w:t>
            </w:r>
          </w:p>
        </w:tc>
        <w:tc>
          <w:tcPr>
            <w:tcW w:w="807" w:type="dxa"/>
            <w:noWrap/>
            <w:vAlign w:val="bottom"/>
            <w:hideMark/>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b/>
                <w:bCs/>
                <w:color w:val="000000"/>
                <w:sz w:val="18"/>
                <w:szCs w:val="20"/>
              </w:rPr>
            </w:pPr>
            <w:r w:rsidRPr="00DF7DF3">
              <w:rPr>
                <w:rFonts w:ascii="Rotis Sans Serif Std" w:hAnsi="Rotis Sans Serif Std"/>
                <w:b/>
                <w:bCs/>
                <w:color w:val="000000"/>
                <w:sz w:val="18"/>
                <w:szCs w:val="20"/>
              </w:rPr>
              <w:t>4,40%</w:t>
            </w:r>
          </w:p>
        </w:tc>
        <w:tc>
          <w:tcPr>
            <w:tcW w:w="740"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b/>
                <w:bCs/>
                <w:color w:val="000000"/>
                <w:sz w:val="18"/>
                <w:szCs w:val="20"/>
              </w:rPr>
            </w:pPr>
            <w:r w:rsidRPr="00DF7DF3">
              <w:rPr>
                <w:rFonts w:ascii="Rotis Sans Serif Std" w:hAnsi="Rotis Sans Serif Std"/>
                <w:b/>
                <w:bCs/>
                <w:color w:val="000000"/>
                <w:sz w:val="18"/>
                <w:szCs w:val="20"/>
              </w:rPr>
              <w:t>4,70%</w:t>
            </w:r>
          </w:p>
        </w:tc>
        <w:tc>
          <w:tcPr>
            <w:tcW w:w="740"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b/>
                <w:bCs/>
                <w:color w:val="000000"/>
                <w:sz w:val="18"/>
                <w:szCs w:val="20"/>
              </w:rPr>
            </w:pPr>
            <w:r w:rsidRPr="00DF7DF3">
              <w:rPr>
                <w:rFonts w:ascii="Rotis Sans Serif Std" w:hAnsi="Rotis Sans Serif Std"/>
                <w:b/>
                <w:bCs/>
                <w:color w:val="000000"/>
                <w:sz w:val="18"/>
                <w:szCs w:val="20"/>
              </w:rPr>
              <w:t>4,90%</w:t>
            </w:r>
          </w:p>
        </w:tc>
        <w:tc>
          <w:tcPr>
            <w:tcW w:w="787" w:type="dxa"/>
            <w:vAlign w:val="bottom"/>
          </w:tcPr>
          <w:p w:rsidR="00DF7DF3" w:rsidRPr="00DF7DF3" w:rsidRDefault="00DF7DF3" w:rsidP="00767D0B">
            <w:pPr>
              <w:jc w:val="right"/>
              <w:cnfStyle w:val="000000000000" w:firstRow="0" w:lastRow="0" w:firstColumn="0" w:lastColumn="0" w:oddVBand="0" w:evenVBand="0" w:oddHBand="0" w:evenHBand="0" w:firstRowFirstColumn="0" w:firstRowLastColumn="0" w:lastRowFirstColumn="0" w:lastRowLastColumn="0"/>
              <w:rPr>
                <w:rFonts w:ascii="Rotis Sans Serif Std" w:hAnsi="Rotis Sans Serif Std"/>
                <w:b/>
                <w:bCs/>
                <w:color w:val="000000"/>
                <w:sz w:val="18"/>
                <w:szCs w:val="20"/>
              </w:rPr>
            </w:pPr>
            <w:r w:rsidRPr="00DF7DF3">
              <w:rPr>
                <w:rFonts w:ascii="Rotis Sans Serif Std" w:hAnsi="Rotis Sans Serif Std"/>
                <w:b/>
                <w:bCs/>
                <w:color w:val="000000"/>
                <w:sz w:val="18"/>
                <w:szCs w:val="20"/>
              </w:rPr>
              <w:t>5,00%</w:t>
            </w:r>
          </w:p>
        </w:tc>
      </w:tr>
    </w:tbl>
    <w:p w:rsidR="00DF7DF3" w:rsidRPr="00EC60D6" w:rsidRDefault="00DF7DF3" w:rsidP="00DF7DF3">
      <w:pPr>
        <w:ind w:left="360"/>
        <w:jc w:val="center"/>
        <w:rPr>
          <w:rFonts w:ascii="Rotis Sans Serif Std" w:eastAsiaTheme="minorHAnsi" w:hAnsi="Rotis Sans Serif Std" w:cstheme="minorBidi"/>
          <w:color w:val="C1002B"/>
        </w:rPr>
      </w:pPr>
      <w:r w:rsidRPr="00EC60D6">
        <w:rPr>
          <w:rFonts w:ascii="Rotis Sans Serif Std" w:hAnsi="Rotis Sans Serif Std" w:cs="RotisSansSerifStd-Regular"/>
          <w:color w:val="5E6061"/>
          <w:sz w:val="20"/>
          <w:lang w:eastAsia="es-ES_tradnl"/>
        </w:rPr>
        <w:t>Font: Elaboració p</w:t>
      </w:r>
      <w:r>
        <w:rPr>
          <w:rFonts w:ascii="Rotis Sans Serif Std" w:hAnsi="Rotis Sans Serif Std" w:cs="RotisSansSerifStd-Regular"/>
          <w:color w:val="5E6061"/>
          <w:sz w:val="20"/>
          <w:lang w:eastAsia="es-ES_tradnl"/>
        </w:rPr>
        <w:t>ròpia a partir de les dades de l’</w:t>
      </w:r>
      <w:r w:rsidRPr="00EC60D6">
        <w:rPr>
          <w:rFonts w:ascii="Rotis Sans Serif Std" w:hAnsi="Rotis Sans Serif Std" w:cs="RotisSansSerifStd-Regular"/>
          <w:color w:val="5E6061"/>
          <w:sz w:val="20"/>
          <w:lang w:eastAsia="es-ES_tradnl"/>
        </w:rPr>
        <w:t>INE</w:t>
      </w:r>
      <w:r w:rsidRPr="00EC60D6">
        <w:rPr>
          <w:rFonts w:ascii="Rotis Sans Serif Std" w:hAnsi="Rotis Sans Serif Std" w:cs="RotisSansSerifStd-Regular"/>
          <w:color w:val="5E6061"/>
          <w:lang w:eastAsia="es-ES_tradnl"/>
        </w:rPr>
        <w:t>.</w:t>
      </w:r>
    </w:p>
    <w:p w:rsidR="007A46A8" w:rsidRDefault="007A46A8" w:rsidP="00DF7DF3">
      <w:pPr>
        <w:jc w:val="both"/>
        <w:rPr>
          <w:rFonts w:ascii="Rotis Sans Serif Std" w:hAnsi="Rotis Sans Serif Std" w:cs="RotisSansSerifStd-Regular"/>
          <w:color w:val="5E6061"/>
          <w:lang w:eastAsia="es-ES_tradnl"/>
        </w:rPr>
      </w:pPr>
    </w:p>
    <w:p w:rsidR="00DF7DF3" w:rsidRDefault="00DF7DF3" w:rsidP="00DF7DF3">
      <w:pPr>
        <w:jc w:val="both"/>
        <w:rPr>
          <w:rFonts w:ascii="Rotis Sans Serif Std" w:hAnsi="Rotis Sans Serif Std" w:cs="RotisSansSerifStd-Regular"/>
          <w:color w:val="5E6061"/>
          <w:lang w:eastAsia="es-ES_tradnl"/>
        </w:rPr>
      </w:pPr>
      <w:r w:rsidRPr="00EC60D6">
        <w:rPr>
          <w:rFonts w:ascii="Rotis Sans Serif Std" w:hAnsi="Rotis Sans Serif Std" w:cs="RotisSansSerifStd-Regular"/>
          <w:color w:val="5E6061"/>
          <w:lang w:eastAsia="es-ES_tradnl"/>
        </w:rPr>
        <w:t>Les hores no treballades obeeixen a diferents causes, unes són justificades</w:t>
      </w:r>
      <w:r>
        <w:rPr>
          <w:rFonts w:ascii="Rotis Sans Serif Std" w:hAnsi="Rotis Sans Serif Std" w:cs="RotisSansSerifStd-Regular"/>
          <w:color w:val="5E6061"/>
          <w:lang w:eastAsia="es-ES_tradnl"/>
        </w:rPr>
        <w:t xml:space="preserve"> i unes altres no justificades. A</w:t>
      </w:r>
      <w:r w:rsidRPr="00EC60D6">
        <w:rPr>
          <w:rFonts w:ascii="Rotis Sans Serif Std" w:hAnsi="Rotis Sans Serif Std" w:cs="RotisSansSerifStd-Regular"/>
          <w:color w:val="5E6061"/>
          <w:lang w:eastAsia="es-ES_tradnl"/>
        </w:rPr>
        <w:t xml:space="preserve"> més, en uns casos es paguen per l'empresa i en uns altres no. Tenint en compte aquests aspectes, les hores no treballades es poden agrupar en els següents</w:t>
      </w:r>
      <w:r>
        <w:rPr>
          <w:rFonts w:ascii="Rotis Sans Serif Std" w:hAnsi="Rotis Sans Serif Std" w:cs="RotisSansSerifStd-Regular"/>
          <w:color w:val="5E6061"/>
          <w:lang w:eastAsia="es-ES_tradnl"/>
        </w:rPr>
        <w:t xml:space="preserve"> grups</w:t>
      </w:r>
      <w:r w:rsidRPr="00EC60D6">
        <w:rPr>
          <w:rFonts w:ascii="Rotis Sans Serif Std" w:hAnsi="Rotis Sans Serif Std" w:cs="RotisSansSerifStd-Regular"/>
          <w:color w:val="5E6061"/>
          <w:lang w:eastAsia="es-ES_tradnl"/>
        </w:rPr>
        <w:t>:</w:t>
      </w:r>
    </w:p>
    <w:p w:rsidR="007A46A8" w:rsidRDefault="007A46A8" w:rsidP="00DF7DF3">
      <w:pPr>
        <w:jc w:val="both"/>
        <w:rPr>
          <w:rFonts w:ascii="Rotis Sans Serif Std" w:hAnsi="Rotis Sans Serif Std" w:cs="RotisSansSerifStd-Regular"/>
          <w:color w:val="5E6061"/>
          <w:lang w:eastAsia="es-ES_tradnl"/>
        </w:rPr>
      </w:pPr>
    </w:p>
    <w:p w:rsidR="00DF7DF3" w:rsidRPr="00F30E6D" w:rsidRDefault="00DF7DF3" w:rsidP="00DF7DF3">
      <w:pPr>
        <w:jc w:val="both"/>
        <w:rPr>
          <w:rFonts w:ascii="Rotis Sans Serif Std" w:hAnsi="Rotis Sans Serif Std" w:cs="RotisSansSerifStd-Regular"/>
          <w:color w:val="5E6061"/>
          <w:sz w:val="8"/>
          <w:lang w:eastAsia="es-ES_tradnl"/>
        </w:rPr>
      </w:pPr>
    </w:p>
    <w:p w:rsidR="00DF7DF3" w:rsidRDefault="00DF7DF3" w:rsidP="00DF7DF3">
      <w:pPr>
        <w:pStyle w:val="Prrafodelista"/>
        <w:numPr>
          <w:ilvl w:val="0"/>
          <w:numId w:val="37"/>
        </w:numPr>
        <w:jc w:val="both"/>
        <w:rPr>
          <w:rFonts w:ascii="Rotis Sans Serif Std" w:hAnsi="Rotis Sans Serif Std" w:cs="RotisSansSerifStd-Regular"/>
          <w:color w:val="5E6061"/>
          <w:lang w:eastAsia="es-ES_tradnl"/>
        </w:rPr>
      </w:pPr>
      <w:r w:rsidRPr="00EC60D6">
        <w:rPr>
          <w:rFonts w:ascii="Rotis Sans Serif Std" w:hAnsi="Rotis Sans Serif Std" w:cs="RotisSansSerifStd-Regular"/>
          <w:color w:val="5E6061"/>
          <w:u w:val="single"/>
          <w:lang w:eastAsia="es-ES_tradnl"/>
        </w:rPr>
        <w:t>Hores no treballades, justificades i pagades</w:t>
      </w:r>
      <w:r w:rsidRPr="00EC60D6">
        <w:rPr>
          <w:rFonts w:ascii="Rotis Sans Serif Std" w:hAnsi="Rotis Sans Serif Std" w:cs="RotisSansSerifStd-Regular"/>
          <w:color w:val="5E6061"/>
          <w:lang w:eastAsia="es-ES_tradnl"/>
        </w:rPr>
        <w:t xml:space="preserve">: vacances, festes laborals, permisos, formació i representació sindical. </w:t>
      </w:r>
    </w:p>
    <w:p w:rsidR="007A46A8" w:rsidRPr="00EC60D6" w:rsidRDefault="007A46A8" w:rsidP="007A46A8">
      <w:pPr>
        <w:pStyle w:val="Prrafodelista"/>
        <w:ind w:left="787"/>
        <w:jc w:val="both"/>
        <w:rPr>
          <w:rFonts w:ascii="Rotis Sans Serif Std" w:hAnsi="Rotis Sans Serif Std" w:cs="RotisSansSerifStd-Regular"/>
          <w:color w:val="5E6061"/>
          <w:lang w:eastAsia="es-ES_tradnl"/>
        </w:rPr>
      </w:pPr>
    </w:p>
    <w:p w:rsidR="00DF7DF3" w:rsidRDefault="00DF7DF3" w:rsidP="00DF7DF3">
      <w:pPr>
        <w:pStyle w:val="Prrafodelista"/>
        <w:numPr>
          <w:ilvl w:val="0"/>
          <w:numId w:val="37"/>
        </w:numPr>
        <w:jc w:val="both"/>
        <w:rPr>
          <w:rFonts w:ascii="Rotis Sans Serif Std" w:hAnsi="Rotis Sans Serif Std" w:cs="RotisSansSerifStd-Regular"/>
          <w:color w:val="5E6061"/>
          <w:lang w:eastAsia="es-ES_tradnl"/>
        </w:rPr>
      </w:pPr>
      <w:r w:rsidRPr="00EC60D6">
        <w:rPr>
          <w:rFonts w:ascii="Rotis Sans Serif Std" w:hAnsi="Rotis Sans Serif Std" w:cs="RotisSansSerifStd-Regular"/>
          <w:color w:val="5E6061"/>
          <w:u w:val="single"/>
          <w:lang w:eastAsia="es-ES_tradnl"/>
        </w:rPr>
        <w:t>Hores no treballades, justificades i no pagades</w:t>
      </w:r>
      <w:r w:rsidRPr="00EC60D6">
        <w:rPr>
          <w:rFonts w:ascii="Rotis Sans Serif Std" w:hAnsi="Rotis Sans Serif Std" w:cs="RotisSansSerifStd-Regular"/>
          <w:color w:val="5E6061"/>
          <w:lang w:eastAsia="es-ES_tradnl"/>
        </w:rPr>
        <w:t>: incapacitat temporal (amb excepc</w:t>
      </w:r>
      <w:r>
        <w:rPr>
          <w:rFonts w:ascii="Rotis Sans Serif Std" w:hAnsi="Rotis Sans Serif Std" w:cs="RotisSansSerifStd-Regular"/>
          <w:color w:val="5E6061"/>
          <w:lang w:eastAsia="es-ES_tradnl"/>
        </w:rPr>
        <w:t xml:space="preserve">ions), maternitat, expedients de </w:t>
      </w:r>
      <w:r w:rsidRPr="00EC60D6">
        <w:rPr>
          <w:rFonts w:ascii="Rotis Sans Serif Std" w:hAnsi="Rotis Sans Serif Std" w:cs="RotisSansSerifStd-Regular"/>
          <w:color w:val="5E6061"/>
          <w:lang w:eastAsia="es-ES_tradnl"/>
        </w:rPr>
        <w:t xml:space="preserve">regulació d'ocupació i conflictivitat laboral. </w:t>
      </w:r>
    </w:p>
    <w:p w:rsidR="007A46A8" w:rsidRPr="007A46A8" w:rsidRDefault="007A46A8" w:rsidP="007A46A8">
      <w:pPr>
        <w:jc w:val="both"/>
        <w:rPr>
          <w:rFonts w:ascii="Rotis Sans Serif Std" w:hAnsi="Rotis Sans Serif Std" w:cs="RotisSansSerifStd-Regular"/>
          <w:color w:val="5E6061"/>
          <w:lang w:eastAsia="es-ES_tradnl"/>
        </w:rPr>
      </w:pPr>
    </w:p>
    <w:p w:rsidR="00DF7DF3" w:rsidRPr="00EC60D6" w:rsidRDefault="00DF7DF3" w:rsidP="00DF7DF3">
      <w:pPr>
        <w:pStyle w:val="Prrafodelista"/>
        <w:numPr>
          <w:ilvl w:val="0"/>
          <w:numId w:val="37"/>
        </w:numPr>
        <w:jc w:val="both"/>
        <w:rPr>
          <w:rFonts w:ascii="Rotis Sans Serif Std" w:hAnsi="Rotis Sans Serif Std" w:cs="RotisSansSerifStd-Regular"/>
          <w:color w:val="5E6061"/>
          <w:lang w:eastAsia="es-ES_tradnl"/>
        </w:rPr>
      </w:pPr>
      <w:r w:rsidRPr="00EC60D6">
        <w:rPr>
          <w:rFonts w:ascii="Rotis Sans Serif Std" w:hAnsi="Rotis Sans Serif Std" w:cs="RotisSansSerifStd-Regular"/>
          <w:color w:val="5E6061"/>
          <w:u w:val="single"/>
          <w:lang w:eastAsia="es-ES_tradnl"/>
        </w:rPr>
        <w:t>Hores no treballades i no justificades</w:t>
      </w:r>
      <w:r w:rsidRPr="00EC60D6">
        <w:rPr>
          <w:rFonts w:ascii="Rotis Sans Serif Std" w:hAnsi="Rotis Sans Serif Std" w:cs="RotisSansSerifStd-Regular"/>
          <w:color w:val="5E6061"/>
          <w:lang w:eastAsia="es-ES_tradnl"/>
        </w:rPr>
        <w:t>: corresponen a absències no j</w:t>
      </w:r>
      <w:r>
        <w:rPr>
          <w:rFonts w:ascii="Rotis Sans Serif Std" w:hAnsi="Rotis Sans Serif Std" w:cs="RotisSansSerifStd-Regular"/>
          <w:color w:val="5E6061"/>
          <w:lang w:eastAsia="es-ES_tradnl"/>
        </w:rPr>
        <w:t>ustificade</w:t>
      </w:r>
      <w:r w:rsidRPr="00EC60D6">
        <w:rPr>
          <w:rFonts w:ascii="Rotis Sans Serif Std" w:hAnsi="Rotis Sans Serif Std" w:cs="RotisSansSerifStd-Regular"/>
          <w:color w:val="5E6061"/>
          <w:lang w:eastAsia="es-ES_tradnl"/>
        </w:rPr>
        <w:t xml:space="preserve">s i a altres motius no especificats. </w:t>
      </w:r>
    </w:p>
    <w:p w:rsidR="00DF7DF3" w:rsidRPr="00EC60D6" w:rsidRDefault="00DF7DF3" w:rsidP="00DF7DF3">
      <w:pPr>
        <w:ind w:left="360"/>
        <w:jc w:val="both"/>
        <w:rPr>
          <w:rFonts w:ascii="Rotis Sans Serif Std" w:eastAsiaTheme="minorHAnsi" w:hAnsi="Rotis Sans Serif Std" w:cstheme="minorBidi"/>
          <w:color w:val="C1002B"/>
        </w:rPr>
      </w:pPr>
    </w:p>
    <w:p w:rsidR="007A46A8" w:rsidRDefault="007A46A8">
      <w:pPr>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br w:type="page"/>
      </w:r>
    </w:p>
    <w:p w:rsidR="00DF7DF3" w:rsidRPr="00EC60D6" w:rsidRDefault="00DF7DF3" w:rsidP="00DF7DF3">
      <w:pPr>
        <w:jc w:val="both"/>
        <w:rPr>
          <w:rFonts w:ascii="Rotis Sans Serif Std" w:hAnsi="Rotis Sans Serif Std" w:cs="RotisSansSerifStd-Regular"/>
          <w:color w:val="5E6061"/>
          <w:lang w:eastAsia="es-ES_tradnl"/>
        </w:rPr>
      </w:pPr>
      <w:r w:rsidRPr="00EC60D6">
        <w:rPr>
          <w:rFonts w:ascii="Rotis Sans Serif Std" w:hAnsi="Rotis Sans Serif Std" w:cs="RotisSansSerifStd-Regular"/>
          <w:color w:val="5E6061"/>
          <w:lang w:eastAsia="es-ES_tradnl"/>
        </w:rPr>
        <w:t>En el següent quadre es detalla les xifres corresponents a les hores no treballades segons la causa.</w:t>
      </w:r>
    </w:p>
    <w:p w:rsidR="00DF7DF3" w:rsidRPr="00F30E6D" w:rsidRDefault="00DF7DF3" w:rsidP="00DF7DF3">
      <w:pPr>
        <w:ind w:left="427"/>
        <w:rPr>
          <w:rFonts w:ascii="Rotis Sans Serif Std" w:hAnsi="Rotis Sans Serif Std" w:cs="RotisSansSerifStd-Regular"/>
          <w:color w:val="5E6061"/>
          <w:sz w:val="18"/>
          <w:lang w:eastAsia="es-ES_tradnl"/>
        </w:rPr>
      </w:pPr>
    </w:p>
    <w:tbl>
      <w:tblPr>
        <w:tblStyle w:val="Cuadrculamedia3-nfasis2"/>
        <w:tblW w:w="9889" w:type="dxa"/>
        <w:tblLayout w:type="fixed"/>
        <w:tblLook w:val="04A0" w:firstRow="1" w:lastRow="0" w:firstColumn="1" w:lastColumn="0" w:noHBand="0" w:noVBand="1"/>
      </w:tblPr>
      <w:tblGrid>
        <w:gridCol w:w="2376"/>
        <w:gridCol w:w="680"/>
        <w:gridCol w:w="680"/>
        <w:gridCol w:w="680"/>
        <w:gridCol w:w="680"/>
        <w:gridCol w:w="680"/>
        <w:gridCol w:w="680"/>
        <w:gridCol w:w="680"/>
        <w:gridCol w:w="680"/>
        <w:gridCol w:w="680"/>
        <w:gridCol w:w="680"/>
        <w:gridCol w:w="680"/>
        <w:gridCol w:w="33"/>
      </w:tblGrid>
      <w:tr w:rsidR="00DF7DF3" w:rsidRPr="00DF7DF3" w:rsidTr="00767D0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889" w:type="dxa"/>
            <w:gridSpan w:val="13"/>
            <w:tcBorders>
              <w:bottom w:val="nil"/>
            </w:tcBorders>
            <w:noWrap/>
            <w:vAlign w:val="bottom"/>
            <w:hideMark/>
          </w:tcPr>
          <w:p w:rsidR="00DF7DF3" w:rsidRPr="00DF7DF3" w:rsidRDefault="00DF7DF3" w:rsidP="00767D0B">
            <w:pPr>
              <w:jc w:val="center"/>
              <w:rPr>
                <w:rFonts w:ascii="Rotis Sans Serif Std" w:hAnsi="Rotis Sans Serif Std"/>
                <w:sz w:val="22"/>
                <w:szCs w:val="20"/>
                <w:lang w:eastAsia="es-ES"/>
              </w:rPr>
            </w:pPr>
            <w:r w:rsidRPr="00DF7DF3">
              <w:rPr>
                <w:rFonts w:ascii="Rotis Sans Serif Std" w:hAnsi="Rotis Sans Serif Std"/>
                <w:sz w:val="22"/>
                <w:szCs w:val="20"/>
                <w:lang w:eastAsia="es-ES"/>
              </w:rPr>
              <w:t>HORES NO TREBALLADES PER CAUSA (ETCL)</w:t>
            </w:r>
          </w:p>
          <w:p w:rsidR="00DF7DF3" w:rsidRPr="00DF7DF3" w:rsidRDefault="00DF7DF3" w:rsidP="00767D0B">
            <w:pPr>
              <w:jc w:val="center"/>
              <w:rPr>
                <w:rFonts w:ascii="Rotis Sans Serif Std" w:hAnsi="Rotis Sans Serif Std"/>
                <w:sz w:val="22"/>
                <w:szCs w:val="20"/>
                <w:lang w:eastAsia="es-ES"/>
              </w:rPr>
            </w:pPr>
          </w:p>
        </w:tc>
      </w:tr>
      <w:tr w:rsidR="00DF7DF3" w:rsidRPr="00DF7DF3" w:rsidTr="00767D0B">
        <w:trPr>
          <w:gridAfter w:val="1"/>
          <w:cnfStyle w:val="000000100000" w:firstRow="0" w:lastRow="0" w:firstColumn="0" w:lastColumn="0" w:oddVBand="0" w:evenVBand="0" w:oddHBand="1" w:evenHBand="0" w:firstRowFirstColumn="0" w:firstRowLastColumn="0" w:lastRowFirstColumn="0" w:lastRowLastColumn="0"/>
          <w:wAfter w:w="33" w:type="dxa"/>
          <w:trHeight w:val="546"/>
        </w:trPr>
        <w:tc>
          <w:tcPr>
            <w:cnfStyle w:val="001000000000" w:firstRow="0" w:lastRow="0" w:firstColumn="1" w:lastColumn="0" w:oddVBand="0" w:evenVBand="0" w:oddHBand="0" w:evenHBand="0" w:firstRowFirstColumn="0" w:firstRowLastColumn="0" w:lastRowFirstColumn="0" w:lastRowLastColumn="0"/>
            <w:tcW w:w="2376" w:type="dxa"/>
            <w:tcBorders>
              <w:top w:val="nil"/>
            </w:tcBorders>
            <w:noWrap/>
            <w:hideMark/>
          </w:tcPr>
          <w:p w:rsidR="00DF7DF3" w:rsidRPr="00DF7DF3" w:rsidRDefault="00DF7DF3" w:rsidP="00767D0B">
            <w:pPr>
              <w:jc w:val="center"/>
              <w:rPr>
                <w:rFonts w:ascii="Rotis Sans Serif Std" w:hAnsi="Rotis Sans Serif Std"/>
                <w:color w:val="000000"/>
                <w:sz w:val="22"/>
                <w:szCs w:val="20"/>
                <w:lang w:eastAsia="es-ES"/>
              </w:rPr>
            </w:pP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2007</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2008</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2009</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2010</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2011</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2012</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2013</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2014</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2015</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2016</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color w:val="000000"/>
                <w:sz w:val="18"/>
                <w:szCs w:val="20"/>
                <w:lang w:eastAsia="es-ES"/>
              </w:rPr>
            </w:pPr>
            <w:r w:rsidRPr="00DF7DF3">
              <w:rPr>
                <w:rFonts w:ascii="Rotis Sans Serif Std" w:hAnsi="Rotis Sans Serif Std"/>
                <w:b/>
                <w:color w:val="000000"/>
                <w:sz w:val="18"/>
                <w:szCs w:val="20"/>
                <w:lang w:eastAsia="es-ES"/>
              </w:rPr>
              <w:t>2017</w:t>
            </w:r>
          </w:p>
        </w:tc>
      </w:tr>
      <w:tr w:rsidR="00DF7DF3" w:rsidRPr="00DF7DF3" w:rsidTr="00767D0B">
        <w:trPr>
          <w:gridAfter w:val="1"/>
          <w:wAfter w:w="33" w:type="dxa"/>
          <w:trHeight w:val="274"/>
        </w:trPr>
        <w:tc>
          <w:tcPr>
            <w:cnfStyle w:val="001000000000" w:firstRow="0" w:lastRow="0" w:firstColumn="1" w:lastColumn="0" w:oddVBand="0" w:evenVBand="0" w:oddHBand="0" w:evenHBand="0" w:firstRowFirstColumn="0" w:firstRowLastColumn="0" w:lastRowFirstColumn="0" w:lastRowLastColumn="0"/>
            <w:tcW w:w="2376" w:type="dxa"/>
            <w:noWrap/>
            <w:hideMark/>
          </w:tcPr>
          <w:p w:rsidR="00DF7DF3" w:rsidRPr="00DF7DF3" w:rsidRDefault="00DF7DF3" w:rsidP="00767D0B">
            <w:pPr>
              <w:jc w:val="center"/>
              <w:rPr>
                <w:rFonts w:ascii="Rotis Sans Serif Std" w:hAnsi="Rotis Sans Serif Std"/>
                <w:sz w:val="20"/>
                <w:szCs w:val="20"/>
                <w:lang w:eastAsia="es-ES"/>
              </w:rPr>
            </w:pPr>
            <w:r w:rsidRPr="00DF7DF3">
              <w:rPr>
                <w:rFonts w:ascii="Rotis Sans Serif Std" w:hAnsi="Rotis Sans Serif Std"/>
                <w:sz w:val="20"/>
                <w:szCs w:val="20"/>
                <w:lang w:eastAsia="es-ES"/>
              </w:rPr>
              <w:t>TOTAL hores no treballades</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270</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259</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273</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259</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261</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258</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255</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252</w:t>
            </w:r>
          </w:p>
        </w:tc>
        <w:tc>
          <w:tcPr>
            <w:tcW w:w="680" w:type="dxa"/>
            <w:noWrap/>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254</w:t>
            </w:r>
          </w:p>
        </w:tc>
        <w:tc>
          <w:tcPr>
            <w:tcW w:w="680" w:type="dxa"/>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256</w:t>
            </w:r>
          </w:p>
        </w:tc>
        <w:tc>
          <w:tcPr>
            <w:tcW w:w="680" w:type="dxa"/>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256</w:t>
            </w:r>
          </w:p>
        </w:tc>
      </w:tr>
      <w:tr w:rsidR="00DF7DF3" w:rsidRPr="00DF7DF3" w:rsidTr="00767D0B">
        <w:trPr>
          <w:gridAfter w:val="1"/>
          <w:cnfStyle w:val="000000100000" w:firstRow="0" w:lastRow="0" w:firstColumn="0" w:lastColumn="0" w:oddVBand="0" w:evenVBand="0" w:oddHBand="1" w:evenHBand="0" w:firstRowFirstColumn="0" w:firstRowLastColumn="0" w:lastRowFirstColumn="0" w:lastRowLastColumn="0"/>
          <w:wAfter w:w="33" w:type="dxa"/>
          <w:trHeight w:val="274"/>
        </w:trPr>
        <w:tc>
          <w:tcPr>
            <w:cnfStyle w:val="001000000000" w:firstRow="0" w:lastRow="0" w:firstColumn="1" w:lastColumn="0" w:oddVBand="0" w:evenVBand="0" w:oddHBand="0" w:evenHBand="0" w:firstRowFirstColumn="0" w:firstRowLastColumn="0" w:lastRowFirstColumn="0" w:lastRowLastColumn="0"/>
            <w:tcW w:w="2376" w:type="dxa"/>
            <w:noWrap/>
            <w:hideMark/>
          </w:tcPr>
          <w:p w:rsidR="00DF7DF3" w:rsidRPr="00DF7DF3" w:rsidRDefault="00DF7DF3" w:rsidP="00767D0B">
            <w:pPr>
              <w:jc w:val="center"/>
              <w:rPr>
                <w:rFonts w:ascii="Rotis Sans Serif Std" w:hAnsi="Rotis Sans Serif Std"/>
                <w:sz w:val="20"/>
                <w:szCs w:val="20"/>
                <w:lang w:eastAsia="es-ES"/>
              </w:rPr>
            </w:pPr>
            <w:r w:rsidRPr="00DF7DF3">
              <w:rPr>
                <w:rFonts w:ascii="Rotis Sans Serif Std" w:hAnsi="Rotis Sans Serif Std"/>
                <w:sz w:val="20"/>
                <w:szCs w:val="20"/>
                <w:lang w:eastAsia="es-ES"/>
              </w:rPr>
              <w:t>Hores no treballades (amb justificació) i pagades</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194</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185</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200</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189</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193</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196</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196</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190</w:t>
            </w:r>
          </w:p>
        </w:tc>
        <w:tc>
          <w:tcPr>
            <w:tcW w:w="680" w:type="dxa"/>
            <w:noWrap/>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186</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186</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184</w:t>
            </w:r>
          </w:p>
        </w:tc>
      </w:tr>
      <w:tr w:rsidR="00DF7DF3" w:rsidRPr="00DF7DF3" w:rsidTr="00767D0B">
        <w:trPr>
          <w:gridAfter w:val="1"/>
          <w:wAfter w:w="33" w:type="dxa"/>
          <w:trHeight w:val="274"/>
        </w:trPr>
        <w:tc>
          <w:tcPr>
            <w:cnfStyle w:val="001000000000" w:firstRow="0" w:lastRow="0" w:firstColumn="1" w:lastColumn="0" w:oddVBand="0" w:evenVBand="0" w:oddHBand="0" w:evenHBand="0" w:firstRowFirstColumn="0" w:firstRowLastColumn="0" w:lastRowFirstColumn="0" w:lastRowLastColumn="0"/>
            <w:tcW w:w="2376" w:type="dxa"/>
            <w:noWrap/>
            <w:hideMark/>
          </w:tcPr>
          <w:p w:rsidR="00DF7DF3" w:rsidRPr="00DF7DF3" w:rsidRDefault="00DF7DF3" w:rsidP="00767D0B">
            <w:pPr>
              <w:jc w:val="center"/>
              <w:rPr>
                <w:rFonts w:ascii="Rotis Sans Serif Std" w:hAnsi="Rotis Sans Serif Std"/>
                <w:b w:val="0"/>
                <w:sz w:val="20"/>
                <w:szCs w:val="20"/>
                <w:lang w:eastAsia="es-ES"/>
              </w:rPr>
            </w:pPr>
            <w:r w:rsidRPr="00DF7DF3">
              <w:rPr>
                <w:rFonts w:ascii="Rotis Sans Serif Std" w:hAnsi="Rotis Sans Serif Std"/>
                <w:b w:val="0"/>
                <w:sz w:val="20"/>
                <w:szCs w:val="20"/>
                <w:lang w:eastAsia="es-ES"/>
              </w:rPr>
              <w:t xml:space="preserve">Vacances i festius </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185</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177</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186</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176</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179</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179</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180</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177</w:t>
            </w:r>
          </w:p>
        </w:tc>
        <w:tc>
          <w:tcPr>
            <w:tcW w:w="680" w:type="dxa"/>
            <w:noWrap/>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175</w:t>
            </w:r>
          </w:p>
        </w:tc>
        <w:tc>
          <w:tcPr>
            <w:tcW w:w="680" w:type="dxa"/>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176</w:t>
            </w:r>
          </w:p>
        </w:tc>
        <w:tc>
          <w:tcPr>
            <w:tcW w:w="680" w:type="dxa"/>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174</w:t>
            </w:r>
          </w:p>
        </w:tc>
      </w:tr>
      <w:tr w:rsidR="00DF7DF3" w:rsidRPr="00DF7DF3" w:rsidTr="00767D0B">
        <w:trPr>
          <w:gridAfter w:val="1"/>
          <w:cnfStyle w:val="000000100000" w:firstRow="0" w:lastRow="0" w:firstColumn="0" w:lastColumn="0" w:oddVBand="0" w:evenVBand="0" w:oddHBand="1" w:evenHBand="0" w:firstRowFirstColumn="0" w:firstRowLastColumn="0" w:lastRowFirstColumn="0" w:lastRowLastColumn="0"/>
          <w:wAfter w:w="33" w:type="dxa"/>
          <w:trHeight w:val="274"/>
        </w:trPr>
        <w:tc>
          <w:tcPr>
            <w:cnfStyle w:val="001000000000" w:firstRow="0" w:lastRow="0" w:firstColumn="1" w:lastColumn="0" w:oddVBand="0" w:evenVBand="0" w:oddHBand="0" w:evenHBand="0" w:firstRowFirstColumn="0" w:firstRowLastColumn="0" w:lastRowFirstColumn="0" w:lastRowLastColumn="0"/>
            <w:tcW w:w="2376" w:type="dxa"/>
            <w:noWrap/>
            <w:hideMark/>
          </w:tcPr>
          <w:p w:rsidR="00DF7DF3" w:rsidRPr="00DF7DF3" w:rsidRDefault="00DF7DF3" w:rsidP="00767D0B">
            <w:pPr>
              <w:jc w:val="center"/>
              <w:rPr>
                <w:rFonts w:ascii="Rotis Sans Serif Std" w:hAnsi="Rotis Sans Serif Std"/>
                <w:b w:val="0"/>
                <w:sz w:val="20"/>
                <w:szCs w:val="20"/>
                <w:lang w:eastAsia="es-ES"/>
              </w:rPr>
            </w:pPr>
            <w:r w:rsidRPr="00DF7DF3">
              <w:rPr>
                <w:rFonts w:ascii="Rotis Sans Serif Std" w:hAnsi="Rotis Sans Serif Std"/>
                <w:b w:val="0"/>
                <w:sz w:val="20"/>
                <w:szCs w:val="20"/>
                <w:lang w:eastAsia="es-ES"/>
              </w:rPr>
              <w:t xml:space="preserve">Permisos i llicencies </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4,9</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4,8</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5,1</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4,8</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5,4</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5,4</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4,8</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5,1</w:t>
            </w:r>
          </w:p>
        </w:tc>
        <w:tc>
          <w:tcPr>
            <w:tcW w:w="680" w:type="dxa"/>
            <w:noWrap/>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5,4</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6,0</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5,4</w:t>
            </w:r>
          </w:p>
        </w:tc>
      </w:tr>
      <w:tr w:rsidR="00DF7DF3" w:rsidRPr="00DF7DF3" w:rsidTr="00767D0B">
        <w:trPr>
          <w:gridAfter w:val="1"/>
          <w:wAfter w:w="33" w:type="dxa"/>
          <w:trHeight w:val="274"/>
        </w:trPr>
        <w:tc>
          <w:tcPr>
            <w:cnfStyle w:val="001000000000" w:firstRow="0" w:lastRow="0" w:firstColumn="1" w:lastColumn="0" w:oddVBand="0" w:evenVBand="0" w:oddHBand="0" w:evenHBand="0" w:firstRowFirstColumn="0" w:firstRowLastColumn="0" w:lastRowFirstColumn="0" w:lastRowLastColumn="0"/>
            <w:tcW w:w="2376" w:type="dxa"/>
            <w:noWrap/>
            <w:hideMark/>
          </w:tcPr>
          <w:p w:rsidR="00DF7DF3" w:rsidRPr="00DF7DF3" w:rsidRDefault="00DF7DF3" w:rsidP="00767D0B">
            <w:pPr>
              <w:jc w:val="center"/>
              <w:rPr>
                <w:rFonts w:ascii="Rotis Sans Serif Std" w:hAnsi="Rotis Sans Serif Std"/>
                <w:b w:val="0"/>
                <w:sz w:val="20"/>
                <w:szCs w:val="20"/>
                <w:lang w:eastAsia="es-ES"/>
              </w:rPr>
            </w:pPr>
            <w:r w:rsidRPr="00DF7DF3">
              <w:rPr>
                <w:rFonts w:ascii="Rotis Sans Serif Std" w:hAnsi="Rotis Sans Serif Std"/>
                <w:b w:val="0"/>
                <w:sz w:val="20"/>
                <w:szCs w:val="20"/>
                <w:lang w:eastAsia="es-ES"/>
              </w:rPr>
              <w:t xml:space="preserve">Motius tècnics  </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0,3</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0,6</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6</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5,1</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5,4</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8,7</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8,1</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4,8</w:t>
            </w:r>
          </w:p>
        </w:tc>
        <w:tc>
          <w:tcPr>
            <w:tcW w:w="680" w:type="dxa"/>
            <w:noWrap/>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2,4</w:t>
            </w:r>
          </w:p>
        </w:tc>
        <w:tc>
          <w:tcPr>
            <w:tcW w:w="680" w:type="dxa"/>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1,2</w:t>
            </w:r>
          </w:p>
        </w:tc>
        <w:tc>
          <w:tcPr>
            <w:tcW w:w="680" w:type="dxa"/>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1,2</w:t>
            </w:r>
          </w:p>
        </w:tc>
      </w:tr>
      <w:tr w:rsidR="00DF7DF3" w:rsidRPr="00DF7DF3" w:rsidTr="00767D0B">
        <w:trPr>
          <w:gridAfter w:val="1"/>
          <w:cnfStyle w:val="000000100000" w:firstRow="0" w:lastRow="0" w:firstColumn="0" w:lastColumn="0" w:oddVBand="0" w:evenVBand="0" w:oddHBand="1" w:evenHBand="0" w:firstRowFirstColumn="0" w:firstRowLastColumn="0" w:lastRowFirstColumn="0" w:lastRowLastColumn="0"/>
          <w:wAfter w:w="33" w:type="dxa"/>
          <w:trHeight w:val="274"/>
        </w:trPr>
        <w:tc>
          <w:tcPr>
            <w:cnfStyle w:val="001000000000" w:firstRow="0" w:lastRow="0" w:firstColumn="1" w:lastColumn="0" w:oddVBand="0" w:evenVBand="0" w:oddHBand="0" w:evenHBand="0" w:firstRowFirstColumn="0" w:firstRowLastColumn="0" w:lastRowFirstColumn="0" w:lastRowLastColumn="0"/>
            <w:tcW w:w="2376" w:type="dxa"/>
            <w:noWrap/>
            <w:hideMark/>
          </w:tcPr>
          <w:p w:rsidR="00DF7DF3" w:rsidRPr="00DF7DF3" w:rsidRDefault="00DF7DF3" w:rsidP="00767D0B">
            <w:pPr>
              <w:jc w:val="center"/>
              <w:rPr>
                <w:rFonts w:ascii="Rotis Sans Serif Std" w:hAnsi="Rotis Sans Serif Std"/>
                <w:b w:val="0"/>
                <w:sz w:val="20"/>
                <w:szCs w:val="20"/>
                <w:lang w:eastAsia="es-ES"/>
              </w:rPr>
            </w:pPr>
            <w:r w:rsidRPr="00DF7DF3">
              <w:rPr>
                <w:rFonts w:ascii="Rotis Sans Serif Std" w:hAnsi="Rotis Sans Serif Std"/>
                <w:b w:val="0"/>
                <w:sz w:val="20"/>
                <w:szCs w:val="20"/>
                <w:lang w:eastAsia="es-ES"/>
              </w:rPr>
              <w:t>Altres motius (formació,  sindicals...)</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3,4</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3,3</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3,3</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3,3</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3,3</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3,3</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3,3</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3,3</w:t>
            </w:r>
          </w:p>
        </w:tc>
        <w:tc>
          <w:tcPr>
            <w:tcW w:w="680" w:type="dxa"/>
            <w:noWrap/>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3,3</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3,3</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3,3</w:t>
            </w:r>
          </w:p>
        </w:tc>
      </w:tr>
      <w:tr w:rsidR="00DF7DF3" w:rsidRPr="00DF7DF3" w:rsidTr="00767D0B">
        <w:trPr>
          <w:gridAfter w:val="1"/>
          <w:wAfter w:w="33" w:type="dxa"/>
          <w:trHeight w:val="274"/>
        </w:trPr>
        <w:tc>
          <w:tcPr>
            <w:cnfStyle w:val="001000000000" w:firstRow="0" w:lastRow="0" w:firstColumn="1" w:lastColumn="0" w:oddVBand="0" w:evenVBand="0" w:oddHBand="0" w:evenHBand="0" w:firstRowFirstColumn="0" w:firstRowLastColumn="0" w:lastRowFirstColumn="0" w:lastRowLastColumn="0"/>
            <w:tcW w:w="2376" w:type="dxa"/>
            <w:noWrap/>
            <w:hideMark/>
          </w:tcPr>
          <w:p w:rsidR="00DF7DF3" w:rsidRPr="00DF7DF3" w:rsidRDefault="00DF7DF3" w:rsidP="00767D0B">
            <w:pPr>
              <w:jc w:val="center"/>
              <w:rPr>
                <w:rFonts w:ascii="Rotis Sans Serif Std" w:hAnsi="Rotis Sans Serif Std"/>
                <w:color w:val="000000"/>
                <w:sz w:val="20"/>
                <w:szCs w:val="20"/>
                <w:lang w:eastAsia="es-ES"/>
              </w:rPr>
            </w:pPr>
            <w:r w:rsidRPr="00DF7DF3">
              <w:rPr>
                <w:rFonts w:ascii="Rotis Sans Serif Std" w:hAnsi="Rotis Sans Serif Std"/>
                <w:sz w:val="20"/>
                <w:szCs w:val="20"/>
                <w:lang w:eastAsia="es-ES"/>
              </w:rPr>
              <w:t xml:space="preserve">Hores no treballades (amb justificació) i no pagades </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19"/>
              </w:rPr>
            </w:pPr>
            <w:r w:rsidRPr="00DF7DF3">
              <w:rPr>
                <w:rFonts w:ascii="Rotis Sans Serif Std" w:hAnsi="Rotis Sans Serif Std"/>
                <w:b/>
                <w:sz w:val="18"/>
                <w:szCs w:val="19"/>
              </w:rPr>
              <w:t>74,5</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19"/>
              </w:rPr>
            </w:pPr>
            <w:r w:rsidRPr="00DF7DF3">
              <w:rPr>
                <w:rFonts w:ascii="Rotis Sans Serif Std" w:hAnsi="Rotis Sans Serif Std"/>
                <w:b/>
                <w:sz w:val="18"/>
                <w:szCs w:val="19"/>
              </w:rPr>
              <w:t>72</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19"/>
              </w:rPr>
            </w:pPr>
            <w:r w:rsidRPr="00DF7DF3">
              <w:rPr>
                <w:rFonts w:ascii="Rotis Sans Serif Std" w:hAnsi="Rotis Sans Serif Std"/>
                <w:b/>
                <w:sz w:val="18"/>
                <w:szCs w:val="19"/>
              </w:rPr>
              <w:t>70,5</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19"/>
              </w:rPr>
            </w:pPr>
            <w:r w:rsidRPr="00DF7DF3">
              <w:rPr>
                <w:rFonts w:ascii="Rotis Sans Serif Std" w:hAnsi="Rotis Sans Serif Std"/>
                <w:b/>
                <w:sz w:val="18"/>
                <w:szCs w:val="19"/>
              </w:rPr>
              <w:t>67,7</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19"/>
              </w:rPr>
            </w:pPr>
            <w:r w:rsidRPr="00DF7DF3">
              <w:rPr>
                <w:rFonts w:ascii="Rotis Sans Serif Std" w:hAnsi="Rotis Sans Serif Std"/>
                <w:b/>
                <w:sz w:val="18"/>
                <w:szCs w:val="19"/>
              </w:rPr>
              <w:t>65,7</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19"/>
              </w:rPr>
            </w:pPr>
            <w:r w:rsidRPr="00DF7DF3">
              <w:rPr>
                <w:rFonts w:ascii="Rotis Sans Serif Std" w:hAnsi="Rotis Sans Serif Std"/>
                <w:b/>
                <w:sz w:val="18"/>
                <w:szCs w:val="19"/>
              </w:rPr>
              <w:t>59,7</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19"/>
              </w:rPr>
            </w:pPr>
            <w:r w:rsidRPr="00DF7DF3">
              <w:rPr>
                <w:rFonts w:ascii="Rotis Sans Serif Std" w:hAnsi="Rotis Sans Serif Std"/>
                <w:b/>
                <w:sz w:val="18"/>
                <w:szCs w:val="19"/>
              </w:rPr>
              <w:t>56,7</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19"/>
              </w:rPr>
            </w:pPr>
            <w:r w:rsidRPr="00DF7DF3">
              <w:rPr>
                <w:rFonts w:ascii="Rotis Sans Serif Std" w:hAnsi="Rotis Sans Serif Std"/>
                <w:b/>
                <w:sz w:val="18"/>
                <w:szCs w:val="19"/>
              </w:rPr>
              <w:t>60</w:t>
            </w:r>
          </w:p>
        </w:tc>
        <w:tc>
          <w:tcPr>
            <w:tcW w:w="680" w:type="dxa"/>
            <w:noWrap/>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19"/>
              </w:rPr>
            </w:pPr>
            <w:r w:rsidRPr="00DF7DF3">
              <w:rPr>
                <w:rFonts w:ascii="Rotis Sans Serif Std" w:hAnsi="Rotis Sans Serif Std"/>
                <w:b/>
                <w:sz w:val="18"/>
                <w:szCs w:val="19"/>
              </w:rPr>
              <w:t>64,5</w:t>
            </w:r>
          </w:p>
        </w:tc>
        <w:tc>
          <w:tcPr>
            <w:tcW w:w="680" w:type="dxa"/>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19"/>
              </w:rPr>
            </w:pPr>
            <w:r w:rsidRPr="00DF7DF3">
              <w:rPr>
                <w:rFonts w:ascii="Rotis Sans Serif Std" w:hAnsi="Rotis Sans Serif Std"/>
                <w:b/>
                <w:sz w:val="18"/>
                <w:szCs w:val="19"/>
              </w:rPr>
              <w:t>66,6</w:t>
            </w:r>
          </w:p>
        </w:tc>
        <w:tc>
          <w:tcPr>
            <w:tcW w:w="680" w:type="dxa"/>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19"/>
              </w:rPr>
            </w:pPr>
            <w:r w:rsidRPr="00DF7DF3">
              <w:rPr>
                <w:rFonts w:ascii="Rotis Sans Serif Std" w:hAnsi="Rotis Sans Serif Std"/>
                <w:b/>
                <w:sz w:val="18"/>
                <w:szCs w:val="19"/>
              </w:rPr>
              <w:t>69,3</w:t>
            </w:r>
          </w:p>
        </w:tc>
      </w:tr>
      <w:tr w:rsidR="00DF7DF3" w:rsidRPr="00DF7DF3" w:rsidTr="00767D0B">
        <w:trPr>
          <w:gridAfter w:val="1"/>
          <w:cnfStyle w:val="000000100000" w:firstRow="0" w:lastRow="0" w:firstColumn="0" w:lastColumn="0" w:oddVBand="0" w:evenVBand="0" w:oddHBand="1" w:evenHBand="0" w:firstRowFirstColumn="0" w:firstRowLastColumn="0" w:lastRowFirstColumn="0" w:lastRowLastColumn="0"/>
          <w:wAfter w:w="33" w:type="dxa"/>
          <w:trHeight w:val="274"/>
        </w:trPr>
        <w:tc>
          <w:tcPr>
            <w:cnfStyle w:val="001000000000" w:firstRow="0" w:lastRow="0" w:firstColumn="1" w:lastColumn="0" w:oddVBand="0" w:evenVBand="0" w:oddHBand="0" w:evenHBand="0" w:firstRowFirstColumn="0" w:firstRowLastColumn="0" w:lastRowFirstColumn="0" w:lastRowLastColumn="0"/>
            <w:tcW w:w="2376" w:type="dxa"/>
            <w:noWrap/>
            <w:hideMark/>
          </w:tcPr>
          <w:p w:rsidR="00DF7DF3" w:rsidRPr="00DF7DF3" w:rsidRDefault="00DF7DF3" w:rsidP="00767D0B">
            <w:pPr>
              <w:jc w:val="center"/>
              <w:rPr>
                <w:rFonts w:ascii="Rotis Sans Serif Std" w:hAnsi="Rotis Sans Serif Std"/>
                <w:b w:val="0"/>
                <w:sz w:val="20"/>
                <w:szCs w:val="20"/>
                <w:lang w:eastAsia="es-ES"/>
              </w:rPr>
            </w:pPr>
            <w:r w:rsidRPr="00DF7DF3">
              <w:rPr>
                <w:rFonts w:ascii="Rotis Sans Serif Std" w:hAnsi="Rotis Sans Serif Std"/>
                <w:b w:val="0"/>
                <w:sz w:val="20"/>
                <w:szCs w:val="20"/>
                <w:lang w:eastAsia="es-ES"/>
              </w:rPr>
              <w:t xml:space="preserve">Incapacitat Temporal </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65,6</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61,2</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58,2</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54,6</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53,1</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45,6</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44,1</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48</w:t>
            </w:r>
          </w:p>
        </w:tc>
        <w:tc>
          <w:tcPr>
            <w:tcW w:w="680" w:type="dxa"/>
            <w:noWrap/>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52,8</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55,8</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58,2</w:t>
            </w:r>
          </w:p>
        </w:tc>
      </w:tr>
      <w:tr w:rsidR="00DF7DF3" w:rsidRPr="00DF7DF3" w:rsidTr="00767D0B">
        <w:trPr>
          <w:gridAfter w:val="1"/>
          <w:wAfter w:w="33" w:type="dxa"/>
          <w:trHeight w:val="274"/>
        </w:trPr>
        <w:tc>
          <w:tcPr>
            <w:cnfStyle w:val="001000000000" w:firstRow="0" w:lastRow="0" w:firstColumn="1" w:lastColumn="0" w:oddVBand="0" w:evenVBand="0" w:oddHBand="0" w:evenHBand="0" w:firstRowFirstColumn="0" w:firstRowLastColumn="0" w:lastRowFirstColumn="0" w:lastRowLastColumn="0"/>
            <w:tcW w:w="2376" w:type="dxa"/>
            <w:noWrap/>
            <w:hideMark/>
          </w:tcPr>
          <w:p w:rsidR="00DF7DF3" w:rsidRPr="00DF7DF3" w:rsidRDefault="00DF7DF3" w:rsidP="00767D0B">
            <w:pPr>
              <w:jc w:val="center"/>
              <w:rPr>
                <w:rFonts w:ascii="Rotis Sans Serif Std" w:hAnsi="Rotis Sans Serif Std"/>
                <w:b w:val="0"/>
                <w:sz w:val="20"/>
                <w:szCs w:val="20"/>
                <w:lang w:eastAsia="es-ES"/>
              </w:rPr>
            </w:pPr>
            <w:r w:rsidRPr="00DF7DF3">
              <w:rPr>
                <w:rFonts w:ascii="Rotis Sans Serif Std" w:hAnsi="Rotis Sans Serif Std"/>
                <w:b w:val="0"/>
                <w:sz w:val="20"/>
                <w:szCs w:val="20"/>
                <w:lang w:eastAsia="es-ES"/>
              </w:rPr>
              <w:t>Maternitat</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8,6</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10,8</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12</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12,6</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12,6</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12,3</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12,3</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12</w:t>
            </w:r>
          </w:p>
        </w:tc>
        <w:tc>
          <w:tcPr>
            <w:tcW w:w="680" w:type="dxa"/>
            <w:noWrap/>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11,7</w:t>
            </w:r>
          </w:p>
        </w:tc>
        <w:tc>
          <w:tcPr>
            <w:tcW w:w="680" w:type="dxa"/>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10,8</w:t>
            </w:r>
          </w:p>
        </w:tc>
        <w:tc>
          <w:tcPr>
            <w:tcW w:w="680" w:type="dxa"/>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11,1</w:t>
            </w:r>
          </w:p>
        </w:tc>
      </w:tr>
      <w:tr w:rsidR="00DF7DF3" w:rsidRPr="00DF7DF3" w:rsidTr="00767D0B">
        <w:trPr>
          <w:gridAfter w:val="1"/>
          <w:cnfStyle w:val="000000100000" w:firstRow="0" w:lastRow="0" w:firstColumn="0" w:lastColumn="0" w:oddVBand="0" w:evenVBand="0" w:oddHBand="1" w:evenHBand="0" w:firstRowFirstColumn="0" w:firstRowLastColumn="0" w:lastRowFirstColumn="0" w:lastRowLastColumn="0"/>
          <w:wAfter w:w="33" w:type="dxa"/>
          <w:trHeight w:val="274"/>
        </w:trPr>
        <w:tc>
          <w:tcPr>
            <w:cnfStyle w:val="001000000000" w:firstRow="0" w:lastRow="0" w:firstColumn="1" w:lastColumn="0" w:oddVBand="0" w:evenVBand="0" w:oddHBand="0" w:evenHBand="0" w:firstRowFirstColumn="0" w:firstRowLastColumn="0" w:lastRowFirstColumn="0" w:lastRowLastColumn="0"/>
            <w:tcW w:w="2376" w:type="dxa"/>
            <w:noWrap/>
            <w:hideMark/>
          </w:tcPr>
          <w:p w:rsidR="00DF7DF3" w:rsidRPr="00DF7DF3" w:rsidRDefault="00DF7DF3" w:rsidP="00767D0B">
            <w:pPr>
              <w:jc w:val="center"/>
              <w:rPr>
                <w:rFonts w:ascii="Rotis Sans Serif Std" w:hAnsi="Rotis Sans Serif Std"/>
                <w:b w:val="0"/>
                <w:sz w:val="20"/>
                <w:szCs w:val="20"/>
                <w:lang w:eastAsia="es-ES"/>
              </w:rPr>
            </w:pPr>
            <w:r w:rsidRPr="00DF7DF3">
              <w:rPr>
                <w:rFonts w:ascii="Rotis Sans Serif Std" w:hAnsi="Rotis Sans Serif Std"/>
                <w:b w:val="0"/>
                <w:sz w:val="20"/>
                <w:szCs w:val="20"/>
                <w:lang w:eastAsia="es-ES"/>
              </w:rPr>
              <w:t xml:space="preserve">Conflictivitat Laboral </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0,3</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0</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0,3</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0,6</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0</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1,8</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0,3</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0</w:t>
            </w:r>
          </w:p>
        </w:tc>
        <w:tc>
          <w:tcPr>
            <w:tcW w:w="680" w:type="dxa"/>
            <w:noWrap/>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0</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0</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18"/>
                <w:szCs w:val="20"/>
              </w:rPr>
            </w:pPr>
            <w:r w:rsidRPr="00DF7DF3">
              <w:rPr>
                <w:rFonts w:ascii="Rotis Sans Serif Std" w:hAnsi="Rotis Sans Serif Std"/>
                <w:sz w:val="18"/>
                <w:szCs w:val="20"/>
              </w:rPr>
              <w:t>0</w:t>
            </w:r>
          </w:p>
        </w:tc>
      </w:tr>
      <w:tr w:rsidR="00DF7DF3" w:rsidRPr="00DF7DF3" w:rsidTr="00767D0B">
        <w:trPr>
          <w:gridAfter w:val="1"/>
          <w:wAfter w:w="33" w:type="dxa"/>
          <w:trHeight w:val="274"/>
        </w:trPr>
        <w:tc>
          <w:tcPr>
            <w:cnfStyle w:val="001000000000" w:firstRow="0" w:lastRow="0" w:firstColumn="1" w:lastColumn="0" w:oddVBand="0" w:evenVBand="0" w:oddHBand="0" w:evenHBand="0" w:firstRowFirstColumn="0" w:firstRowLastColumn="0" w:lastRowFirstColumn="0" w:lastRowLastColumn="0"/>
            <w:tcW w:w="2376" w:type="dxa"/>
            <w:noWrap/>
            <w:hideMark/>
          </w:tcPr>
          <w:p w:rsidR="00DF7DF3" w:rsidRPr="00DF7DF3" w:rsidRDefault="00DF7DF3" w:rsidP="00767D0B">
            <w:pPr>
              <w:jc w:val="center"/>
              <w:rPr>
                <w:rFonts w:ascii="Rotis Sans Serif Std" w:hAnsi="Rotis Sans Serif Std"/>
                <w:color w:val="000000"/>
                <w:sz w:val="20"/>
                <w:szCs w:val="20"/>
                <w:lang w:eastAsia="es-ES"/>
              </w:rPr>
            </w:pPr>
            <w:r w:rsidRPr="00DF7DF3">
              <w:rPr>
                <w:rFonts w:ascii="Rotis Sans Serif Std" w:hAnsi="Rotis Sans Serif Std"/>
                <w:sz w:val="20"/>
                <w:szCs w:val="20"/>
                <w:lang w:eastAsia="es-ES"/>
              </w:rPr>
              <w:t xml:space="preserve">Hores no treballades (sense justificació) i pagades </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1,4</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1,5</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2,1</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2,1</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2,4</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2,4</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2,4</w:t>
            </w:r>
          </w:p>
        </w:tc>
        <w:tc>
          <w:tcPr>
            <w:tcW w:w="680" w:type="dxa"/>
            <w:noWrap/>
            <w:vAlign w:val="center"/>
            <w:hideMark/>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2,4</w:t>
            </w:r>
          </w:p>
        </w:tc>
        <w:tc>
          <w:tcPr>
            <w:tcW w:w="680" w:type="dxa"/>
            <w:noWrap/>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3,3</w:t>
            </w:r>
          </w:p>
        </w:tc>
        <w:tc>
          <w:tcPr>
            <w:tcW w:w="680" w:type="dxa"/>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3,6</w:t>
            </w:r>
          </w:p>
        </w:tc>
        <w:tc>
          <w:tcPr>
            <w:tcW w:w="680" w:type="dxa"/>
            <w:vAlign w:val="center"/>
          </w:tcPr>
          <w:p w:rsidR="00DF7DF3" w:rsidRPr="00DF7DF3" w:rsidRDefault="00DF7DF3" w:rsidP="00767D0B">
            <w:pPr>
              <w:jc w:val="center"/>
              <w:cnfStyle w:val="000000000000" w:firstRow="0" w:lastRow="0" w:firstColumn="0" w:lastColumn="0" w:oddVBand="0" w:evenVBand="0" w:oddHBand="0"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3,3</w:t>
            </w:r>
          </w:p>
        </w:tc>
      </w:tr>
      <w:tr w:rsidR="00DF7DF3" w:rsidRPr="00DF7DF3" w:rsidTr="00767D0B">
        <w:trPr>
          <w:gridAfter w:val="1"/>
          <w:cnfStyle w:val="000000100000" w:firstRow="0" w:lastRow="0" w:firstColumn="0" w:lastColumn="0" w:oddVBand="0" w:evenVBand="0" w:oddHBand="1" w:evenHBand="0" w:firstRowFirstColumn="0" w:firstRowLastColumn="0" w:lastRowFirstColumn="0" w:lastRowLastColumn="0"/>
          <w:wAfter w:w="33" w:type="dxa"/>
          <w:trHeight w:val="274"/>
        </w:trPr>
        <w:tc>
          <w:tcPr>
            <w:cnfStyle w:val="001000000000" w:firstRow="0" w:lastRow="0" w:firstColumn="1" w:lastColumn="0" w:oddVBand="0" w:evenVBand="0" w:oddHBand="0" w:evenHBand="0" w:firstRowFirstColumn="0" w:firstRowLastColumn="0" w:lastRowFirstColumn="0" w:lastRowLastColumn="0"/>
            <w:tcW w:w="2376" w:type="dxa"/>
            <w:noWrap/>
            <w:hideMark/>
          </w:tcPr>
          <w:p w:rsidR="00DF7DF3" w:rsidRPr="00DF7DF3" w:rsidRDefault="00DF7DF3" w:rsidP="00767D0B">
            <w:pPr>
              <w:jc w:val="center"/>
              <w:rPr>
                <w:rFonts w:ascii="Rotis Sans Serif Std" w:hAnsi="Rotis Sans Serif Std"/>
                <w:b w:val="0"/>
                <w:color w:val="000000"/>
                <w:sz w:val="20"/>
                <w:szCs w:val="20"/>
                <w:lang w:eastAsia="es-ES"/>
              </w:rPr>
            </w:pPr>
            <w:r w:rsidRPr="00DF7DF3">
              <w:rPr>
                <w:rFonts w:ascii="Rotis Sans Serif Std" w:hAnsi="Rotis Sans Serif Std"/>
                <w:b w:val="0"/>
                <w:sz w:val="20"/>
                <w:szCs w:val="20"/>
                <w:lang w:eastAsia="es-ES"/>
              </w:rPr>
              <w:t>Absentisme no justificat</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1,4</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1,5</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2,1</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2,1</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2,4</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2,4</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2,4</w:t>
            </w:r>
          </w:p>
        </w:tc>
        <w:tc>
          <w:tcPr>
            <w:tcW w:w="680" w:type="dxa"/>
            <w:noWrap/>
            <w:vAlign w:val="center"/>
            <w:hideMark/>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2,4</w:t>
            </w:r>
          </w:p>
        </w:tc>
        <w:tc>
          <w:tcPr>
            <w:tcW w:w="680" w:type="dxa"/>
            <w:noWrap/>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3,3</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3,6</w:t>
            </w:r>
          </w:p>
        </w:tc>
        <w:tc>
          <w:tcPr>
            <w:tcW w:w="680" w:type="dxa"/>
            <w:vAlign w:val="center"/>
          </w:tcPr>
          <w:p w:rsidR="00DF7DF3" w:rsidRPr="00DF7DF3" w:rsidRDefault="00DF7DF3" w:rsidP="00767D0B">
            <w:pPr>
              <w:jc w:val="center"/>
              <w:cnfStyle w:val="000000100000" w:firstRow="0" w:lastRow="0" w:firstColumn="0" w:lastColumn="0" w:oddVBand="0" w:evenVBand="0" w:oddHBand="1" w:evenHBand="0" w:firstRowFirstColumn="0" w:firstRowLastColumn="0" w:lastRowFirstColumn="0" w:lastRowLastColumn="0"/>
              <w:rPr>
                <w:rFonts w:ascii="Rotis Sans Serif Std" w:hAnsi="Rotis Sans Serif Std"/>
                <w:b/>
                <w:sz w:val="18"/>
                <w:szCs w:val="20"/>
              </w:rPr>
            </w:pPr>
            <w:r w:rsidRPr="00DF7DF3">
              <w:rPr>
                <w:rFonts w:ascii="Rotis Sans Serif Std" w:hAnsi="Rotis Sans Serif Std"/>
                <w:b/>
                <w:sz w:val="18"/>
                <w:szCs w:val="20"/>
              </w:rPr>
              <w:t>3,3</w:t>
            </w:r>
          </w:p>
        </w:tc>
      </w:tr>
    </w:tbl>
    <w:p w:rsidR="00DF7DF3" w:rsidRPr="00EC60D6" w:rsidRDefault="00DF7DF3" w:rsidP="00DF7DF3">
      <w:pPr>
        <w:ind w:left="360"/>
        <w:jc w:val="center"/>
        <w:rPr>
          <w:rFonts w:ascii="Rotis Sans Serif Std" w:eastAsiaTheme="minorHAnsi" w:hAnsi="Rotis Sans Serif Std" w:cstheme="minorBidi"/>
          <w:sz w:val="20"/>
        </w:rPr>
      </w:pPr>
      <w:r w:rsidRPr="00EC60D6">
        <w:rPr>
          <w:rFonts w:ascii="Rotis Sans Serif Std" w:eastAsiaTheme="minorHAnsi" w:hAnsi="Rotis Sans Serif Std" w:cstheme="minorBidi"/>
          <w:sz w:val="20"/>
        </w:rPr>
        <w:t xml:space="preserve">Font: Elaboració pròpia a partir </w:t>
      </w:r>
      <w:r>
        <w:rPr>
          <w:rFonts w:ascii="Rotis Sans Serif Std" w:eastAsiaTheme="minorHAnsi" w:hAnsi="Rotis Sans Serif Std" w:cstheme="minorBidi"/>
          <w:sz w:val="20"/>
        </w:rPr>
        <w:t>de les dades de l’</w:t>
      </w:r>
      <w:r w:rsidRPr="00EC60D6">
        <w:rPr>
          <w:rFonts w:ascii="Rotis Sans Serif Std" w:eastAsiaTheme="minorHAnsi" w:hAnsi="Rotis Sans Serif Std" w:cstheme="minorBidi"/>
          <w:sz w:val="20"/>
        </w:rPr>
        <w:t>INE.</w:t>
      </w:r>
    </w:p>
    <w:p w:rsidR="00DF7DF3" w:rsidRPr="00F30E6D" w:rsidRDefault="00DF7DF3" w:rsidP="00DF7DF3">
      <w:pPr>
        <w:ind w:left="360"/>
        <w:rPr>
          <w:rFonts w:ascii="Rotis Sans Serif Std" w:eastAsiaTheme="minorHAnsi" w:hAnsi="Rotis Sans Serif Std" w:cstheme="minorBidi"/>
          <w:color w:val="C1002B"/>
          <w:sz w:val="22"/>
        </w:rPr>
      </w:pPr>
    </w:p>
    <w:p w:rsidR="00DF7DF3" w:rsidRPr="00EC60D6" w:rsidRDefault="00DF7DF3" w:rsidP="00DF7DF3">
      <w:pPr>
        <w:jc w:val="both"/>
        <w:rPr>
          <w:rFonts w:ascii="Rotis Sans Serif Std" w:hAnsi="Rotis Sans Serif Std" w:cs="RotisSansSerifStd-Regular"/>
          <w:color w:val="5E6061"/>
          <w:lang w:eastAsia="es-ES_tradnl"/>
        </w:rPr>
      </w:pPr>
      <w:r w:rsidRPr="00EC60D6">
        <w:rPr>
          <w:rFonts w:ascii="Rotis Sans Serif Std" w:hAnsi="Rotis Sans Serif Std" w:cs="RotisSansSerifStd-Regular"/>
          <w:color w:val="5E6061"/>
          <w:lang w:eastAsia="es-ES_tradnl"/>
        </w:rPr>
        <w:t>En 201</w:t>
      </w:r>
      <w:r>
        <w:rPr>
          <w:rFonts w:ascii="Rotis Sans Serif Std" w:hAnsi="Rotis Sans Serif Std" w:cs="RotisSansSerifStd-Regular"/>
          <w:color w:val="5E6061"/>
          <w:lang w:eastAsia="es-ES_tradnl"/>
        </w:rPr>
        <w:t>7, de les 256 hores no treballades, 184</w:t>
      </w:r>
      <w:r w:rsidRPr="00EC60D6">
        <w:rPr>
          <w:rFonts w:ascii="Rotis Sans Serif Std" w:hAnsi="Rotis Sans Serif Std" w:cs="RotisSansSerifStd-Regular"/>
          <w:color w:val="5E6061"/>
          <w:lang w:eastAsia="es-ES_tradnl"/>
        </w:rPr>
        <w:t xml:space="preserve"> hores corresponen a vacances, permisos, formació i repr</w:t>
      </w:r>
      <w:r>
        <w:rPr>
          <w:rFonts w:ascii="Rotis Sans Serif Std" w:hAnsi="Rotis Sans Serif Std" w:cs="RotisSansSerifStd-Regular"/>
          <w:color w:val="5E6061"/>
          <w:lang w:eastAsia="es-ES_tradnl"/>
        </w:rPr>
        <w:t xml:space="preserve">esentació sindical. 69,3 </w:t>
      </w:r>
      <w:r w:rsidRPr="00EC60D6">
        <w:rPr>
          <w:rFonts w:ascii="Rotis Sans Serif Std" w:hAnsi="Rotis Sans Serif Std" w:cs="RotisSansSerifStd-Regular"/>
          <w:color w:val="5E6061"/>
          <w:lang w:eastAsia="es-ES_tradnl"/>
        </w:rPr>
        <w:t>hores són les relatives a la</w:t>
      </w:r>
      <w:r>
        <w:rPr>
          <w:rFonts w:ascii="Rotis Sans Serif Std" w:hAnsi="Rotis Sans Serif Std" w:cs="RotisSansSerifStd-Regular"/>
          <w:color w:val="5E6061"/>
          <w:lang w:eastAsia="es-ES_tradnl"/>
        </w:rPr>
        <w:t xml:space="preserve"> IT</w:t>
      </w:r>
      <w:r w:rsidRPr="00EC60D6">
        <w:rPr>
          <w:rFonts w:ascii="Rotis Sans Serif Std" w:hAnsi="Rotis Sans Serif Std" w:cs="RotisSansSerifStd-Regular"/>
          <w:color w:val="5E6061"/>
          <w:lang w:eastAsia="es-ES_tradnl"/>
        </w:rPr>
        <w:t xml:space="preserve">, maternitat i conflictivitat laboral, </w:t>
      </w:r>
      <w:r w:rsidR="00972EC4">
        <w:rPr>
          <w:rFonts w:ascii="Rotis Sans Serif Std" w:hAnsi="Rotis Sans Serif Std" w:cs="RotisSansSerifStd-Regular"/>
          <w:color w:val="5E6061"/>
          <w:lang w:eastAsia="es-ES_tradnl"/>
        </w:rPr>
        <w:t xml:space="preserve">i </w:t>
      </w:r>
      <w:r>
        <w:rPr>
          <w:rFonts w:ascii="Rotis Sans Serif Std" w:hAnsi="Rotis Sans Serif Std" w:cs="RotisSansSerifStd-Regular"/>
          <w:color w:val="5E6061"/>
          <w:lang w:eastAsia="es-ES_tradnl"/>
        </w:rPr>
        <w:t>3,3</w:t>
      </w:r>
      <w:r w:rsidRPr="00EC60D6">
        <w:rPr>
          <w:rFonts w:ascii="Rotis Sans Serif Std" w:hAnsi="Rotis Sans Serif Std" w:cs="RotisSansSerifStd-Regular"/>
          <w:color w:val="5E6061"/>
          <w:lang w:eastAsia="es-ES_tradnl"/>
        </w:rPr>
        <w:t xml:space="preserve"> hores són absentisme no justificat, i corresponen a diverses causes </w:t>
      </w:r>
      <w:r>
        <w:rPr>
          <w:rFonts w:ascii="Rotis Sans Serif Std" w:hAnsi="Rotis Sans Serif Std" w:cs="RotisSansSerifStd-Regular"/>
          <w:color w:val="5E6061"/>
          <w:lang w:eastAsia="es-ES_tradnl"/>
        </w:rPr>
        <w:t>que podrien evitar-se o reduir-se</w:t>
      </w:r>
      <w:r w:rsidRPr="00EC60D6">
        <w:rPr>
          <w:rFonts w:ascii="Rotis Sans Serif Std" w:hAnsi="Rotis Sans Serif Std" w:cs="RotisSansSerifStd-Regular"/>
          <w:color w:val="5E6061"/>
          <w:lang w:eastAsia="es-ES_tradnl"/>
        </w:rPr>
        <w:t xml:space="preserve"> amb un major control per part de l'empresa. </w:t>
      </w:r>
    </w:p>
    <w:p w:rsidR="00DF7DF3" w:rsidRPr="00EC60D6" w:rsidRDefault="00DF7DF3" w:rsidP="00DF7DF3">
      <w:pPr>
        <w:ind w:left="360"/>
        <w:jc w:val="both"/>
        <w:rPr>
          <w:rFonts w:ascii="Rotis Sans Serif Std" w:hAnsi="Rotis Sans Serif Std" w:cs="RotisSansSerifStd-Regular"/>
          <w:color w:val="5E6061"/>
          <w:lang w:eastAsia="es-ES_tradnl"/>
        </w:rPr>
      </w:pPr>
    </w:p>
    <w:p w:rsidR="00DF7DF3" w:rsidRDefault="00DF7DF3" w:rsidP="00DF7DF3">
      <w:pPr>
        <w:jc w:val="both"/>
        <w:rPr>
          <w:rFonts w:ascii="Rotis Sans Serif Std" w:hAnsi="Rotis Sans Serif Std" w:cs="RotisSansSerifStd-Regular"/>
          <w:color w:val="5E6061"/>
          <w:lang w:eastAsia="es-ES_tradnl"/>
        </w:rPr>
      </w:pPr>
      <w:r w:rsidRPr="00EC60D6">
        <w:rPr>
          <w:rFonts w:ascii="Rotis Sans Serif Std" w:hAnsi="Rotis Sans Serif Std" w:cs="RotisSansSerifStd-Regular"/>
          <w:color w:val="5E6061"/>
          <w:lang w:eastAsia="es-ES_tradnl"/>
        </w:rPr>
        <w:t>Respecte a l'evolució temporal, les baixes per IT experimenten una forta reducció entre 2008 i 2013, amb una baixada ac</w:t>
      </w:r>
      <w:r>
        <w:rPr>
          <w:rFonts w:ascii="Rotis Sans Serif Std" w:hAnsi="Rotis Sans Serif Std" w:cs="RotisSansSerifStd-Regular"/>
          <w:color w:val="5E6061"/>
          <w:lang w:eastAsia="es-ES_tradnl"/>
        </w:rPr>
        <w:t>umulada en aquests anys del 33,8</w:t>
      </w:r>
      <w:r w:rsidRPr="00EC60D6">
        <w:rPr>
          <w:rFonts w:ascii="Rotis Sans Serif Std" w:hAnsi="Rotis Sans Serif Std" w:cs="RotisSansSerifStd-Regular"/>
          <w:color w:val="5E6061"/>
          <w:lang w:eastAsia="es-ES_tradnl"/>
        </w:rPr>
        <w:t xml:space="preserve">%, </w:t>
      </w:r>
      <w:r>
        <w:rPr>
          <w:rFonts w:ascii="Rotis Sans Serif Std" w:hAnsi="Rotis Sans Serif Std" w:cs="RotisSansSerifStd-Regular"/>
          <w:color w:val="5E6061"/>
          <w:lang w:eastAsia="es-ES_tradnl"/>
        </w:rPr>
        <w:t>mentre que</w:t>
      </w:r>
      <w:r w:rsidRPr="00EC60D6">
        <w:rPr>
          <w:rFonts w:ascii="Rotis Sans Serif Std" w:hAnsi="Rotis Sans Serif Std" w:cs="RotisSansSerifStd-Regular"/>
          <w:color w:val="5E6061"/>
          <w:lang w:eastAsia="es-ES_tradnl"/>
        </w:rPr>
        <w:t xml:space="preserve"> entre </w:t>
      </w:r>
      <w:r>
        <w:rPr>
          <w:rFonts w:ascii="Rotis Sans Serif Std" w:hAnsi="Rotis Sans Serif Std" w:cs="RotisSansSerifStd-Regular"/>
          <w:color w:val="5E6061"/>
          <w:lang w:eastAsia="es-ES_tradnl"/>
        </w:rPr>
        <w:t xml:space="preserve">2013-2017 </w:t>
      </w:r>
      <w:r w:rsidR="00972EC4">
        <w:rPr>
          <w:rFonts w:ascii="Rotis Sans Serif Std" w:hAnsi="Rotis Sans Serif Std" w:cs="RotisSansSerifStd-Regular"/>
          <w:color w:val="5E6061"/>
          <w:lang w:eastAsia="es-ES_tradnl"/>
        </w:rPr>
        <w:t>pugen</w:t>
      </w:r>
      <w:r>
        <w:rPr>
          <w:rFonts w:ascii="Rotis Sans Serif Std" w:hAnsi="Rotis Sans Serif Std" w:cs="RotisSansSerifStd-Regular"/>
          <w:color w:val="5E6061"/>
          <w:lang w:eastAsia="es-ES_tradnl"/>
        </w:rPr>
        <w:t xml:space="preserve"> un 32%.</w:t>
      </w:r>
      <w:r w:rsidRPr="00EC60D6">
        <w:rPr>
          <w:rFonts w:ascii="Rotis Sans Serif Std" w:hAnsi="Rotis Sans Serif Std" w:cs="RotisSansSerifStd-Regular"/>
          <w:color w:val="5E6061"/>
          <w:lang w:eastAsia="es-ES_tradnl"/>
        </w:rPr>
        <w:t xml:space="preserve"> </w:t>
      </w:r>
    </w:p>
    <w:p w:rsidR="00F30E6D" w:rsidRPr="00EC60D6" w:rsidRDefault="00F30E6D" w:rsidP="00DF7DF3">
      <w:pPr>
        <w:jc w:val="both"/>
        <w:rPr>
          <w:rFonts w:ascii="Rotis Sans Serif Std" w:hAnsi="Rotis Sans Serif Std" w:cs="RotisSansSerifStd-Regular"/>
          <w:color w:val="5E6061"/>
          <w:lang w:eastAsia="es-ES_tradnl"/>
        </w:rPr>
      </w:pPr>
    </w:p>
    <w:p w:rsidR="00DF7DF3" w:rsidRPr="00EC60D6" w:rsidRDefault="00DF7DF3" w:rsidP="00DF7DF3">
      <w:pPr>
        <w:ind w:left="360"/>
        <w:jc w:val="center"/>
        <w:rPr>
          <w:rFonts w:ascii="Rotis Sans Serif Std" w:eastAsiaTheme="minorHAnsi" w:hAnsi="Rotis Sans Serif Std" w:cstheme="minorBidi"/>
          <w:b/>
          <w:color w:val="C1002B"/>
        </w:rPr>
      </w:pPr>
      <w:r>
        <w:rPr>
          <w:noProof/>
          <w:lang w:val="es-ES" w:eastAsia="es-ES"/>
        </w:rPr>
        <w:drawing>
          <wp:inline distT="0" distB="0" distL="0" distR="0" wp14:anchorId="07794C71" wp14:editId="53765202">
            <wp:extent cx="4477110" cy="2035834"/>
            <wp:effectExtent l="0" t="0" r="19050" b="2159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DF7DF3" w:rsidRDefault="00DF7DF3" w:rsidP="00DF7DF3">
      <w:pPr>
        <w:ind w:left="360"/>
        <w:jc w:val="center"/>
        <w:rPr>
          <w:rFonts w:ascii="Rotis Sans Serif Std" w:eastAsiaTheme="minorHAnsi" w:hAnsi="Rotis Sans Serif Std" w:cstheme="minorBidi"/>
          <w:sz w:val="18"/>
        </w:rPr>
      </w:pPr>
      <w:r w:rsidRPr="00F30E6D">
        <w:rPr>
          <w:rFonts w:ascii="Rotis Sans Serif Std" w:eastAsiaTheme="minorHAnsi" w:hAnsi="Rotis Sans Serif Std" w:cstheme="minorBidi"/>
          <w:sz w:val="18"/>
        </w:rPr>
        <w:t>Font: Elaboració pròpia a partir de les dades de l’ETCL. INE</w:t>
      </w:r>
    </w:p>
    <w:p w:rsidR="007A46A8" w:rsidRDefault="007A46A8" w:rsidP="00DF7DF3">
      <w:pPr>
        <w:ind w:left="360"/>
        <w:jc w:val="center"/>
        <w:rPr>
          <w:rFonts w:ascii="Rotis Sans Serif Std" w:eastAsiaTheme="minorHAnsi" w:hAnsi="Rotis Sans Serif Std" w:cstheme="minorBidi"/>
          <w:sz w:val="18"/>
        </w:rPr>
      </w:pPr>
    </w:p>
    <w:p w:rsidR="007A46A8" w:rsidRDefault="007A46A8" w:rsidP="00DF7DF3">
      <w:pPr>
        <w:ind w:left="360"/>
        <w:jc w:val="center"/>
        <w:rPr>
          <w:rFonts w:ascii="Rotis Sans Serif Std" w:eastAsiaTheme="minorHAnsi" w:hAnsi="Rotis Sans Serif Std" w:cstheme="minorBidi"/>
          <w:sz w:val="18"/>
        </w:rPr>
      </w:pPr>
    </w:p>
    <w:p w:rsidR="00972EC4" w:rsidRDefault="00972EC4" w:rsidP="00DF7DF3">
      <w:pPr>
        <w:ind w:left="360"/>
        <w:jc w:val="center"/>
        <w:rPr>
          <w:rFonts w:ascii="Rotis Sans Serif Std" w:eastAsiaTheme="minorHAnsi" w:hAnsi="Rotis Sans Serif Std" w:cstheme="minorBidi"/>
          <w:sz w:val="18"/>
        </w:rPr>
      </w:pPr>
    </w:p>
    <w:p w:rsidR="00972EC4" w:rsidRDefault="00972EC4" w:rsidP="00DF7DF3">
      <w:pPr>
        <w:ind w:left="360"/>
        <w:jc w:val="center"/>
        <w:rPr>
          <w:rFonts w:ascii="Rotis Sans Serif Std" w:eastAsiaTheme="minorHAnsi" w:hAnsi="Rotis Sans Serif Std" w:cstheme="minorBidi"/>
          <w:sz w:val="18"/>
        </w:rPr>
      </w:pPr>
    </w:p>
    <w:p w:rsidR="007A46A8" w:rsidRPr="00F30E6D" w:rsidRDefault="007A46A8" w:rsidP="00DF7DF3">
      <w:pPr>
        <w:ind w:left="360"/>
        <w:jc w:val="center"/>
        <w:rPr>
          <w:rFonts w:ascii="Rotis Sans Serif Std" w:eastAsiaTheme="minorHAnsi" w:hAnsi="Rotis Sans Serif Std" w:cstheme="minorBidi"/>
          <w:sz w:val="18"/>
        </w:rPr>
      </w:pPr>
    </w:p>
    <w:p w:rsidR="00495A7C" w:rsidRPr="003F2D9D" w:rsidRDefault="003F2D9D" w:rsidP="00824804">
      <w:pPr>
        <w:autoSpaceDE w:val="0"/>
        <w:autoSpaceDN w:val="0"/>
        <w:adjustRightInd w:val="0"/>
        <w:jc w:val="both"/>
        <w:rPr>
          <w:rFonts w:ascii="Rotis Sans Serif Std" w:hAnsi="Rotis Sans Serif Std"/>
          <w:b/>
          <w:color w:val="C1002B"/>
        </w:rPr>
      </w:pPr>
      <w:r w:rsidRPr="003F2D9D">
        <w:rPr>
          <w:rFonts w:ascii="Rotis Sans Serif Std" w:hAnsi="Rotis Sans Serif Std"/>
          <w:b/>
          <w:color w:val="C1002B"/>
        </w:rPr>
        <w:t xml:space="preserve">2.7.1. </w:t>
      </w:r>
      <w:r w:rsidR="00972EC4">
        <w:rPr>
          <w:rFonts w:ascii="Rotis Sans Serif Std" w:hAnsi="Rotis Sans Serif Std"/>
          <w:b/>
          <w:color w:val="C1002B"/>
        </w:rPr>
        <w:t>El temps de treball a la n</w:t>
      </w:r>
      <w:r w:rsidRPr="003F2D9D">
        <w:rPr>
          <w:rFonts w:ascii="Rotis Sans Serif Std" w:hAnsi="Rotis Sans Serif Std"/>
          <w:b/>
          <w:color w:val="C1002B"/>
        </w:rPr>
        <w:t>egociació col·lectiva</w:t>
      </w:r>
    </w:p>
    <w:p w:rsidR="00824804" w:rsidRDefault="00824804" w:rsidP="00824804">
      <w:pPr>
        <w:pStyle w:val="HTMLconformatoprevio"/>
        <w:jc w:val="both"/>
        <w:rPr>
          <w:rFonts w:ascii="Rotis Sans Serif Std" w:hAnsi="Rotis Sans Serif Std" w:cs="RotisSansSerifStd-Regular"/>
          <w:color w:val="5E6061"/>
          <w:sz w:val="24"/>
          <w:szCs w:val="24"/>
          <w:lang w:val="ca-ES" w:eastAsia="es-ES_tradnl"/>
        </w:rPr>
      </w:pPr>
    </w:p>
    <w:p w:rsidR="00DF7DF3" w:rsidRPr="0086140C" w:rsidRDefault="00DF7DF3" w:rsidP="00DF7DF3">
      <w:pPr>
        <w:jc w:val="both"/>
        <w:rPr>
          <w:rFonts w:ascii="Rotis Sans Serif Std" w:hAnsi="Rotis Sans Serif Std" w:cs="RotisSansSerifStd-Regular"/>
          <w:color w:val="5E6061"/>
          <w:lang w:eastAsia="es-ES_tradnl"/>
        </w:rPr>
      </w:pPr>
      <w:r w:rsidRPr="0086140C">
        <w:rPr>
          <w:rFonts w:ascii="Rotis Sans Serif Std" w:hAnsi="Rotis Sans Serif Std" w:cs="RotisSansSerifStd-Regular"/>
          <w:color w:val="5E6061"/>
          <w:lang w:eastAsia="es-ES_tradnl"/>
        </w:rPr>
        <w:t>A Foment del Treball Nacional hem elaborat un estudi de la negociació col·lectiva, en el que s’analitza la regulació de diferents matèries en la negociació col·lectiva. Concretament s’han analitzat la totalitat dels Convenis Col·lectius sectorials que són d’aplicació a Catalunya.</w:t>
      </w:r>
    </w:p>
    <w:p w:rsidR="00DF7DF3" w:rsidRPr="0086140C" w:rsidRDefault="00DF7DF3" w:rsidP="00DF7DF3">
      <w:pPr>
        <w:jc w:val="both"/>
        <w:rPr>
          <w:rFonts w:ascii="Rotis Sans Serif Std" w:hAnsi="Rotis Sans Serif Std" w:cs="RotisSansSerifStd-Regular"/>
          <w:color w:val="5E6061"/>
          <w:lang w:eastAsia="es-ES_tradnl"/>
        </w:rPr>
      </w:pPr>
    </w:p>
    <w:p w:rsidR="00DF7DF3" w:rsidRPr="0086140C" w:rsidRDefault="00DF7DF3" w:rsidP="00DF7DF3">
      <w:pPr>
        <w:jc w:val="both"/>
        <w:rPr>
          <w:rFonts w:ascii="Rotis Sans Serif Std" w:hAnsi="Rotis Sans Serif Std" w:cs="RotisSansSerifStd-Regular"/>
          <w:color w:val="5E6061"/>
          <w:lang w:eastAsia="es-ES_tradnl"/>
        </w:rPr>
      </w:pPr>
      <w:r w:rsidRPr="0086140C">
        <w:rPr>
          <w:rFonts w:ascii="Rotis Sans Serif Std" w:hAnsi="Rotis Sans Serif Std" w:cs="RotisSansSerifStd-Regular"/>
          <w:color w:val="5E6061"/>
          <w:lang w:eastAsia="es-ES_tradnl"/>
        </w:rPr>
        <w:t xml:space="preserve">A continuació es mostren els resultats de l’apartat relatiu a la Jornada Laboral, en el </w:t>
      </w:r>
      <w:r w:rsidR="00A51220">
        <w:rPr>
          <w:rFonts w:ascii="Rotis Sans Serif Std" w:hAnsi="Rotis Sans Serif Std" w:cs="RotisSansSerifStd-Regular"/>
          <w:color w:val="5E6061"/>
          <w:lang w:eastAsia="es-ES_tradnl"/>
        </w:rPr>
        <w:t xml:space="preserve">que </w:t>
      </w:r>
      <w:r w:rsidRPr="0086140C">
        <w:rPr>
          <w:rFonts w:ascii="Rotis Sans Serif Std" w:hAnsi="Rotis Sans Serif Std" w:cs="RotisSansSerifStd-Regular"/>
          <w:color w:val="5E6061"/>
          <w:lang w:eastAsia="es-ES_tradnl"/>
        </w:rPr>
        <w:t>s’observen dades de la regulació del temps de treball, la seva distribució, els seus límits i la regulació de les hores extraordinàries</w:t>
      </w:r>
      <w:r w:rsidR="00F30E6D">
        <w:rPr>
          <w:rStyle w:val="Refdenotaalpie"/>
          <w:rFonts w:ascii="Rotis Sans Serif Std" w:hAnsi="Rotis Sans Serif Std"/>
          <w:color w:val="5E6061"/>
          <w:lang w:eastAsia="es-ES_tradnl"/>
        </w:rPr>
        <w:footnoteReference w:id="17"/>
      </w:r>
      <w:r w:rsidRPr="0086140C">
        <w:rPr>
          <w:rFonts w:ascii="Rotis Sans Serif Std" w:hAnsi="Rotis Sans Serif Std" w:cs="RotisSansSerifStd-Regular"/>
          <w:color w:val="5E6061"/>
          <w:lang w:eastAsia="es-ES_tradnl"/>
        </w:rPr>
        <w:t xml:space="preserve">. </w:t>
      </w:r>
    </w:p>
    <w:p w:rsidR="00DF7DF3" w:rsidRPr="0086140C" w:rsidRDefault="00DF7DF3" w:rsidP="00DF7DF3">
      <w:pPr>
        <w:pStyle w:val="TEXTBOLD"/>
        <w:spacing w:line="276" w:lineRule="auto"/>
        <w:rPr>
          <w:b w:val="0"/>
          <w:color w:val="FF0000"/>
          <w:sz w:val="24"/>
          <w:szCs w:val="24"/>
          <w:lang w:val="ca-ES"/>
        </w:rPr>
      </w:pPr>
    </w:p>
    <w:p w:rsidR="00DF7DF3" w:rsidRPr="0086140C" w:rsidRDefault="00DF7DF3" w:rsidP="00DF7DF3">
      <w:pPr>
        <w:pStyle w:val="TEXTBOLD"/>
        <w:spacing w:line="276" w:lineRule="auto"/>
        <w:rPr>
          <w:b w:val="0"/>
          <w:color w:val="FF0000"/>
          <w:sz w:val="24"/>
          <w:szCs w:val="24"/>
          <w:lang w:val="ca-ES"/>
        </w:rPr>
      </w:pPr>
      <w:r w:rsidRPr="0086140C">
        <w:rPr>
          <w:b w:val="0"/>
          <w:sz w:val="24"/>
          <w:szCs w:val="24"/>
          <w:lang w:val="ca-ES"/>
        </w:rPr>
        <w:t xml:space="preserve">En matèria de temps de treball, l’art. 34 de l’Estatut dels Treballadors estableix que serà en la negociació col·lectiva o en els contractes de treball on es pactarà la jornada de treball, la qual es podrà delimitar amb </w:t>
      </w:r>
      <w:r w:rsidRPr="0086140C">
        <w:rPr>
          <w:sz w:val="24"/>
          <w:szCs w:val="24"/>
          <w:u w:val="single"/>
          <w:lang w:val="ca-ES"/>
        </w:rPr>
        <w:t>caràcter anual, mensual, setmanal o diari.</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rPr>
          <w:b w:val="0"/>
          <w:sz w:val="24"/>
          <w:szCs w:val="24"/>
          <w:lang w:val="ca-ES"/>
        </w:rPr>
      </w:pPr>
      <w:r w:rsidRPr="0086140C">
        <w:rPr>
          <w:b w:val="0"/>
          <w:sz w:val="24"/>
          <w:szCs w:val="24"/>
          <w:lang w:val="ca-ES"/>
        </w:rPr>
        <w:t xml:space="preserve">Del total de Convenis analitzats, 45,21% pacten exclusivament la jornada en mòdul anual, 7,31% en mòdul setmanal i el 44,29%  el doble mòdul setmanal/anual. Dels Convenis que fixen el mòdul anual, el 24,20% són d’àmbit estatal, 7,76% autonòmics i el 13,24% provincials. En relació als Convenis que estableixen la distribució setmanal, 2,74% són estatals, el 0,91% són autonòmics i el 3,65% provincial. Per últim, els que estableixen el doble mòdul el 19,18% són estatals, el 7,31% autonòmics i el 17,81 % provincials. </w:t>
      </w:r>
    </w:p>
    <w:p w:rsidR="00DF7DF3" w:rsidRPr="0086140C" w:rsidRDefault="00DF7DF3" w:rsidP="00DF7DF3">
      <w:pPr>
        <w:pStyle w:val="TEXTBOLD"/>
        <w:spacing w:line="276" w:lineRule="auto"/>
        <w:rPr>
          <w:b w:val="0"/>
          <w:sz w:val="24"/>
          <w:szCs w:val="24"/>
          <w:lang w:val="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701"/>
        <w:gridCol w:w="701"/>
        <w:gridCol w:w="599"/>
        <w:gridCol w:w="710"/>
        <w:gridCol w:w="701"/>
        <w:gridCol w:w="701"/>
        <w:gridCol w:w="701"/>
        <w:gridCol w:w="701"/>
      </w:tblGrid>
      <w:tr w:rsidR="00DF7DF3" w:rsidRPr="00DF7DF3" w:rsidTr="00DF7DF3">
        <w:trPr>
          <w:jc w:val="center"/>
        </w:trPr>
        <w:tc>
          <w:tcPr>
            <w:tcW w:w="0" w:type="auto"/>
            <w:vMerge w:val="restart"/>
            <w:tcBorders>
              <w:top w:val="nil"/>
              <w:left w:val="nil"/>
              <w:right w:val="single" w:sz="2" w:space="0" w:color="FFFFFF"/>
            </w:tcBorders>
            <w:shd w:val="clear" w:color="auto" w:fill="C00000"/>
            <w:vAlign w:val="center"/>
          </w:tcPr>
          <w:p w:rsidR="00DF7DF3" w:rsidRPr="00DF7DF3" w:rsidRDefault="00DF7DF3" w:rsidP="00767D0B">
            <w:pPr>
              <w:pStyle w:val="TEXTBOLD"/>
              <w:spacing w:line="276" w:lineRule="auto"/>
              <w:jc w:val="center"/>
              <w:rPr>
                <w:rFonts w:cs="Times New Roman"/>
                <w:b w:val="0"/>
                <w:color w:val="FFFFFF"/>
                <w:lang w:val="ca-ES" w:eastAsia="es-ES"/>
              </w:rPr>
            </w:pPr>
            <w:r w:rsidRPr="00DF7DF3">
              <w:rPr>
                <w:rFonts w:cs="Times New Roman"/>
                <w:b w:val="0"/>
                <w:color w:val="FFFFFF"/>
                <w:lang w:val="ca-ES" w:eastAsia="es-ES"/>
              </w:rPr>
              <w:t>TEMPS DE TEBALL</w:t>
            </w:r>
          </w:p>
        </w:tc>
        <w:tc>
          <w:tcPr>
            <w:tcW w:w="0" w:type="auto"/>
            <w:gridSpan w:val="2"/>
            <w:tcBorders>
              <w:top w:val="nil"/>
              <w:left w:val="single" w:sz="2" w:space="0" w:color="FFFFFF"/>
              <w:bottom w:val="single" w:sz="24" w:space="0" w:color="FFFFFF"/>
              <w:right w:val="single" w:sz="2" w:space="0" w:color="FFFFFF"/>
            </w:tcBorders>
            <w:shd w:val="clear" w:color="auto" w:fill="C00000"/>
            <w:vAlign w:val="center"/>
          </w:tcPr>
          <w:p w:rsidR="00DF7DF3" w:rsidRPr="00DF7DF3" w:rsidRDefault="00DF7DF3" w:rsidP="00767D0B">
            <w:pPr>
              <w:pStyle w:val="TEXTBOLD"/>
              <w:spacing w:line="276" w:lineRule="auto"/>
              <w:jc w:val="center"/>
              <w:rPr>
                <w:rFonts w:cs="Times New Roman"/>
                <w:b w:val="0"/>
                <w:color w:val="FFFFFF"/>
                <w:lang w:val="ca-ES" w:eastAsia="es-ES"/>
              </w:rPr>
            </w:pPr>
            <w:r w:rsidRPr="00DF7DF3">
              <w:rPr>
                <w:rFonts w:cs="Times New Roman"/>
                <w:b w:val="0"/>
                <w:color w:val="FFFFFF"/>
                <w:lang w:val="ca-ES" w:eastAsia="es-ES"/>
              </w:rPr>
              <w:t>ESTATAL</w:t>
            </w:r>
          </w:p>
        </w:tc>
        <w:tc>
          <w:tcPr>
            <w:tcW w:w="0" w:type="auto"/>
            <w:gridSpan w:val="2"/>
            <w:tcBorders>
              <w:top w:val="nil"/>
              <w:left w:val="single" w:sz="2" w:space="0" w:color="FFFFFF"/>
              <w:bottom w:val="single" w:sz="24" w:space="0" w:color="FFFFFF"/>
              <w:right w:val="single" w:sz="2" w:space="0" w:color="FFFFFF"/>
            </w:tcBorders>
            <w:shd w:val="clear" w:color="auto" w:fill="C00000"/>
            <w:vAlign w:val="center"/>
          </w:tcPr>
          <w:p w:rsidR="00DF7DF3" w:rsidRPr="00DF7DF3" w:rsidRDefault="00DF7DF3" w:rsidP="00767D0B">
            <w:pPr>
              <w:pStyle w:val="TEXTBOLD"/>
              <w:spacing w:line="276" w:lineRule="auto"/>
              <w:jc w:val="center"/>
              <w:rPr>
                <w:rFonts w:cs="Times New Roman"/>
                <w:b w:val="0"/>
                <w:color w:val="FFFFFF"/>
                <w:lang w:val="ca-ES" w:eastAsia="es-ES"/>
              </w:rPr>
            </w:pPr>
            <w:r w:rsidRPr="00DF7DF3">
              <w:rPr>
                <w:rFonts w:cs="Times New Roman"/>
                <w:b w:val="0"/>
                <w:color w:val="FFFFFF"/>
                <w:lang w:val="ca-ES" w:eastAsia="es-ES"/>
              </w:rPr>
              <w:t>AUTONÒMIC</w:t>
            </w:r>
          </w:p>
        </w:tc>
        <w:tc>
          <w:tcPr>
            <w:tcW w:w="0" w:type="auto"/>
            <w:gridSpan w:val="2"/>
            <w:tcBorders>
              <w:top w:val="nil"/>
              <w:left w:val="single" w:sz="2" w:space="0" w:color="FFFFFF"/>
              <w:bottom w:val="single" w:sz="24" w:space="0" w:color="FFFFFF"/>
              <w:right w:val="nil"/>
            </w:tcBorders>
            <w:shd w:val="clear" w:color="auto" w:fill="C00000"/>
            <w:vAlign w:val="center"/>
          </w:tcPr>
          <w:p w:rsidR="00DF7DF3" w:rsidRPr="00DF7DF3" w:rsidRDefault="00DF7DF3" w:rsidP="00767D0B">
            <w:pPr>
              <w:pStyle w:val="TEXTBOLD"/>
              <w:spacing w:line="276" w:lineRule="auto"/>
              <w:jc w:val="center"/>
              <w:rPr>
                <w:rFonts w:cs="Times New Roman"/>
                <w:b w:val="0"/>
                <w:color w:val="FFFFFF"/>
                <w:lang w:val="ca-ES" w:eastAsia="es-ES"/>
              </w:rPr>
            </w:pPr>
            <w:r w:rsidRPr="00DF7DF3">
              <w:rPr>
                <w:rFonts w:cs="Times New Roman"/>
                <w:b w:val="0"/>
                <w:color w:val="FFFFFF"/>
                <w:lang w:val="ca-ES" w:eastAsia="es-ES"/>
              </w:rPr>
              <w:t>PROVINCIAL</w:t>
            </w:r>
          </w:p>
        </w:tc>
        <w:tc>
          <w:tcPr>
            <w:tcW w:w="0" w:type="auto"/>
            <w:gridSpan w:val="2"/>
            <w:tcBorders>
              <w:top w:val="nil"/>
              <w:left w:val="single" w:sz="2" w:space="0" w:color="FFFFFF"/>
              <w:bottom w:val="single" w:sz="24" w:space="0" w:color="FFFFFF"/>
              <w:right w:val="nil"/>
            </w:tcBorders>
            <w:shd w:val="clear" w:color="auto" w:fill="C00000"/>
          </w:tcPr>
          <w:p w:rsidR="00DF7DF3" w:rsidRPr="00DF7DF3" w:rsidRDefault="00DF7DF3" w:rsidP="00767D0B">
            <w:pPr>
              <w:pStyle w:val="TEXTBOLD"/>
              <w:spacing w:line="276" w:lineRule="auto"/>
              <w:jc w:val="center"/>
              <w:rPr>
                <w:rFonts w:cs="Times New Roman"/>
                <w:b w:val="0"/>
                <w:color w:val="FFFFFF"/>
                <w:lang w:val="ca-ES" w:eastAsia="es-ES"/>
              </w:rPr>
            </w:pPr>
            <w:r w:rsidRPr="00DF7DF3">
              <w:rPr>
                <w:rFonts w:cs="Times New Roman"/>
                <w:b w:val="0"/>
                <w:color w:val="FFFFFF"/>
                <w:lang w:val="ca-ES" w:eastAsia="es-ES"/>
              </w:rPr>
              <w:t>TOTAL</w:t>
            </w:r>
          </w:p>
        </w:tc>
      </w:tr>
      <w:tr w:rsidR="00DF7DF3" w:rsidRPr="00DF7DF3" w:rsidTr="00DF7DF3">
        <w:trPr>
          <w:jc w:val="center"/>
        </w:trPr>
        <w:tc>
          <w:tcPr>
            <w:tcW w:w="0" w:type="auto"/>
            <w:vMerge/>
            <w:tcBorders>
              <w:left w:val="nil"/>
              <w:bottom w:val="single" w:sz="24" w:space="0" w:color="FFFFFF"/>
              <w:right w:val="single" w:sz="2" w:space="0" w:color="FFFFFF"/>
            </w:tcBorders>
            <w:shd w:val="clear" w:color="auto" w:fill="C00000"/>
          </w:tcPr>
          <w:p w:rsidR="00DF7DF3" w:rsidRPr="00DF7DF3" w:rsidRDefault="00DF7DF3" w:rsidP="00767D0B">
            <w:pPr>
              <w:pStyle w:val="TEXTBOLD"/>
              <w:spacing w:line="276" w:lineRule="auto"/>
              <w:rPr>
                <w:rFonts w:cs="Times New Roman"/>
                <w:b w:val="0"/>
                <w:color w:val="FFFFFF"/>
                <w:lang w:val="ca-ES" w:eastAsia="es-ES"/>
              </w:rPr>
            </w:pPr>
          </w:p>
        </w:tc>
        <w:tc>
          <w:tcPr>
            <w:tcW w:w="0" w:type="auto"/>
            <w:tcBorders>
              <w:top w:val="single" w:sz="24" w:space="0" w:color="FFFFFF"/>
              <w:left w:val="single" w:sz="2" w:space="0" w:color="FFFFFF"/>
              <w:bottom w:val="single" w:sz="24" w:space="0" w:color="FFFFFF"/>
              <w:right w:val="single" w:sz="4" w:space="0" w:color="FFFFFF" w:themeColor="background1"/>
            </w:tcBorders>
            <w:shd w:val="clear" w:color="auto" w:fill="F2DBDB"/>
            <w:vAlign w:val="center"/>
          </w:tcPr>
          <w:p w:rsidR="00DF7DF3" w:rsidRPr="00DF7DF3" w:rsidRDefault="00DF7DF3" w:rsidP="00767D0B">
            <w:pPr>
              <w:pStyle w:val="TEXTBOLD"/>
              <w:spacing w:line="276" w:lineRule="auto"/>
              <w:jc w:val="center"/>
              <w:rPr>
                <w:lang w:val="ca-ES"/>
              </w:rPr>
            </w:pPr>
            <w:r w:rsidRPr="00DF7DF3">
              <w:rPr>
                <w:lang w:val="ca-ES"/>
              </w:rPr>
              <w:t>SI</w:t>
            </w:r>
          </w:p>
          <w:p w:rsidR="00DF7DF3" w:rsidRPr="00DF7DF3" w:rsidRDefault="00DF7DF3" w:rsidP="00767D0B">
            <w:pPr>
              <w:pStyle w:val="TEXTBOLD"/>
              <w:spacing w:line="276" w:lineRule="auto"/>
              <w:jc w:val="center"/>
              <w:rPr>
                <w:lang w:val="ca-ES"/>
              </w:rPr>
            </w:pPr>
            <w:r w:rsidRPr="00DF7DF3">
              <w:rPr>
                <w:lang w:val="ca-ES"/>
              </w:rPr>
              <w:t>%</w:t>
            </w:r>
          </w:p>
        </w:tc>
        <w:tc>
          <w:tcPr>
            <w:tcW w:w="0" w:type="auto"/>
            <w:tcBorders>
              <w:top w:val="single" w:sz="24" w:space="0" w:color="FFFFFF"/>
              <w:left w:val="single" w:sz="4" w:space="0" w:color="FFFFFF" w:themeColor="background1"/>
              <w:bottom w:val="single" w:sz="24" w:space="0" w:color="FFFFFF"/>
              <w:right w:val="single" w:sz="2" w:space="0" w:color="FFFFFF"/>
            </w:tcBorders>
            <w:shd w:val="clear" w:color="auto" w:fill="F2DBDB"/>
            <w:vAlign w:val="center"/>
          </w:tcPr>
          <w:p w:rsidR="00DF7DF3" w:rsidRPr="00DF7DF3" w:rsidRDefault="00DF7DF3" w:rsidP="00767D0B">
            <w:pPr>
              <w:pStyle w:val="TEXTBOLD"/>
              <w:spacing w:line="276" w:lineRule="auto"/>
              <w:jc w:val="center"/>
              <w:rPr>
                <w:lang w:val="ca-ES"/>
              </w:rPr>
            </w:pPr>
            <w:r w:rsidRPr="00DF7DF3">
              <w:rPr>
                <w:lang w:val="ca-ES"/>
              </w:rPr>
              <w:t>NO</w:t>
            </w:r>
          </w:p>
          <w:p w:rsidR="00DF7DF3" w:rsidRPr="00DF7DF3" w:rsidRDefault="00DF7DF3" w:rsidP="00767D0B">
            <w:pPr>
              <w:pStyle w:val="TEXTBOLD"/>
              <w:spacing w:line="276" w:lineRule="auto"/>
              <w:jc w:val="center"/>
              <w:rPr>
                <w:lang w:val="ca-ES"/>
              </w:rPr>
            </w:pPr>
            <w:r w:rsidRPr="00DF7DF3">
              <w:rPr>
                <w:lang w:val="ca-ES"/>
              </w:rPr>
              <w:t>%</w:t>
            </w:r>
          </w:p>
        </w:tc>
        <w:tc>
          <w:tcPr>
            <w:tcW w:w="0" w:type="auto"/>
            <w:tcBorders>
              <w:top w:val="single" w:sz="24" w:space="0" w:color="FFFFFF"/>
              <w:left w:val="single" w:sz="2" w:space="0" w:color="FFFFFF"/>
              <w:bottom w:val="single" w:sz="24" w:space="0" w:color="FFFFFF"/>
              <w:right w:val="single" w:sz="4" w:space="0" w:color="FFFFFF" w:themeColor="background1"/>
            </w:tcBorders>
            <w:shd w:val="clear" w:color="auto" w:fill="F2DBDB"/>
            <w:vAlign w:val="center"/>
          </w:tcPr>
          <w:p w:rsidR="00DF7DF3" w:rsidRPr="00DF7DF3" w:rsidRDefault="00DF7DF3" w:rsidP="00767D0B">
            <w:pPr>
              <w:pStyle w:val="TEXTBOLD"/>
              <w:spacing w:line="276" w:lineRule="auto"/>
              <w:jc w:val="center"/>
              <w:rPr>
                <w:lang w:val="ca-ES"/>
              </w:rPr>
            </w:pPr>
            <w:r w:rsidRPr="00DF7DF3">
              <w:rPr>
                <w:lang w:val="ca-ES"/>
              </w:rPr>
              <w:t>SI</w:t>
            </w:r>
          </w:p>
          <w:p w:rsidR="00DF7DF3" w:rsidRPr="00DF7DF3" w:rsidRDefault="00DF7DF3" w:rsidP="00767D0B">
            <w:pPr>
              <w:pStyle w:val="TEXTBOLD"/>
              <w:spacing w:line="276" w:lineRule="auto"/>
              <w:jc w:val="center"/>
              <w:rPr>
                <w:lang w:val="ca-ES"/>
              </w:rPr>
            </w:pPr>
            <w:r w:rsidRPr="00DF7DF3">
              <w:rPr>
                <w:lang w:val="ca-ES"/>
              </w:rPr>
              <w:t>%</w:t>
            </w:r>
          </w:p>
        </w:tc>
        <w:tc>
          <w:tcPr>
            <w:tcW w:w="0" w:type="auto"/>
            <w:tcBorders>
              <w:top w:val="single" w:sz="24" w:space="0" w:color="FFFFFF"/>
              <w:left w:val="single" w:sz="4" w:space="0" w:color="FFFFFF" w:themeColor="background1"/>
              <w:bottom w:val="single" w:sz="24" w:space="0" w:color="FFFFFF"/>
              <w:right w:val="single" w:sz="2" w:space="0" w:color="FFFFFF"/>
            </w:tcBorders>
            <w:shd w:val="clear" w:color="auto" w:fill="F2DBDB"/>
            <w:vAlign w:val="center"/>
          </w:tcPr>
          <w:p w:rsidR="00DF7DF3" w:rsidRPr="00DF7DF3" w:rsidRDefault="00DF7DF3" w:rsidP="00767D0B">
            <w:pPr>
              <w:pStyle w:val="TEXTBOLD"/>
              <w:spacing w:line="276" w:lineRule="auto"/>
              <w:jc w:val="center"/>
              <w:rPr>
                <w:lang w:val="ca-ES"/>
              </w:rPr>
            </w:pPr>
            <w:r w:rsidRPr="00DF7DF3">
              <w:rPr>
                <w:lang w:val="ca-ES"/>
              </w:rPr>
              <w:t>NO</w:t>
            </w:r>
          </w:p>
          <w:p w:rsidR="00DF7DF3" w:rsidRPr="00DF7DF3" w:rsidRDefault="00DF7DF3" w:rsidP="00767D0B">
            <w:pPr>
              <w:pStyle w:val="TEXTBOLD"/>
              <w:spacing w:line="276" w:lineRule="auto"/>
              <w:jc w:val="center"/>
              <w:rPr>
                <w:lang w:val="ca-ES"/>
              </w:rPr>
            </w:pPr>
            <w:r w:rsidRPr="00DF7DF3">
              <w:rPr>
                <w:lang w:val="ca-ES"/>
              </w:rPr>
              <w:t>%</w:t>
            </w:r>
          </w:p>
        </w:tc>
        <w:tc>
          <w:tcPr>
            <w:tcW w:w="0" w:type="auto"/>
            <w:tcBorders>
              <w:top w:val="single" w:sz="24" w:space="0" w:color="FFFFFF"/>
              <w:left w:val="single" w:sz="2" w:space="0" w:color="FFFFFF"/>
              <w:bottom w:val="single" w:sz="24" w:space="0" w:color="FFFFFF"/>
              <w:right w:val="single" w:sz="4" w:space="0" w:color="FFFFFF" w:themeColor="background1"/>
            </w:tcBorders>
            <w:shd w:val="clear" w:color="auto" w:fill="F2DBDB"/>
            <w:vAlign w:val="center"/>
          </w:tcPr>
          <w:p w:rsidR="00DF7DF3" w:rsidRPr="00DF7DF3" w:rsidRDefault="00DF7DF3" w:rsidP="00767D0B">
            <w:pPr>
              <w:pStyle w:val="TEXTBOLD"/>
              <w:spacing w:line="276" w:lineRule="auto"/>
              <w:jc w:val="center"/>
              <w:rPr>
                <w:lang w:val="ca-ES"/>
              </w:rPr>
            </w:pPr>
            <w:r w:rsidRPr="00DF7DF3">
              <w:rPr>
                <w:lang w:val="ca-ES"/>
              </w:rPr>
              <w:t>SI</w:t>
            </w:r>
          </w:p>
          <w:p w:rsidR="00DF7DF3" w:rsidRPr="00DF7DF3" w:rsidRDefault="00DF7DF3" w:rsidP="00767D0B">
            <w:pPr>
              <w:pStyle w:val="TEXTBOLD"/>
              <w:spacing w:line="276" w:lineRule="auto"/>
              <w:jc w:val="center"/>
              <w:rPr>
                <w:lang w:val="ca-ES"/>
              </w:rPr>
            </w:pPr>
            <w:r w:rsidRPr="00DF7DF3">
              <w:rPr>
                <w:lang w:val="ca-ES"/>
              </w:rPr>
              <w:t>%</w:t>
            </w:r>
          </w:p>
        </w:tc>
        <w:tc>
          <w:tcPr>
            <w:tcW w:w="0" w:type="auto"/>
            <w:tcBorders>
              <w:top w:val="single" w:sz="24" w:space="0" w:color="FFFFFF"/>
              <w:left w:val="single" w:sz="4" w:space="0" w:color="FFFFFF" w:themeColor="background1"/>
              <w:bottom w:val="single" w:sz="24" w:space="0" w:color="FFFFFF"/>
              <w:right w:val="nil"/>
            </w:tcBorders>
            <w:shd w:val="clear" w:color="auto" w:fill="F2DBDB"/>
            <w:vAlign w:val="center"/>
          </w:tcPr>
          <w:p w:rsidR="00DF7DF3" w:rsidRPr="00DF7DF3" w:rsidRDefault="00DF7DF3" w:rsidP="00767D0B">
            <w:pPr>
              <w:pStyle w:val="TEXTBOLD"/>
              <w:spacing w:line="276" w:lineRule="auto"/>
              <w:jc w:val="center"/>
              <w:rPr>
                <w:lang w:val="ca-ES"/>
              </w:rPr>
            </w:pPr>
            <w:r w:rsidRPr="00DF7DF3">
              <w:rPr>
                <w:lang w:val="ca-ES"/>
              </w:rPr>
              <w:t>NO</w:t>
            </w:r>
          </w:p>
          <w:p w:rsidR="00DF7DF3" w:rsidRPr="00DF7DF3" w:rsidRDefault="00DF7DF3" w:rsidP="00767D0B">
            <w:pPr>
              <w:pStyle w:val="TEXTBOLD"/>
              <w:spacing w:line="276" w:lineRule="auto"/>
              <w:jc w:val="center"/>
              <w:rPr>
                <w:lang w:val="ca-ES"/>
              </w:rPr>
            </w:pPr>
            <w:r w:rsidRPr="00DF7DF3">
              <w:rPr>
                <w:lang w:val="ca-ES"/>
              </w:rPr>
              <w:t>%</w:t>
            </w:r>
          </w:p>
        </w:tc>
        <w:tc>
          <w:tcPr>
            <w:tcW w:w="0" w:type="auto"/>
            <w:tcBorders>
              <w:top w:val="single" w:sz="24" w:space="0" w:color="FFFFFF"/>
              <w:left w:val="single" w:sz="4" w:space="0" w:color="FFFFFF" w:themeColor="background1"/>
              <w:bottom w:val="single" w:sz="24" w:space="0" w:color="FFFFFF"/>
              <w:right w:val="nil"/>
            </w:tcBorders>
            <w:shd w:val="clear" w:color="auto" w:fill="F2DBDB"/>
          </w:tcPr>
          <w:p w:rsidR="00DF7DF3" w:rsidRPr="00DF7DF3" w:rsidRDefault="00DF7DF3" w:rsidP="00767D0B">
            <w:pPr>
              <w:pStyle w:val="TEXTBOLD"/>
              <w:spacing w:line="276" w:lineRule="auto"/>
              <w:jc w:val="center"/>
              <w:rPr>
                <w:lang w:val="ca-ES"/>
              </w:rPr>
            </w:pPr>
            <w:r w:rsidRPr="00DF7DF3">
              <w:rPr>
                <w:lang w:val="ca-ES"/>
              </w:rPr>
              <w:t>SI</w:t>
            </w:r>
          </w:p>
          <w:p w:rsidR="00DF7DF3" w:rsidRPr="00DF7DF3" w:rsidRDefault="00DF7DF3" w:rsidP="00767D0B">
            <w:pPr>
              <w:pStyle w:val="TEXTBOLD"/>
              <w:spacing w:line="276" w:lineRule="auto"/>
              <w:jc w:val="center"/>
              <w:rPr>
                <w:lang w:val="ca-ES"/>
              </w:rPr>
            </w:pPr>
            <w:r w:rsidRPr="00DF7DF3">
              <w:rPr>
                <w:lang w:val="ca-ES"/>
              </w:rPr>
              <w:t>%</w:t>
            </w:r>
          </w:p>
        </w:tc>
        <w:tc>
          <w:tcPr>
            <w:tcW w:w="0" w:type="auto"/>
            <w:tcBorders>
              <w:top w:val="single" w:sz="24" w:space="0" w:color="FFFFFF"/>
              <w:left w:val="single" w:sz="4" w:space="0" w:color="FFFFFF" w:themeColor="background1"/>
              <w:bottom w:val="single" w:sz="24" w:space="0" w:color="FFFFFF"/>
              <w:right w:val="nil"/>
            </w:tcBorders>
            <w:shd w:val="clear" w:color="auto" w:fill="F2DBDB"/>
          </w:tcPr>
          <w:p w:rsidR="00DF7DF3" w:rsidRPr="00DF7DF3" w:rsidRDefault="00DF7DF3" w:rsidP="00767D0B">
            <w:pPr>
              <w:pStyle w:val="TEXTBOLD"/>
              <w:spacing w:line="276" w:lineRule="auto"/>
              <w:jc w:val="center"/>
              <w:rPr>
                <w:lang w:val="ca-ES"/>
              </w:rPr>
            </w:pPr>
            <w:r w:rsidRPr="00DF7DF3">
              <w:rPr>
                <w:lang w:val="ca-ES"/>
              </w:rPr>
              <w:t>NO</w:t>
            </w:r>
          </w:p>
          <w:p w:rsidR="00DF7DF3" w:rsidRPr="00DF7DF3" w:rsidRDefault="00DF7DF3" w:rsidP="00767D0B">
            <w:pPr>
              <w:pStyle w:val="TEXTBOLD"/>
              <w:spacing w:line="276" w:lineRule="auto"/>
              <w:jc w:val="center"/>
              <w:rPr>
                <w:lang w:val="ca-ES"/>
              </w:rPr>
            </w:pPr>
            <w:r w:rsidRPr="00DF7DF3">
              <w:rPr>
                <w:lang w:val="ca-ES"/>
              </w:rPr>
              <w:t>%</w:t>
            </w:r>
          </w:p>
        </w:tc>
      </w:tr>
      <w:tr w:rsidR="00DF7DF3" w:rsidRPr="00DF7DF3" w:rsidTr="00DF7DF3">
        <w:trPr>
          <w:jc w:val="center"/>
        </w:trPr>
        <w:tc>
          <w:tcPr>
            <w:tcW w:w="0" w:type="auto"/>
            <w:tcBorders>
              <w:top w:val="single" w:sz="24" w:space="0" w:color="FFFFFF"/>
              <w:left w:val="nil"/>
              <w:bottom w:val="single" w:sz="24" w:space="0" w:color="FFFFFF"/>
              <w:right w:val="single" w:sz="24" w:space="0" w:color="FFFFFF"/>
            </w:tcBorders>
            <w:shd w:val="clear" w:color="auto" w:fill="C00000"/>
          </w:tcPr>
          <w:p w:rsidR="00DF7DF3" w:rsidRPr="00DF7DF3" w:rsidRDefault="00DF7DF3" w:rsidP="00767D0B">
            <w:pPr>
              <w:pStyle w:val="TEXTBOLD"/>
              <w:spacing w:line="276" w:lineRule="auto"/>
              <w:rPr>
                <w:rFonts w:cs="Times New Roman"/>
                <w:b w:val="0"/>
                <w:color w:val="FFFFFF"/>
                <w:lang w:val="ca-ES" w:eastAsia="es-ES"/>
              </w:rPr>
            </w:pPr>
            <w:r w:rsidRPr="00DF7DF3">
              <w:rPr>
                <w:rFonts w:cs="Times New Roman"/>
                <w:b w:val="0"/>
                <w:color w:val="FFFFFF"/>
                <w:lang w:val="ca-ES" w:eastAsia="es-ES"/>
              </w:rPr>
              <w:t>Jornada anual</w:t>
            </w:r>
          </w:p>
        </w:tc>
        <w:tc>
          <w:tcPr>
            <w:tcW w:w="0" w:type="auto"/>
            <w:tcBorders>
              <w:top w:val="single" w:sz="24" w:space="0" w:color="FFFFFF"/>
              <w:left w:val="single" w:sz="24" w:space="0" w:color="FFFFFF"/>
              <w:bottom w:val="single" w:sz="24" w:space="0" w:color="FFFFFF"/>
              <w:right w:val="single" w:sz="4" w:space="0" w:color="FFFFFF" w:themeColor="background1"/>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24,20</w:t>
            </w:r>
          </w:p>
        </w:tc>
        <w:tc>
          <w:tcPr>
            <w:tcW w:w="0" w:type="auto"/>
            <w:tcBorders>
              <w:top w:val="single" w:sz="24" w:space="0" w:color="FFFFFF"/>
              <w:left w:val="single" w:sz="4" w:space="0" w:color="FFFFFF" w:themeColor="background1"/>
              <w:bottom w:val="single" w:sz="24" w:space="0" w:color="FFFFFF"/>
              <w:right w:val="single" w:sz="2" w:space="0" w:color="FFFFFF"/>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75,80</w:t>
            </w:r>
          </w:p>
        </w:tc>
        <w:tc>
          <w:tcPr>
            <w:tcW w:w="0" w:type="auto"/>
            <w:tcBorders>
              <w:top w:val="single" w:sz="24" w:space="0" w:color="FFFFFF"/>
              <w:left w:val="single" w:sz="2" w:space="0" w:color="FFFFFF"/>
              <w:bottom w:val="single" w:sz="24" w:space="0" w:color="FFFFFF"/>
              <w:right w:val="single" w:sz="4" w:space="0" w:color="FFFFFF" w:themeColor="background1"/>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7,76</w:t>
            </w:r>
          </w:p>
        </w:tc>
        <w:tc>
          <w:tcPr>
            <w:tcW w:w="0" w:type="auto"/>
            <w:tcBorders>
              <w:top w:val="single" w:sz="24" w:space="0" w:color="FFFFFF"/>
              <w:left w:val="single" w:sz="4" w:space="0" w:color="FFFFFF" w:themeColor="background1"/>
              <w:bottom w:val="single" w:sz="24" w:space="0" w:color="FFFFFF"/>
              <w:right w:val="single" w:sz="2" w:space="0" w:color="FFFFFF"/>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92,24</w:t>
            </w:r>
          </w:p>
        </w:tc>
        <w:tc>
          <w:tcPr>
            <w:tcW w:w="0" w:type="auto"/>
            <w:tcBorders>
              <w:top w:val="single" w:sz="24" w:space="0" w:color="FFFFFF"/>
              <w:left w:val="single" w:sz="2" w:space="0" w:color="FFFFFF"/>
              <w:bottom w:val="single" w:sz="24" w:space="0" w:color="FFFFFF"/>
              <w:right w:val="single" w:sz="4" w:space="0" w:color="FFFFFF" w:themeColor="background1"/>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13,24</w:t>
            </w:r>
          </w:p>
        </w:tc>
        <w:tc>
          <w:tcPr>
            <w:tcW w:w="0" w:type="auto"/>
            <w:tcBorders>
              <w:top w:val="single" w:sz="24" w:space="0" w:color="FFFFFF"/>
              <w:left w:val="single" w:sz="4" w:space="0" w:color="FFFFFF" w:themeColor="background1"/>
              <w:bottom w:val="single" w:sz="24" w:space="0" w:color="FFFFFF"/>
              <w:right w:val="nil"/>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86,76</w:t>
            </w:r>
          </w:p>
        </w:tc>
        <w:tc>
          <w:tcPr>
            <w:tcW w:w="0" w:type="auto"/>
            <w:tcBorders>
              <w:top w:val="single" w:sz="24" w:space="0" w:color="FFFFFF"/>
              <w:left w:val="single" w:sz="4" w:space="0" w:color="FFFFFF" w:themeColor="background1"/>
              <w:bottom w:val="single" w:sz="24" w:space="0" w:color="FFFFFF"/>
              <w:right w:val="nil"/>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45,21</w:t>
            </w:r>
          </w:p>
        </w:tc>
        <w:tc>
          <w:tcPr>
            <w:tcW w:w="0" w:type="auto"/>
            <w:tcBorders>
              <w:top w:val="single" w:sz="24" w:space="0" w:color="FFFFFF"/>
              <w:left w:val="single" w:sz="4" w:space="0" w:color="FFFFFF" w:themeColor="background1"/>
              <w:bottom w:val="single" w:sz="24" w:space="0" w:color="FFFFFF"/>
              <w:right w:val="nil"/>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54,79</w:t>
            </w:r>
          </w:p>
        </w:tc>
      </w:tr>
      <w:tr w:rsidR="00DF7DF3" w:rsidRPr="00DF7DF3" w:rsidTr="00DF7DF3">
        <w:trPr>
          <w:jc w:val="center"/>
        </w:trPr>
        <w:tc>
          <w:tcPr>
            <w:tcW w:w="0" w:type="auto"/>
            <w:tcBorders>
              <w:top w:val="single" w:sz="24" w:space="0" w:color="FFFFFF"/>
              <w:left w:val="nil"/>
              <w:bottom w:val="single" w:sz="24" w:space="0" w:color="FFFFFF"/>
              <w:right w:val="single" w:sz="24" w:space="0" w:color="FFFFFF"/>
            </w:tcBorders>
            <w:shd w:val="clear" w:color="auto" w:fill="C00000"/>
          </w:tcPr>
          <w:p w:rsidR="00DF7DF3" w:rsidRPr="00DF7DF3" w:rsidRDefault="00DF7DF3" w:rsidP="00767D0B">
            <w:pPr>
              <w:pStyle w:val="TEXTBOLD"/>
              <w:spacing w:line="276" w:lineRule="auto"/>
              <w:rPr>
                <w:rFonts w:cs="Times New Roman"/>
                <w:b w:val="0"/>
                <w:color w:val="FFFFFF"/>
                <w:lang w:val="ca-ES" w:eastAsia="es-ES"/>
              </w:rPr>
            </w:pPr>
            <w:r w:rsidRPr="00DF7DF3">
              <w:rPr>
                <w:rFonts w:cs="Times New Roman"/>
                <w:b w:val="0"/>
                <w:color w:val="FFFFFF"/>
                <w:lang w:val="ca-ES" w:eastAsia="es-ES"/>
              </w:rPr>
              <w:t>Jornada setmanal</w:t>
            </w:r>
          </w:p>
        </w:tc>
        <w:tc>
          <w:tcPr>
            <w:tcW w:w="0" w:type="auto"/>
            <w:tcBorders>
              <w:top w:val="single" w:sz="24" w:space="0" w:color="FFFFFF"/>
              <w:left w:val="single" w:sz="24" w:space="0" w:color="FFFFFF"/>
              <w:bottom w:val="single" w:sz="24" w:space="0" w:color="FFFFFF"/>
              <w:right w:val="single" w:sz="4" w:space="0" w:color="FFFFFF"/>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2,74</w:t>
            </w:r>
          </w:p>
        </w:tc>
        <w:tc>
          <w:tcPr>
            <w:tcW w:w="0" w:type="auto"/>
            <w:tcBorders>
              <w:top w:val="single" w:sz="24" w:space="0" w:color="FFFFFF"/>
              <w:left w:val="single" w:sz="4" w:space="0" w:color="FFFFFF"/>
              <w:bottom w:val="single" w:sz="24" w:space="0" w:color="FFFFFF"/>
              <w:right w:val="single" w:sz="2" w:space="0" w:color="FFFFFF"/>
            </w:tcBorders>
            <w:shd w:val="clear" w:color="auto" w:fill="F2DBDB"/>
            <w:vAlign w:val="bottom"/>
          </w:tcPr>
          <w:p w:rsidR="00DF7DF3" w:rsidRPr="00DF7DF3" w:rsidRDefault="00DF7DF3" w:rsidP="00767D0B">
            <w:pPr>
              <w:spacing w:line="276" w:lineRule="auto"/>
              <w:jc w:val="center"/>
              <w:rPr>
                <w:rFonts w:ascii="Rotis Sans Serif Std" w:hAnsi="Rotis Sans Serif Std" w:cs="RotisSansSerifStd-Regular"/>
                <w:color w:val="5E6061"/>
                <w:sz w:val="22"/>
                <w:szCs w:val="22"/>
                <w:lang w:eastAsia="es-ES_tradnl"/>
              </w:rPr>
            </w:pPr>
            <w:r w:rsidRPr="00DF7DF3">
              <w:rPr>
                <w:rFonts w:ascii="Rotis Sans Serif Std" w:hAnsi="Rotis Sans Serif Std" w:cs="RotisSansSerifStd-Regular"/>
                <w:color w:val="5E6061"/>
                <w:sz w:val="22"/>
                <w:szCs w:val="22"/>
                <w:lang w:eastAsia="es-ES_tradnl"/>
              </w:rPr>
              <w:t>97,26</w:t>
            </w:r>
          </w:p>
        </w:tc>
        <w:tc>
          <w:tcPr>
            <w:tcW w:w="0" w:type="auto"/>
            <w:tcBorders>
              <w:top w:val="single" w:sz="24" w:space="0" w:color="FFFFFF"/>
              <w:left w:val="single" w:sz="2" w:space="0" w:color="FFFFFF"/>
              <w:bottom w:val="single" w:sz="24" w:space="0" w:color="FFFFFF"/>
              <w:right w:val="single" w:sz="4" w:space="0" w:color="FFFFFF" w:themeColor="background1"/>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0,91</w:t>
            </w:r>
          </w:p>
        </w:tc>
        <w:tc>
          <w:tcPr>
            <w:tcW w:w="0" w:type="auto"/>
            <w:tcBorders>
              <w:top w:val="single" w:sz="24" w:space="0" w:color="FFFFFF"/>
              <w:left w:val="single" w:sz="4" w:space="0" w:color="FFFFFF" w:themeColor="background1"/>
              <w:bottom w:val="single" w:sz="24" w:space="0" w:color="FFFFFF"/>
              <w:right w:val="single" w:sz="2" w:space="0" w:color="FFFFFF"/>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99,09</w:t>
            </w:r>
          </w:p>
        </w:tc>
        <w:tc>
          <w:tcPr>
            <w:tcW w:w="0" w:type="auto"/>
            <w:tcBorders>
              <w:top w:val="single" w:sz="24" w:space="0" w:color="FFFFFF"/>
              <w:left w:val="single" w:sz="2" w:space="0" w:color="FFFFFF"/>
              <w:bottom w:val="single" w:sz="24" w:space="0" w:color="FFFFFF"/>
              <w:right w:val="single" w:sz="4" w:space="0" w:color="FFFFFF" w:themeColor="background1"/>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3,65</w:t>
            </w:r>
          </w:p>
        </w:tc>
        <w:tc>
          <w:tcPr>
            <w:tcW w:w="0" w:type="auto"/>
            <w:tcBorders>
              <w:top w:val="single" w:sz="24" w:space="0" w:color="FFFFFF"/>
              <w:left w:val="single" w:sz="4" w:space="0" w:color="FFFFFF" w:themeColor="background1"/>
              <w:bottom w:val="single" w:sz="24" w:space="0" w:color="FFFFFF"/>
              <w:right w:val="nil"/>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96,35</w:t>
            </w:r>
          </w:p>
        </w:tc>
        <w:tc>
          <w:tcPr>
            <w:tcW w:w="0" w:type="auto"/>
            <w:tcBorders>
              <w:top w:val="single" w:sz="24" w:space="0" w:color="FFFFFF"/>
              <w:left w:val="single" w:sz="4" w:space="0" w:color="FFFFFF" w:themeColor="background1"/>
              <w:bottom w:val="single" w:sz="24" w:space="0" w:color="FFFFFF"/>
              <w:right w:val="nil"/>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7,31</w:t>
            </w:r>
          </w:p>
        </w:tc>
        <w:tc>
          <w:tcPr>
            <w:tcW w:w="0" w:type="auto"/>
            <w:tcBorders>
              <w:top w:val="single" w:sz="24" w:space="0" w:color="FFFFFF"/>
              <w:left w:val="single" w:sz="4" w:space="0" w:color="FFFFFF" w:themeColor="background1"/>
              <w:bottom w:val="single" w:sz="24" w:space="0" w:color="FFFFFF"/>
              <w:right w:val="nil"/>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92,69</w:t>
            </w:r>
          </w:p>
        </w:tc>
      </w:tr>
      <w:tr w:rsidR="00DF7DF3" w:rsidRPr="00DF7DF3" w:rsidTr="00DF7DF3">
        <w:trPr>
          <w:jc w:val="center"/>
        </w:trPr>
        <w:tc>
          <w:tcPr>
            <w:tcW w:w="0" w:type="auto"/>
            <w:tcBorders>
              <w:top w:val="single" w:sz="24" w:space="0" w:color="FFFFFF"/>
              <w:left w:val="nil"/>
              <w:bottom w:val="single" w:sz="24" w:space="0" w:color="FFFFFF"/>
              <w:right w:val="single" w:sz="24" w:space="0" w:color="FFFFFF"/>
            </w:tcBorders>
            <w:shd w:val="clear" w:color="auto" w:fill="C00000"/>
          </w:tcPr>
          <w:p w:rsidR="00DF7DF3" w:rsidRPr="00DF7DF3" w:rsidRDefault="00DF7DF3" w:rsidP="00767D0B">
            <w:pPr>
              <w:pStyle w:val="TEXTBOLD"/>
              <w:spacing w:line="276" w:lineRule="auto"/>
              <w:rPr>
                <w:rFonts w:cs="Times New Roman"/>
                <w:b w:val="0"/>
                <w:color w:val="FFFFFF"/>
                <w:lang w:val="ca-ES" w:eastAsia="es-ES"/>
              </w:rPr>
            </w:pPr>
            <w:r w:rsidRPr="00DF7DF3">
              <w:rPr>
                <w:rFonts w:cs="Times New Roman"/>
                <w:b w:val="0"/>
                <w:color w:val="FFFFFF"/>
                <w:lang w:val="ca-ES" w:eastAsia="es-ES"/>
              </w:rPr>
              <w:t>Jornada anual i setmanal</w:t>
            </w:r>
          </w:p>
        </w:tc>
        <w:tc>
          <w:tcPr>
            <w:tcW w:w="0" w:type="auto"/>
            <w:tcBorders>
              <w:top w:val="single" w:sz="24" w:space="0" w:color="FFFFFF"/>
              <w:left w:val="single" w:sz="24" w:space="0" w:color="FFFFFF"/>
              <w:bottom w:val="single" w:sz="24" w:space="0" w:color="FFFFFF"/>
              <w:right w:val="single" w:sz="2" w:space="0" w:color="FFFFFF"/>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19,18</w:t>
            </w:r>
          </w:p>
        </w:tc>
        <w:tc>
          <w:tcPr>
            <w:tcW w:w="0" w:type="auto"/>
            <w:tcBorders>
              <w:top w:val="single" w:sz="24" w:space="0" w:color="FFFFFF"/>
              <w:left w:val="single" w:sz="2" w:space="0" w:color="FFFFFF"/>
              <w:bottom w:val="single" w:sz="24" w:space="0" w:color="FFFFFF"/>
              <w:right w:val="single" w:sz="2" w:space="0" w:color="FFFFFF"/>
            </w:tcBorders>
            <w:shd w:val="clear" w:color="auto" w:fill="F2DBDB"/>
            <w:vAlign w:val="bottom"/>
          </w:tcPr>
          <w:p w:rsidR="00DF7DF3" w:rsidRPr="00DF7DF3" w:rsidRDefault="00DF7DF3" w:rsidP="00767D0B">
            <w:pPr>
              <w:spacing w:line="276" w:lineRule="auto"/>
              <w:jc w:val="center"/>
              <w:rPr>
                <w:rFonts w:ascii="Rotis Sans Serif Std" w:hAnsi="Rotis Sans Serif Std" w:cs="RotisSansSerifStd-Regular"/>
                <w:color w:val="5E6061"/>
                <w:sz w:val="22"/>
                <w:szCs w:val="22"/>
                <w:lang w:eastAsia="es-ES_tradnl"/>
              </w:rPr>
            </w:pPr>
            <w:r w:rsidRPr="00DF7DF3">
              <w:rPr>
                <w:rFonts w:ascii="Rotis Sans Serif Std" w:hAnsi="Rotis Sans Serif Std" w:cs="RotisSansSerifStd-Regular"/>
                <w:color w:val="5E6061"/>
                <w:sz w:val="22"/>
                <w:szCs w:val="22"/>
                <w:lang w:eastAsia="es-ES_tradnl"/>
              </w:rPr>
              <w:t>80,82</w:t>
            </w:r>
          </w:p>
        </w:tc>
        <w:tc>
          <w:tcPr>
            <w:tcW w:w="0" w:type="auto"/>
            <w:tcBorders>
              <w:top w:val="single" w:sz="24" w:space="0" w:color="FFFFFF"/>
              <w:left w:val="single" w:sz="2" w:space="0" w:color="FFFFFF"/>
              <w:bottom w:val="single" w:sz="24" w:space="0" w:color="FFFFFF"/>
              <w:right w:val="single" w:sz="4" w:space="0" w:color="FFFFFF" w:themeColor="background1"/>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7,31</w:t>
            </w:r>
          </w:p>
        </w:tc>
        <w:tc>
          <w:tcPr>
            <w:tcW w:w="0" w:type="auto"/>
            <w:tcBorders>
              <w:top w:val="single" w:sz="24" w:space="0" w:color="FFFFFF"/>
              <w:left w:val="single" w:sz="4" w:space="0" w:color="FFFFFF" w:themeColor="background1"/>
              <w:bottom w:val="single" w:sz="24" w:space="0" w:color="FFFFFF"/>
              <w:right w:val="single" w:sz="2" w:space="0" w:color="FFFFFF"/>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92,69</w:t>
            </w:r>
          </w:p>
        </w:tc>
        <w:tc>
          <w:tcPr>
            <w:tcW w:w="0" w:type="auto"/>
            <w:tcBorders>
              <w:top w:val="single" w:sz="24" w:space="0" w:color="FFFFFF"/>
              <w:left w:val="single" w:sz="2" w:space="0" w:color="FFFFFF"/>
              <w:bottom w:val="single" w:sz="24" w:space="0" w:color="FFFFFF"/>
              <w:right w:val="single" w:sz="4" w:space="0" w:color="FFFFFF" w:themeColor="background1"/>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17,81</w:t>
            </w:r>
          </w:p>
        </w:tc>
        <w:tc>
          <w:tcPr>
            <w:tcW w:w="0" w:type="auto"/>
            <w:tcBorders>
              <w:top w:val="single" w:sz="24" w:space="0" w:color="FFFFFF"/>
              <w:left w:val="single" w:sz="4" w:space="0" w:color="FFFFFF" w:themeColor="background1"/>
              <w:bottom w:val="single" w:sz="24" w:space="0" w:color="FFFFFF"/>
              <w:right w:val="nil"/>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82,19</w:t>
            </w:r>
          </w:p>
        </w:tc>
        <w:tc>
          <w:tcPr>
            <w:tcW w:w="0" w:type="auto"/>
            <w:tcBorders>
              <w:top w:val="single" w:sz="24" w:space="0" w:color="FFFFFF"/>
              <w:left w:val="single" w:sz="4" w:space="0" w:color="FFFFFF" w:themeColor="background1"/>
              <w:bottom w:val="single" w:sz="24" w:space="0" w:color="FFFFFF"/>
              <w:right w:val="nil"/>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44,29</w:t>
            </w:r>
          </w:p>
        </w:tc>
        <w:tc>
          <w:tcPr>
            <w:tcW w:w="0" w:type="auto"/>
            <w:tcBorders>
              <w:top w:val="single" w:sz="24" w:space="0" w:color="FFFFFF"/>
              <w:left w:val="single" w:sz="4" w:space="0" w:color="FFFFFF" w:themeColor="background1"/>
              <w:bottom w:val="single" w:sz="24" w:space="0" w:color="FFFFFF"/>
              <w:right w:val="nil"/>
            </w:tcBorders>
            <w:shd w:val="clear" w:color="auto" w:fill="F2DBDB"/>
            <w:vAlign w:val="bottom"/>
          </w:tcPr>
          <w:p w:rsidR="00DF7DF3" w:rsidRPr="00DF7DF3" w:rsidRDefault="00DF7DF3" w:rsidP="00767D0B">
            <w:pPr>
              <w:pStyle w:val="TEXTBOLD"/>
              <w:spacing w:line="276" w:lineRule="auto"/>
              <w:jc w:val="center"/>
              <w:rPr>
                <w:b w:val="0"/>
                <w:lang w:val="ca-ES"/>
              </w:rPr>
            </w:pPr>
            <w:r w:rsidRPr="00DF7DF3">
              <w:rPr>
                <w:b w:val="0"/>
                <w:lang w:val="ca-ES"/>
              </w:rPr>
              <w:t>55,71</w:t>
            </w:r>
          </w:p>
        </w:tc>
      </w:tr>
    </w:tbl>
    <w:p w:rsidR="00DF7DF3" w:rsidRPr="00DF7DF3" w:rsidRDefault="00DF7DF3" w:rsidP="00DF7DF3">
      <w:pPr>
        <w:pStyle w:val="TEXTBOLD"/>
        <w:spacing w:line="276" w:lineRule="auto"/>
        <w:jc w:val="center"/>
        <w:rPr>
          <w:b w:val="0"/>
          <w:sz w:val="20"/>
          <w:szCs w:val="24"/>
          <w:lang w:val="ca-ES"/>
        </w:rPr>
      </w:pPr>
      <w:r w:rsidRPr="00DF7DF3">
        <w:rPr>
          <w:b w:val="0"/>
          <w:sz w:val="20"/>
          <w:szCs w:val="24"/>
          <w:lang w:val="ca-ES"/>
        </w:rPr>
        <w:t>Font: Estudi propi sobre Negociació Col·lectiva.</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rPr>
          <w:b w:val="0"/>
          <w:sz w:val="24"/>
          <w:szCs w:val="24"/>
          <w:lang w:val="ca-ES"/>
        </w:rPr>
      </w:pPr>
      <w:r w:rsidRPr="0086140C">
        <w:rPr>
          <w:b w:val="0"/>
          <w:sz w:val="24"/>
          <w:szCs w:val="24"/>
          <w:lang w:val="ca-ES"/>
        </w:rPr>
        <w:t xml:space="preserve">D’aquestes dades podem observar que és predominant en la negociació col·lectiva, la distribució del temps de treball amb caràcter anual, ja sigui pactat de manera exclusiva o, conjuntament, amb la setmanal. </w:t>
      </w:r>
    </w:p>
    <w:p w:rsidR="00DF7DF3" w:rsidRPr="0086140C" w:rsidRDefault="00DF7DF3" w:rsidP="00DF7DF3">
      <w:pPr>
        <w:pStyle w:val="TEXTBOLD"/>
        <w:spacing w:line="276" w:lineRule="auto"/>
        <w:jc w:val="center"/>
        <w:rPr>
          <w:b w:val="0"/>
          <w:sz w:val="24"/>
          <w:szCs w:val="24"/>
          <w:lang w:val="ca-ES"/>
        </w:rPr>
      </w:pPr>
    </w:p>
    <w:p w:rsidR="00DF7DF3" w:rsidRPr="0086140C" w:rsidRDefault="00DF7DF3" w:rsidP="00DF7DF3">
      <w:pPr>
        <w:pStyle w:val="TEXTBOLD"/>
        <w:spacing w:line="276" w:lineRule="auto"/>
        <w:jc w:val="center"/>
        <w:rPr>
          <w:b w:val="0"/>
          <w:sz w:val="24"/>
          <w:szCs w:val="24"/>
          <w:lang w:val="ca-ES"/>
        </w:rPr>
      </w:pPr>
      <w:r w:rsidRPr="0086140C">
        <w:rPr>
          <w:noProof/>
          <w:sz w:val="24"/>
          <w:szCs w:val="24"/>
          <w:lang w:val="es-ES" w:eastAsia="es-ES"/>
        </w:rPr>
        <w:drawing>
          <wp:inline distT="0" distB="0" distL="0" distR="0" wp14:anchorId="292F98E8" wp14:editId="2209CDE1">
            <wp:extent cx="4744528" cy="2087593"/>
            <wp:effectExtent l="0" t="0" r="18415" b="27305"/>
            <wp:docPr id="35" name="Chart 3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DF7DF3" w:rsidRPr="00DF7DF3" w:rsidRDefault="00DF7DF3" w:rsidP="00DF7DF3">
      <w:pPr>
        <w:pStyle w:val="TEXTBOLD"/>
        <w:spacing w:line="276" w:lineRule="auto"/>
        <w:jc w:val="center"/>
        <w:rPr>
          <w:b w:val="0"/>
          <w:sz w:val="20"/>
          <w:szCs w:val="24"/>
          <w:lang w:val="ca-ES"/>
        </w:rPr>
      </w:pPr>
      <w:r w:rsidRPr="00DF7DF3">
        <w:rPr>
          <w:b w:val="0"/>
          <w:sz w:val="20"/>
          <w:szCs w:val="24"/>
          <w:lang w:val="ca-ES"/>
        </w:rPr>
        <w:t>Font: Estudi propi sobre Negociació Col·lectiva.</w:t>
      </w:r>
    </w:p>
    <w:p w:rsidR="00DF7DF3" w:rsidRPr="0086140C" w:rsidRDefault="00DF7DF3" w:rsidP="00DF7DF3">
      <w:pPr>
        <w:pStyle w:val="TEXTBOLD"/>
        <w:spacing w:line="276" w:lineRule="auto"/>
        <w:rPr>
          <w:b w:val="0"/>
          <w:sz w:val="24"/>
          <w:szCs w:val="24"/>
          <w:lang w:val="ca-ES"/>
        </w:rPr>
      </w:pPr>
    </w:p>
    <w:p w:rsidR="00DF7DF3" w:rsidRPr="0086140C" w:rsidRDefault="00972EC4" w:rsidP="00DF7DF3">
      <w:pPr>
        <w:pStyle w:val="TEXTBOLD"/>
        <w:spacing w:line="276" w:lineRule="auto"/>
        <w:rPr>
          <w:sz w:val="24"/>
          <w:szCs w:val="24"/>
          <w:lang w:val="ca-ES"/>
        </w:rPr>
      </w:pPr>
      <w:r>
        <w:rPr>
          <w:b w:val="0"/>
          <w:sz w:val="24"/>
          <w:szCs w:val="24"/>
          <w:lang w:val="ca-ES"/>
        </w:rPr>
        <w:t>És convenient que e</w:t>
      </w:r>
      <w:r w:rsidR="00DF7DF3" w:rsidRPr="0086140C">
        <w:rPr>
          <w:b w:val="0"/>
          <w:sz w:val="24"/>
          <w:szCs w:val="24"/>
          <w:lang w:val="ca-ES"/>
        </w:rPr>
        <w:t xml:space="preserve">ls Convenis Col·lectius </w:t>
      </w:r>
      <w:r>
        <w:rPr>
          <w:b w:val="0"/>
          <w:sz w:val="24"/>
          <w:szCs w:val="24"/>
          <w:lang w:val="ca-ES"/>
        </w:rPr>
        <w:t>estableixin</w:t>
      </w:r>
      <w:r w:rsidR="00DF7DF3" w:rsidRPr="0086140C">
        <w:rPr>
          <w:b w:val="0"/>
          <w:sz w:val="24"/>
          <w:szCs w:val="24"/>
          <w:lang w:val="ca-ES"/>
        </w:rPr>
        <w:t xml:space="preserve"> el còmput anual de la jornada i la seva distribució irregular  a l’efecte de contribuir a racionalitzar la gestió del temps de treball, així com, la flexibilitat del temps de treball, millorant l’eficiència en l’activitat productiva i en la prestació de serveis, i incrementant la productivitat del treball.  </w:t>
      </w:r>
    </w:p>
    <w:p w:rsidR="00DF7DF3" w:rsidRPr="0086140C" w:rsidRDefault="00DF7DF3" w:rsidP="00DF7DF3">
      <w:pPr>
        <w:pStyle w:val="TEXTBOLD"/>
        <w:spacing w:line="276" w:lineRule="auto"/>
        <w:rPr>
          <w:sz w:val="24"/>
          <w:szCs w:val="24"/>
          <w:lang w:val="ca-ES"/>
        </w:rPr>
      </w:pPr>
    </w:p>
    <w:p w:rsidR="00DF7DF3" w:rsidRPr="0086140C" w:rsidRDefault="00A51220" w:rsidP="00DF7DF3">
      <w:pPr>
        <w:pStyle w:val="TEXTBOLD"/>
        <w:spacing w:line="276" w:lineRule="auto"/>
        <w:rPr>
          <w:b w:val="0"/>
          <w:sz w:val="24"/>
          <w:szCs w:val="24"/>
          <w:lang w:val="ca-ES"/>
        </w:rPr>
      </w:pPr>
      <w:r>
        <w:rPr>
          <w:b w:val="0"/>
          <w:sz w:val="24"/>
          <w:szCs w:val="24"/>
          <w:lang w:val="ca-ES"/>
        </w:rPr>
        <w:t>De l’anàlisi realitzat</w:t>
      </w:r>
      <w:r w:rsidR="00DF7DF3" w:rsidRPr="0086140C">
        <w:rPr>
          <w:b w:val="0"/>
          <w:sz w:val="24"/>
          <w:szCs w:val="24"/>
          <w:lang w:val="ca-ES"/>
        </w:rPr>
        <w:t xml:space="preserve"> el 93% dels Convenis no han variat la jornada pactada</w:t>
      </w:r>
      <w:r w:rsidR="00972EC4">
        <w:rPr>
          <w:b w:val="0"/>
          <w:sz w:val="24"/>
          <w:szCs w:val="24"/>
          <w:lang w:val="ca-ES"/>
        </w:rPr>
        <w:t xml:space="preserve"> els darrers 5 anys</w:t>
      </w:r>
      <w:r w:rsidR="00DF7DF3" w:rsidRPr="0086140C">
        <w:rPr>
          <w:b w:val="0"/>
          <w:sz w:val="24"/>
          <w:szCs w:val="24"/>
          <w:lang w:val="ca-ES"/>
        </w:rPr>
        <w:t xml:space="preserve">, el 4,57% l’ha reduït i el 2,74% l’ha augmentat. </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jc w:val="center"/>
        <w:rPr>
          <w:b w:val="0"/>
          <w:sz w:val="24"/>
          <w:szCs w:val="24"/>
          <w:lang w:val="ca-ES"/>
        </w:rPr>
      </w:pPr>
      <w:r w:rsidRPr="0086140C">
        <w:rPr>
          <w:noProof/>
          <w:sz w:val="24"/>
          <w:szCs w:val="24"/>
          <w:lang w:val="es-ES" w:eastAsia="es-ES"/>
        </w:rPr>
        <w:drawing>
          <wp:inline distT="0" distB="0" distL="0" distR="0" wp14:anchorId="6D2C0328" wp14:editId="4C820E3E">
            <wp:extent cx="4798502" cy="3014851"/>
            <wp:effectExtent l="0" t="0" r="21590" b="1460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F7DF3" w:rsidRPr="00DF7DF3" w:rsidRDefault="00DF7DF3" w:rsidP="00DF7DF3">
      <w:pPr>
        <w:pStyle w:val="TEXTBOLD"/>
        <w:spacing w:line="276" w:lineRule="auto"/>
        <w:jc w:val="center"/>
        <w:rPr>
          <w:b w:val="0"/>
          <w:sz w:val="20"/>
          <w:szCs w:val="24"/>
          <w:lang w:val="ca-ES"/>
        </w:rPr>
      </w:pPr>
      <w:r w:rsidRPr="00DF7DF3">
        <w:rPr>
          <w:b w:val="0"/>
          <w:sz w:val="20"/>
          <w:szCs w:val="24"/>
          <w:lang w:val="ca-ES"/>
        </w:rPr>
        <w:t>Font: Estudi propi sobre Negociació Col·lectiva.</w:t>
      </w:r>
    </w:p>
    <w:p w:rsidR="00DF7DF3" w:rsidRPr="0086140C" w:rsidRDefault="00DF7DF3" w:rsidP="00DF7DF3">
      <w:pPr>
        <w:pStyle w:val="TEXTBOLD"/>
        <w:spacing w:line="276" w:lineRule="auto"/>
        <w:jc w:val="center"/>
        <w:rPr>
          <w:b w:val="0"/>
          <w:sz w:val="24"/>
          <w:szCs w:val="24"/>
          <w:lang w:val="ca-ES"/>
        </w:rPr>
      </w:pPr>
    </w:p>
    <w:p w:rsidR="00DF7DF3" w:rsidRPr="0086140C" w:rsidRDefault="00DF7DF3" w:rsidP="00DF7DF3">
      <w:pPr>
        <w:pStyle w:val="TEXTBOLD"/>
        <w:spacing w:line="276" w:lineRule="auto"/>
        <w:rPr>
          <w:b w:val="0"/>
          <w:sz w:val="24"/>
          <w:szCs w:val="24"/>
          <w:lang w:val="ca-ES"/>
        </w:rPr>
      </w:pPr>
      <w:r w:rsidRPr="0086140C">
        <w:rPr>
          <w:b w:val="0"/>
          <w:sz w:val="24"/>
          <w:szCs w:val="24"/>
          <w:lang w:val="ca-ES"/>
        </w:rPr>
        <w:t xml:space="preserve">En quant a la regulació de la </w:t>
      </w:r>
      <w:r w:rsidRPr="0086140C">
        <w:rPr>
          <w:b w:val="0"/>
          <w:sz w:val="24"/>
          <w:szCs w:val="24"/>
          <w:u w:val="single"/>
          <w:lang w:val="ca-ES"/>
        </w:rPr>
        <w:t>disponibilitat horària,</w:t>
      </w:r>
      <w:r w:rsidRPr="0086140C">
        <w:rPr>
          <w:b w:val="0"/>
          <w:sz w:val="24"/>
          <w:szCs w:val="24"/>
          <w:lang w:val="ca-ES"/>
        </w:rPr>
        <w:t xml:space="preserve"> és en l’àmbit autonòmic on trobem més incidència d’aquest tipus de complements que retribueixen la disponibilitat tant si és horària com funcional, i la capacitat dels treballador d’adaptar-se a les exigències de l’empresa, amb un 19,05% de Convenis, seguits dels Estatals amb un 14,85% que ho regulen i del 10,53% en els provincials. </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rPr>
          <w:b w:val="0"/>
          <w:sz w:val="24"/>
          <w:szCs w:val="24"/>
          <w:lang w:val="ca-ES"/>
        </w:rPr>
      </w:pPr>
      <w:r w:rsidRPr="0086140C">
        <w:rPr>
          <w:b w:val="0"/>
          <w:sz w:val="24"/>
          <w:szCs w:val="24"/>
          <w:lang w:val="ca-ES"/>
        </w:rPr>
        <w:t>Els Convenis Col·lectius sectorials i d’empresa poden establir les regles generals de la flexibilitat del temps de treball: distribució irregular de la jornada, borses d’hores anuals, determinació del màxim d’hores flexibles, regles de compensació, períodes de reorganització del temps de treball (setmanes, trimestres, semestres, organització del temps més enllà de l’any natural, etc.), jornada mínima i màxima diària, i la seva relació amb les hores extraordinàries.</w:t>
      </w:r>
    </w:p>
    <w:p w:rsidR="00DF7DF3" w:rsidRPr="0086140C" w:rsidRDefault="00DF7DF3" w:rsidP="00DF7DF3">
      <w:pPr>
        <w:pStyle w:val="TEXTBOLD"/>
        <w:spacing w:line="276" w:lineRule="auto"/>
        <w:rPr>
          <w:b w:val="0"/>
          <w:sz w:val="24"/>
          <w:szCs w:val="24"/>
          <w:lang w:val="ca-ES"/>
        </w:rPr>
      </w:pPr>
      <w:r w:rsidRPr="0086140C">
        <w:rPr>
          <w:b w:val="0"/>
          <w:sz w:val="24"/>
          <w:szCs w:val="24"/>
          <w:lang w:val="ca-ES"/>
        </w:rPr>
        <w:t xml:space="preserve"> </w:t>
      </w:r>
    </w:p>
    <w:p w:rsidR="00DF7DF3" w:rsidRPr="0086140C" w:rsidRDefault="00DF7DF3" w:rsidP="00DF7DF3">
      <w:pPr>
        <w:pStyle w:val="TEXTBOLD"/>
        <w:spacing w:line="276" w:lineRule="auto"/>
        <w:rPr>
          <w:b w:val="0"/>
          <w:sz w:val="24"/>
          <w:szCs w:val="24"/>
          <w:lang w:val="ca-ES"/>
        </w:rPr>
      </w:pPr>
      <w:r w:rsidRPr="0086140C">
        <w:rPr>
          <w:b w:val="0"/>
          <w:sz w:val="24"/>
          <w:szCs w:val="24"/>
          <w:lang w:val="ca-ES"/>
        </w:rPr>
        <w:t xml:space="preserve">En relació al tipus de jornada, el 34,70% del total de Convenis analitzats estableixen </w:t>
      </w:r>
      <w:r w:rsidRPr="0086140C">
        <w:rPr>
          <w:sz w:val="24"/>
          <w:szCs w:val="24"/>
          <w:u w:val="single"/>
          <w:lang w:val="ca-ES"/>
        </w:rPr>
        <w:t>jornada continuada</w:t>
      </w:r>
      <w:r w:rsidRPr="0086140C">
        <w:rPr>
          <w:sz w:val="24"/>
          <w:szCs w:val="24"/>
          <w:lang w:val="ca-ES"/>
        </w:rPr>
        <w:t xml:space="preserve"> </w:t>
      </w:r>
      <w:r w:rsidRPr="0086140C">
        <w:rPr>
          <w:b w:val="0"/>
          <w:sz w:val="24"/>
          <w:szCs w:val="24"/>
          <w:lang w:val="ca-ES"/>
        </w:rPr>
        <w:t>(un 39,6% en els d’àmbit estatal, un 26,19% en els autonòmics i el 32,89% dels provincials) . En comparació amb la darrera Enquesta de CEOE sobre Negociació Col·lectiva del 2008, hi ha un lleuger augment en 1,7 punts ja que en aquesta Enquesta se situaven en el 33% dels Convenis analitzats.</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jc w:val="both"/>
        <w:rPr>
          <w:rFonts w:ascii="Rotis Sans Serif Std" w:hAnsi="Rotis Sans Serif Std" w:cs="RotisSansSerifStd-Regular"/>
          <w:color w:val="5E6061"/>
          <w:lang w:eastAsia="es-ES_tradnl"/>
        </w:rPr>
      </w:pPr>
      <w:r w:rsidRPr="0086140C">
        <w:rPr>
          <w:rFonts w:ascii="Rotis Sans Serif Std" w:hAnsi="Rotis Sans Serif Std" w:cs="RotisSansSerifStd-Regular"/>
          <w:color w:val="5E6061"/>
          <w:lang w:eastAsia="es-ES_tradnl"/>
        </w:rPr>
        <w:t xml:space="preserve">Tanmateix, un 39,73% de Convenis contemplen la jornada partida, amb major incidència en l’àmbit estatal (48,51%) que en el autonòmic (23,81%) i en el provincial (36,84%). </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ind w:left="709"/>
        <w:rPr>
          <w:b w:val="0"/>
          <w:sz w:val="24"/>
          <w:szCs w:val="24"/>
          <w:lang w:val="ca-ES"/>
        </w:rPr>
      </w:pPr>
      <w:r w:rsidRPr="0086140C">
        <w:rPr>
          <w:noProof/>
          <w:sz w:val="24"/>
          <w:szCs w:val="24"/>
          <w:lang w:val="es-ES" w:eastAsia="es-ES"/>
        </w:rPr>
        <w:drawing>
          <wp:inline distT="0" distB="0" distL="0" distR="0" wp14:anchorId="34692BFA" wp14:editId="41C8EC4A">
            <wp:extent cx="5152977" cy="2881743"/>
            <wp:effectExtent l="0" t="0" r="10160" b="1397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DF7DF3" w:rsidRPr="00DF7DF3" w:rsidRDefault="00DF7DF3" w:rsidP="00DF7DF3">
      <w:pPr>
        <w:pStyle w:val="TEXTBOLD"/>
        <w:spacing w:line="276" w:lineRule="auto"/>
        <w:jc w:val="center"/>
        <w:rPr>
          <w:b w:val="0"/>
          <w:sz w:val="20"/>
          <w:szCs w:val="24"/>
          <w:lang w:val="ca-ES"/>
        </w:rPr>
      </w:pPr>
      <w:r w:rsidRPr="00DF7DF3">
        <w:rPr>
          <w:b w:val="0"/>
          <w:sz w:val="20"/>
          <w:szCs w:val="24"/>
          <w:lang w:val="ca-ES"/>
        </w:rPr>
        <w:t>Font: Estudi propi sobre Negociació Col·lectiva.</w:t>
      </w:r>
    </w:p>
    <w:p w:rsidR="00DF7DF3" w:rsidRPr="0086140C" w:rsidRDefault="00DF7DF3" w:rsidP="00DF7DF3">
      <w:pPr>
        <w:pStyle w:val="TEXTBOLD"/>
        <w:spacing w:line="276" w:lineRule="auto"/>
        <w:jc w:val="center"/>
        <w:rPr>
          <w:b w:val="0"/>
          <w:sz w:val="24"/>
          <w:szCs w:val="24"/>
          <w:lang w:val="ca-ES"/>
        </w:rPr>
      </w:pPr>
    </w:p>
    <w:p w:rsidR="00DF7DF3" w:rsidRPr="0086140C" w:rsidRDefault="00A51220" w:rsidP="00DF7DF3">
      <w:pPr>
        <w:pStyle w:val="TEXTBOLD"/>
        <w:spacing w:line="276" w:lineRule="auto"/>
        <w:rPr>
          <w:b w:val="0"/>
          <w:sz w:val="24"/>
          <w:szCs w:val="24"/>
          <w:lang w:val="ca-ES"/>
        </w:rPr>
      </w:pPr>
      <w:r>
        <w:rPr>
          <w:b w:val="0"/>
          <w:sz w:val="24"/>
          <w:szCs w:val="24"/>
          <w:lang w:val="ca-ES"/>
        </w:rPr>
        <w:t>De l’</w:t>
      </w:r>
      <w:r w:rsidR="00DF7DF3" w:rsidRPr="0086140C">
        <w:rPr>
          <w:b w:val="0"/>
          <w:sz w:val="24"/>
          <w:szCs w:val="24"/>
          <w:lang w:val="ca-ES"/>
        </w:rPr>
        <w:t xml:space="preserve">anàlisi de les dades podem observar que l’establiment de la jornada continuada no és una pràctica </w:t>
      </w:r>
      <w:r w:rsidR="00972EC4">
        <w:rPr>
          <w:b w:val="0"/>
          <w:sz w:val="24"/>
          <w:szCs w:val="24"/>
          <w:lang w:val="ca-ES"/>
        </w:rPr>
        <w:t>majoritària</w:t>
      </w:r>
      <w:r w:rsidR="00DF7DF3" w:rsidRPr="0086140C">
        <w:rPr>
          <w:b w:val="0"/>
          <w:sz w:val="24"/>
          <w:szCs w:val="24"/>
          <w:lang w:val="ca-ES"/>
        </w:rPr>
        <w:t xml:space="preserve"> en la negociació col·lectiva.</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rPr>
          <w:b w:val="0"/>
          <w:sz w:val="24"/>
          <w:szCs w:val="24"/>
          <w:lang w:val="ca-ES"/>
        </w:rPr>
      </w:pPr>
      <w:r w:rsidRPr="0086140C">
        <w:rPr>
          <w:b w:val="0"/>
          <w:sz w:val="24"/>
          <w:szCs w:val="24"/>
          <w:lang w:val="ca-ES"/>
        </w:rPr>
        <w:t xml:space="preserve">Únicament, el 13,24% dels Convenis analitzats estableixen un </w:t>
      </w:r>
      <w:r w:rsidRPr="0086140C">
        <w:rPr>
          <w:b w:val="0"/>
          <w:sz w:val="24"/>
          <w:szCs w:val="24"/>
          <w:u w:val="single"/>
          <w:lang w:val="ca-ES"/>
        </w:rPr>
        <w:t>horari flexible.</w:t>
      </w:r>
      <w:r w:rsidRPr="0086140C">
        <w:rPr>
          <w:b w:val="0"/>
          <w:sz w:val="24"/>
          <w:szCs w:val="24"/>
          <w:lang w:val="ca-ES"/>
        </w:rPr>
        <w:t xml:space="preserve"> Si bé, cal destacar que és en l’àmbit estatal on aquest tipus de mesures tenen una major incidència amb un 20,79% dels Convenis d’aquest àmbit que així ho regulen.</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rPr>
          <w:b w:val="0"/>
          <w:sz w:val="24"/>
          <w:szCs w:val="24"/>
          <w:lang w:val="ca-ES"/>
        </w:rPr>
      </w:pPr>
      <w:r w:rsidRPr="0086140C">
        <w:rPr>
          <w:b w:val="0"/>
          <w:sz w:val="24"/>
          <w:szCs w:val="24"/>
          <w:lang w:val="ca-ES"/>
        </w:rPr>
        <w:t xml:space="preserve">Com es pot observar, l’horari flexible no és una pràctica generalitzada en la negociació col·lectiva, fet que ja es posava de manifest en l’Enquesta de CEOE sobre Negociació Col·lectiva del 2008, on només dos de cada deu dels Convenis analitzats ho contemplaven. </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Pa6"/>
        <w:spacing w:line="276" w:lineRule="auto"/>
        <w:jc w:val="both"/>
        <w:rPr>
          <w:rFonts w:ascii="Rotis Sans Serif Std" w:hAnsi="Rotis Sans Serif Std" w:cs="RotisSansSerifStd-Regular"/>
          <w:color w:val="5E6061"/>
          <w:lang w:val="ca-ES" w:eastAsia="es-ES_tradnl"/>
        </w:rPr>
      </w:pPr>
      <w:r w:rsidRPr="0086140C">
        <w:rPr>
          <w:rFonts w:ascii="Rotis Sans Serif Std" w:hAnsi="Rotis Sans Serif Std" w:cs="RotisSansSerifStd-Regular"/>
          <w:color w:val="5E6061"/>
          <w:lang w:val="ca-ES" w:eastAsia="es-ES_tradnl"/>
        </w:rPr>
        <w:t xml:space="preserve">La </w:t>
      </w:r>
      <w:r w:rsidRPr="0086140C">
        <w:rPr>
          <w:rFonts w:ascii="Rotis Sans Serif Std" w:hAnsi="Rotis Sans Serif Std" w:cs="RotisSansSerifStd-Regular"/>
          <w:b/>
          <w:color w:val="5E6061"/>
          <w:u w:val="single"/>
          <w:lang w:val="ca-ES" w:eastAsia="es-ES_tradnl"/>
        </w:rPr>
        <w:t>distribució irregular de la jornada</w:t>
      </w:r>
      <w:r w:rsidRPr="0086140C">
        <w:rPr>
          <w:rFonts w:ascii="Rotis Sans Serif Std" w:hAnsi="Rotis Sans Serif Std" w:cs="RotisSansSerifStd-Regular"/>
          <w:color w:val="5E6061"/>
          <w:lang w:val="ca-ES" w:eastAsia="es-ES_tradnl"/>
        </w:rPr>
        <w:t>, és una de les matèries que més canvis va experimentar en la darrera Reforma Laboral. L’article 34.2 de l’Estatut dels Treballadors estableix que mitjançant conveni col·lectiu o, si no n’hi ha, per acord entre l’empresa i els representants dels treballadors, es pot establir la distribució irregular de la jornada al llarg de l’any. Si no hi ha pacte, l’empresa pot distribuir de manera irregular al llarg de l’any el deu per cent de la jornada de treball.</w:t>
      </w:r>
    </w:p>
    <w:p w:rsidR="00DF7DF3" w:rsidRPr="0086140C" w:rsidRDefault="00DF7DF3" w:rsidP="00DF7DF3">
      <w:pPr>
        <w:pStyle w:val="Default"/>
        <w:spacing w:line="276" w:lineRule="auto"/>
        <w:rPr>
          <w:rFonts w:ascii="Rotis Sans Serif Std" w:hAnsi="Rotis Sans Serif Std"/>
          <w:lang w:val="ca-ES" w:eastAsia="es-ES_tradnl"/>
        </w:rPr>
      </w:pPr>
    </w:p>
    <w:p w:rsidR="00DF7DF3" w:rsidRPr="0086140C" w:rsidRDefault="00DF7DF3" w:rsidP="00DF7DF3">
      <w:pPr>
        <w:pStyle w:val="Pa6"/>
        <w:spacing w:line="276" w:lineRule="auto"/>
        <w:jc w:val="both"/>
        <w:rPr>
          <w:rFonts w:ascii="Rotis Sans Serif Std" w:hAnsi="Rotis Sans Serif Std" w:cs="RotisSansSerifStd-Regular"/>
          <w:color w:val="5E6061"/>
          <w:lang w:val="ca-ES" w:eastAsia="es-ES_tradnl"/>
        </w:rPr>
      </w:pPr>
      <w:r w:rsidRPr="0086140C">
        <w:rPr>
          <w:rFonts w:ascii="Rotis Sans Serif Std" w:hAnsi="Rotis Sans Serif Std" w:cs="RotisSansSerifStd-Regular"/>
          <w:color w:val="5E6061"/>
          <w:lang w:val="ca-ES" w:eastAsia="es-ES_tradnl"/>
        </w:rPr>
        <w:t>El 57,08% dels Convenis analitzats contemplen la distribució irregular de la jornada de treball, destacant que el 63,37% dels Convenis estatals analitzats, el 57,14% dels autonòmics i el 48,68% dels Convenis provincials analitzats contemplen la mateixa.</w:t>
      </w:r>
    </w:p>
    <w:p w:rsidR="00DF7DF3" w:rsidRPr="0086140C" w:rsidRDefault="00DF7DF3" w:rsidP="00DF7DF3">
      <w:pPr>
        <w:pStyle w:val="Default"/>
        <w:spacing w:line="276" w:lineRule="auto"/>
        <w:rPr>
          <w:rFonts w:ascii="Rotis Sans Serif Std" w:hAnsi="Rotis Sans Serif Std"/>
          <w:lang w:val="ca-ES" w:eastAsia="es-ES_tradnl"/>
        </w:rPr>
      </w:pPr>
    </w:p>
    <w:p w:rsidR="00DF7DF3" w:rsidRPr="0086140C" w:rsidRDefault="00DF7DF3" w:rsidP="00DF7DF3">
      <w:pPr>
        <w:pStyle w:val="Default"/>
        <w:spacing w:line="276" w:lineRule="auto"/>
        <w:jc w:val="center"/>
        <w:rPr>
          <w:rFonts w:ascii="Rotis Sans Serif Std" w:hAnsi="Rotis Sans Serif Std"/>
          <w:lang w:val="es-ES" w:eastAsia="es-ES_tradnl"/>
        </w:rPr>
      </w:pPr>
      <w:r w:rsidRPr="0086140C">
        <w:rPr>
          <w:rFonts w:ascii="Rotis Sans Serif Std" w:hAnsi="Rotis Sans Serif Std"/>
          <w:noProof/>
          <w:lang w:val="es-ES" w:eastAsia="es-ES"/>
        </w:rPr>
        <w:drawing>
          <wp:inline distT="0" distB="0" distL="0" distR="0" wp14:anchorId="541D9DE3" wp14:editId="0F3EE07D">
            <wp:extent cx="5257800" cy="2565400"/>
            <wp:effectExtent l="0" t="0" r="25400" b="25400"/>
            <wp:docPr id="55" name="Chart 5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mv="urn:schemas-microsoft-com:mac:vml" xmlns:mo="http://schemas.microsoft.com/office/mac/office/2008/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DF7DF3" w:rsidRPr="00DF7DF3" w:rsidRDefault="00DF7DF3" w:rsidP="00DF7DF3">
      <w:pPr>
        <w:pStyle w:val="TEXTBOLD"/>
        <w:spacing w:line="276" w:lineRule="auto"/>
        <w:jc w:val="center"/>
        <w:rPr>
          <w:b w:val="0"/>
          <w:sz w:val="20"/>
          <w:szCs w:val="24"/>
          <w:lang w:val="ca-ES"/>
        </w:rPr>
      </w:pPr>
      <w:r w:rsidRPr="00DF7DF3">
        <w:rPr>
          <w:b w:val="0"/>
          <w:sz w:val="20"/>
          <w:szCs w:val="24"/>
          <w:lang w:val="ca-ES"/>
        </w:rPr>
        <w:t>Font: Estudi propi sobre Negociació Col·lectiva.</w:t>
      </w:r>
    </w:p>
    <w:p w:rsidR="00DF7DF3" w:rsidRPr="0086140C" w:rsidRDefault="00DF7DF3" w:rsidP="00DF7DF3">
      <w:pPr>
        <w:pStyle w:val="TEXTBOLD"/>
        <w:spacing w:line="276" w:lineRule="auto"/>
        <w:jc w:val="center"/>
        <w:rPr>
          <w:b w:val="0"/>
          <w:sz w:val="24"/>
          <w:szCs w:val="24"/>
          <w:lang w:val="ca-ES"/>
        </w:rPr>
      </w:pPr>
    </w:p>
    <w:p w:rsidR="00DF7DF3" w:rsidRPr="0086140C" w:rsidRDefault="00DF7DF3" w:rsidP="00DF7DF3">
      <w:pPr>
        <w:pStyle w:val="Default"/>
        <w:spacing w:line="276" w:lineRule="auto"/>
        <w:jc w:val="both"/>
        <w:rPr>
          <w:rFonts w:ascii="Rotis Sans Serif Std" w:hAnsi="Rotis Sans Serif Std" w:cs="RotisSansSerifStd-Regular"/>
          <w:color w:val="5E6061"/>
          <w:lang w:val="ca-ES" w:eastAsia="es-ES_tradnl"/>
        </w:rPr>
      </w:pPr>
      <w:r w:rsidRPr="0086140C">
        <w:rPr>
          <w:rFonts w:ascii="Rotis Sans Serif Std" w:hAnsi="Rotis Sans Serif Std" w:cs="RotisSansSerifStd-Regular"/>
          <w:color w:val="5E6061"/>
          <w:lang w:val="ca-ES" w:eastAsia="es-ES_tradnl"/>
        </w:rPr>
        <w:t>El 72,8% dels Convenis que regulen la distribució irregular de la jornada requereix de l’acord en el si de l’empresa o centre de treball per la seva aplicació.</w:t>
      </w:r>
    </w:p>
    <w:p w:rsidR="00DF7DF3" w:rsidRPr="0086140C" w:rsidRDefault="00DF7DF3" w:rsidP="00DF7DF3">
      <w:pPr>
        <w:pStyle w:val="Default"/>
        <w:spacing w:line="276" w:lineRule="auto"/>
        <w:jc w:val="both"/>
        <w:rPr>
          <w:rFonts w:ascii="Rotis Sans Serif Std" w:hAnsi="Rotis Sans Serif Std" w:cs="RotisSansSerifStd-Regular"/>
          <w:color w:val="5E6061"/>
          <w:lang w:val="ca-ES" w:eastAsia="es-ES_tradnl"/>
        </w:rPr>
      </w:pPr>
    </w:p>
    <w:p w:rsidR="00DF7DF3" w:rsidRPr="0086140C" w:rsidRDefault="00DF7DF3" w:rsidP="00DF7DF3">
      <w:pPr>
        <w:pStyle w:val="Pa6"/>
        <w:spacing w:line="276" w:lineRule="auto"/>
        <w:jc w:val="both"/>
        <w:rPr>
          <w:rFonts w:ascii="Rotis Sans Serif Std" w:hAnsi="Rotis Sans Serif Std" w:cs="RotisSansSerifStd-Regular"/>
          <w:color w:val="5E6061"/>
          <w:lang w:val="ca-ES" w:eastAsia="es-ES_tradnl"/>
        </w:rPr>
      </w:pPr>
      <w:r w:rsidRPr="0086140C">
        <w:rPr>
          <w:rFonts w:ascii="Rotis Sans Serif Std" w:hAnsi="Rotis Sans Serif Std" w:cs="RotisSansSerifStd-Regular"/>
          <w:color w:val="5E6061"/>
          <w:lang w:val="ca-ES" w:eastAsia="es-ES_tradnl"/>
        </w:rPr>
        <w:t xml:space="preserve">De conformitat a l’art. 34.2 de l’Estatut dels Treballadors anteriorment citat el treballador ha de conèixer amb un preavís mínim de cinc dies el dia i l’hora de la prestació de treball que en resulta d’aplicar la distribució irregular. </w:t>
      </w:r>
    </w:p>
    <w:p w:rsidR="00DF7DF3" w:rsidRPr="0086140C" w:rsidRDefault="00DF7DF3" w:rsidP="00DF7DF3">
      <w:pPr>
        <w:pStyle w:val="Default"/>
        <w:spacing w:line="276" w:lineRule="auto"/>
        <w:rPr>
          <w:rFonts w:ascii="Rotis Sans Serif Std" w:hAnsi="Rotis Sans Serif Std"/>
          <w:lang w:val="ca-ES" w:eastAsia="es-ES_tradnl"/>
        </w:rPr>
      </w:pPr>
    </w:p>
    <w:p w:rsidR="00DF7DF3" w:rsidRPr="0086140C" w:rsidRDefault="00DF7DF3" w:rsidP="00DF7DF3">
      <w:pPr>
        <w:pStyle w:val="Default"/>
        <w:spacing w:line="276" w:lineRule="auto"/>
        <w:jc w:val="both"/>
        <w:rPr>
          <w:rFonts w:ascii="Rotis Sans Serif Std" w:hAnsi="Rotis Sans Serif Std" w:cs="RotisSansSerifStd-Regular"/>
          <w:color w:val="5E6061"/>
          <w:lang w:val="ca-ES" w:eastAsia="es-ES_tradnl"/>
        </w:rPr>
      </w:pPr>
      <w:r w:rsidRPr="0086140C">
        <w:rPr>
          <w:rFonts w:ascii="Rotis Sans Serif Std" w:hAnsi="Rotis Sans Serif Std" w:cs="RotisSansSerifStd-Regular"/>
          <w:color w:val="5E6061"/>
          <w:lang w:val="ca-ES" w:eastAsia="es-ES_tradnl"/>
        </w:rPr>
        <w:t>El 67,20% dels Convenis que regulen la distribució irregular de la jornada fixen un termini de preavís. El 10,71% preveuen un termini inferior a 5 dies</w:t>
      </w:r>
      <w:r w:rsidRPr="0086140C">
        <w:rPr>
          <w:rStyle w:val="Refdenotaalpie"/>
          <w:rFonts w:ascii="Rotis Sans Serif Std" w:hAnsi="Rotis Sans Serif Std"/>
          <w:color w:val="5E6061"/>
          <w:lang w:val="ca-ES" w:eastAsia="es-ES_tradnl"/>
        </w:rPr>
        <w:footnoteReference w:id="18"/>
      </w:r>
      <w:r w:rsidRPr="0086140C">
        <w:rPr>
          <w:rFonts w:ascii="Rotis Sans Serif Std" w:hAnsi="Rotis Sans Serif Std" w:cs="RotisSansSerifStd-Regular"/>
          <w:color w:val="5E6061"/>
          <w:lang w:val="ca-ES" w:eastAsia="es-ES_tradnl"/>
        </w:rPr>
        <w:t>, el 64,29% el termini previst és de 5 dies i el 25% el termini és superior als 5 dies.</w:t>
      </w:r>
    </w:p>
    <w:p w:rsidR="00DF7DF3" w:rsidRPr="0086140C" w:rsidRDefault="00DF7DF3" w:rsidP="00DF7DF3">
      <w:pPr>
        <w:rPr>
          <w:rFonts w:ascii="Rotis Sans Serif Std" w:hAnsi="Rotis Sans Serif Std"/>
          <w:lang w:eastAsia="es-ES_tradnl"/>
        </w:rPr>
      </w:pPr>
    </w:p>
    <w:p w:rsidR="00DF7DF3" w:rsidRPr="0086140C" w:rsidRDefault="00DF7DF3" w:rsidP="00DF7DF3">
      <w:pPr>
        <w:tabs>
          <w:tab w:val="left" w:pos="3255"/>
        </w:tabs>
        <w:jc w:val="center"/>
        <w:rPr>
          <w:rFonts w:ascii="Rotis Sans Serif Std" w:hAnsi="Rotis Sans Serif Std" w:cs="RotisSansSerifStd-Regular"/>
          <w:color w:val="5E6061"/>
          <w:lang w:eastAsia="es-ES_tradnl"/>
        </w:rPr>
      </w:pPr>
      <w:r w:rsidRPr="0086140C">
        <w:rPr>
          <w:rFonts w:ascii="Rotis Sans Serif Std" w:hAnsi="Rotis Sans Serif Std"/>
          <w:noProof/>
          <w:lang w:val="es-ES" w:eastAsia="es-ES"/>
        </w:rPr>
        <w:drawing>
          <wp:inline distT="0" distB="0" distL="0" distR="0" wp14:anchorId="53EB56DD" wp14:editId="06704CD5">
            <wp:extent cx="5141343" cy="2493034"/>
            <wp:effectExtent l="0" t="0" r="21590" b="21590"/>
            <wp:docPr id="30" name="Chart 3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mv="urn:schemas-microsoft-com:mac:vml" xmlns:mo="http://schemas.microsoft.com/office/mac/office/2008/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DF7DF3" w:rsidRPr="00DF7DF3" w:rsidRDefault="00DF7DF3" w:rsidP="00DF7DF3">
      <w:pPr>
        <w:pStyle w:val="TEXTBOLD"/>
        <w:spacing w:line="276" w:lineRule="auto"/>
        <w:jc w:val="center"/>
        <w:rPr>
          <w:b w:val="0"/>
          <w:sz w:val="20"/>
          <w:szCs w:val="24"/>
          <w:lang w:val="ca-ES"/>
        </w:rPr>
      </w:pPr>
      <w:r w:rsidRPr="00DF7DF3">
        <w:rPr>
          <w:b w:val="0"/>
          <w:sz w:val="20"/>
          <w:szCs w:val="24"/>
          <w:lang w:val="ca-ES"/>
        </w:rPr>
        <w:t>Font: Estudi propi sobre Negociació Col·lectiva.</w:t>
      </w:r>
    </w:p>
    <w:p w:rsidR="00DF7DF3" w:rsidRPr="0086140C" w:rsidRDefault="00DF7DF3" w:rsidP="00DF7DF3">
      <w:pPr>
        <w:pStyle w:val="Default"/>
        <w:spacing w:line="276" w:lineRule="auto"/>
        <w:jc w:val="both"/>
        <w:rPr>
          <w:rFonts w:ascii="Rotis Sans Serif Std" w:hAnsi="Rotis Sans Serif Std" w:cs="RotisSansSerifStd-Regular"/>
          <w:color w:val="5E6061"/>
          <w:lang w:val="ca-ES" w:eastAsia="es-ES_tradnl"/>
        </w:rPr>
      </w:pPr>
    </w:p>
    <w:p w:rsidR="00DF7DF3" w:rsidRPr="0086140C" w:rsidRDefault="00DF7DF3" w:rsidP="00DF7DF3">
      <w:pPr>
        <w:pStyle w:val="Default"/>
        <w:spacing w:line="276" w:lineRule="auto"/>
        <w:jc w:val="both"/>
        <w:rPr>
          <w:rFonts w:ascii="Rotis Sans Serif Std" w:hAnsi="Rotis Sans Serif Std" w:cs="RotisSansSerifStd-Regular"/>
          <w:color w:val="5E6061"/>
          <w:lang w:val="ca-ES" w:eastAsia="es-ES_tradnl"/>
        </w:rPr>
      </w:pPr>
      <w:r w:rsidRPr="0086140C">
        <w:rPr>
          <w:rFonts w:ascii="Rotis Sans Serif Std" w:hAnsi="Rotis Sans Serif Std" w:cs="RotisSansSerifStd-Regular"/>
          <w:color w:val="5E6061"/>
          <w:lang w:val="ca-ES" w:eastAsia="es-ES_tradnl"/>
        </w:rPr>
        <w:t xml:space="preserve">Per últim, en relació al percentatge establert en la distribució irregular de la jornada, el 20,8% dels Convenis que regulen la distribució irregular de la jornada fixen un percentatge de la jornada que es pot distribuir de manera irregular. En el 23,08% s’estableix un percentatge inferior al 10%, el 50% preveuen un 10% i el 26,92% restant un percentatge superior al 10%. </w:t>
      </w:r>
    </w:p>
    <w:p w:rsidR="00DF7DF3" w:rsidRPr="0086140C" w:rsidRDefault="00DF7DF3" w:rsidP="00DF7DF3">
      <w:pPr>
        <w:pStyle w:val="Default"/>
        <w:spacing w:line="276" w:lineRule="auto"/>
        <w:jc w:val="both"/>
        <w:rPr>
          <w:rFonts w:ascii="Rotis Sans Serif Std" w:hAnsi="Rotis Sans Serif Std" w:cs="RotisSansSerifStd-Regular"/>
          <w:color w:val="5E6061"/>
          <w:lang w:val="ca-ES" w:eastAsia="es-ES_tradnl"/>
        </w:rPr>
      </w:pPr>
    </w:p>
    <w:p w:rsidR="00DF7DF3" w:rsidRPr="0086140C" w:rsidRDefault="00DF7DF3" w:rsidP="00DF7DF3">
      <w:pPr>
        <w:pStyle w:val="Default"/>
        <w:spacing w:line="276" w:lineRule="auto"/>
        <w:jc w:val="center"/>
        <w:rPr>
          <w:rFonts w:ascii="Rotis Sans Serif Std" w:hAnsi="Rotis Sans Serif Std" w:cs="RotisSansSerifStd-Regular"/>
          <w:color w:val="5E6061"/>
          <w:lang w:val="es-ES" w:eastAsia="es-ES_tradnl"/>
        </w:rPr>
      </w:pPr>
      <w:r w:rsidRPr="0086140C">
        <w:rPr>
          <w:rFonts w:ascii="Rotis Sans Serif Std" w:hAnsi="Rotis Sans Serif Std"/>
          <w:noProof/>
          <w:lang w:val="es-ES" w:eastAsia="es-ES"/>
        </w:rPr>
        <w:drawing>
          <wp:inline distT="0" distB="0" distL="0" distR="0" wp14:anchorId="68462DAB" wp14:editId="6752F8CC">
            <wp:extent cx="5141344" cy="2294627"/>
            <wp:effectExtent l="0" t="0" r="21590" b="10795"/>
            <wp:docPr id="45" name="Chart 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mv="urn:schemas-microsoft-com:mac:vml" xmlns:mo="http://schemas.microsoft.com/office/mac/office/2008/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DF7DF3" w:rsidRPr="00DF7DF3" w:rsidRDefault="00DF7DF3" w:rsidP="00DF7DF3">
      <w:pPr>
        <w:pStyle w:val="TEXTBOLD"/>
        <w:spacing w:line="276" w:lineRule="auto"/>
        <w:jc w:val="center"/>
        <w:rPr>
          <w:b w:val="0"/>
          <w:sz w:val="20"/>
          <w:szCs w:val="24"/>
          <w:lang w:val="ca-ES"/>
        </w:rPr>
      </w:pPr>
      <w:r w:rsidRPr="00DF7DF3">
        <w:rPr>
          <w:b w:val="0"/>
          <w:sz w:val="20"/>
          <w:szCs w:val="24"/>
          <w:lang w:val="ca-ES"/>
        </w:rPr>
        <w:t>Font: Estudi propi sobre Negociació Col·lectiva.</w:t>
      </w:r>
    </w:p>
    <w:p w:rsidR="00DF7DF3" w:rsidRPr="0086140C" w:rsidRDefault="00DF7DF3" w:rsidP="00DF7DF3">
      <w:pPr>
        <w:spacing w:line="276" w:lineRule="auto"/>
        <w:ind w:right="45"/>
        <w:jc w:val="both"/>
        <w:rPr>
          <w:rFonts w:ascii="Rotis Sans Serif Std" w:hAnsi="Rotis Sans Serif Std" w:cs="RotisSansSerifStd-Regular"/>
          <w:color w:val="5E6061"/>
          <w:lang w:eastAsia="es-ES_tradnl"/>
        </w:rPr>
      </w:pPr>
    </w:p>
    <w:p w:rsidR="00DF7DF3" w:rsidRPr="0086140C" w:rsidRDefault="00DF7DF3" w:rsidP="00DF7DF3">
      <w:pPr>
        <w:spacing w:line="276" w:lineRule="auto"/>
        <w:ind w:right="45"/>
        <w:jc w:val="both"/>
        <w:rPr>
          <w:rFonts w:ascii="Rotis Sans Serif Std" w:hAnsi="Rotis Sans Serif Std" w:cs="RotisSansSerifStd-Regular"/>
          <w:color w:val="5E6061"/>
          <w:lang w:eastAsia="es-ES_tradnl"/>
        </w:rPr>
      </w:pPr>
      <w:r w:rsidRPr="0086140C">
        <w:rPr>
          <w:rFonts w:ascii="Rotis Sans Serif Std" w:hAnsi="Rotis Sans Serif Std" w:cs="RotisSansSerifStd-Regular"/>
          <w:color w:val="5E6061"/>
          <w:lang w:eastAsia="es-ES_tradnl"/>
        </w:rPr>
        <w:t>Si bé, existeix una tendència a una major flexibilitat del temps de treball, la negociació col·lectiva ha de centrar els esforços en facilitar que les empreses puguin distribuir irregularment la jornada anual ordinària, en els percentatges que es considerin necessaris,  podent afectar a la jornada màxima setmanal o mensual i als horaris diaris, sense perjudici del respecte als límits que preveu l'Estatut dels Treballadors.</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autoSpaceDE w:val="0"/>
        <w:autoSpaceDN w:val="0"/>
        <w:adjustRightInd w:val="0"/>
        <w:jc w:val="both"/>
        <w:rPr>
          <w:rFonts w:ascii="Rotis Sans Serif Std" w:hAnsi="Rotis Sans Serif Std" w:cs="RotisSansSerifStd-Regular"/>
          <w:color w:val="5E6061"/>
          <w:lang w:eastAsia="es-ES_tradnl"/>
        </w:rPr>
      </w:pPr>
      <w:r w:rsidRPr="0086140C">
        <w:rPr>
          <w:rFonts w:ascii="Rotis Sans Serif Std" w:hAnsi="Rotis Sans Serif Std" w:cs="RotisSansSerifStd-Regular"/>
          <w:color w:val="5E6061"/>
          <w:lang w:eastAsia="es-ES_tradnl"/>
        </w:rPr>
        <w:t>En quant al límit de la jornada diària, l’art. 34.3 de l’Estatut dels Treballadors estableix que entre el final d'una jornada i el començament de la següent han de passar, com a mínim, 12 hores.</w:t>
      </w:r>
    </w:p>
    <w:p w:rsidR="00DF7DF3" w:rsidRPr="0086140C" w:rsidRDefault="00DF7DF3" w:rsidP="00DF7DF3">
      <w:pPr>
        <w:autoSpaceDE w:val="0"/>
        <w:autoSpaceDN w:val="0"/>
        <w:adjustRightInd w:val="0"/>
        <w:jc w:val="both"/>
        <w:rPr>
          <w:rFonts w:ascii="Rotis Sans Serif Std" w:hAnsi="Rotis Sans Serif Std" w:cs="RotisSansSerifStd-Regular"/>
          <w:color w:val="5E6061"/>
          <w:lang w:eastAsia="es-ES_tradnl"/>
        </w:rPr>
      </w:pPr>
    </w:p>
    <w:p w:rsidR="00DF7DF3" w:rsidRPr="0086140C" w:rsidRDefault="00DF7DF3" w:rsidP="00DF7DF3">
      <w:pPr>
        <w:autoSpaceDE w:val="0"/>
        <w:autoSpaceDN w:val="0"/>
        <w:adjustRightInd w:val="0"/>
        <w:jc w:val="both"/>
        <w:rPr>
          <w:rFonts w:ascii="Rotis Sans Serif Std" w:hAnsi="Rotis Sans Serif Std" w:cs="RotisSansSerifStd-Regular"/>
          <w:color w:val="5E6061"/>
          <w:lang w:eastAsia="es-ES_tradnl"/>
        </w:rPr>
      </w:pPr>
      <w:r w:rsidRPr="0086140C">
        <w:rPr>
          <w:rFonts w:ascii="Rotis Sans Serif Std" w:hAnsi="Rotis Sans Serif Std" w:cs="RotisSansSerifStd-Regular"/>
          <w:color w:val="5E6061"/>
          <w:lang w:eastAsia="es-ES_tradnl"/>
        </w:rPr>
        <w:t>El nombre d'hores ordinàries de treball efectiu no pot ser superior a 9 hores diàries, llevat que per conveni col·lectiu o, si no n'hi ha, per acord entre l'empresa i els representants dels treballadors s'estableixi una altra distribució del temps de treball diari, i cal respectar en tot cas el descans entre jornades.</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rPr>
          <w:b w:val="0"/>
          <w:sz w:val="24"/>
          <w:szCs w:val="24"/>
          <w:lang w:val="ca-ES"/>
        </w:rPr>
      </w:pPr>
      <w:r w:rsidRPr="0086140C">
        <w:rPr>
          <w:b w:val="0"/>
          <w:sz w:val="24"/>
          <w:szCs w:val="24"/>
          <w:lang w:val="ca-ES"/>
        </w:rPr>
        <w:t>L’Estudi posa de manifest que el 55,25% dels Convenis analitzats limiten el nombre d’hores ordinàries de treball efectiu (el 66,34% dels Convenis estatals, el 59,52% dels autonòmics i el 38,16% dels provincials). Pel que fa, al límit d’hores establert, el 67,77% del total dels Convenis que estableixen un límit de la jornada preveuen una jornada de treball efectiu de nou hores, el 19,01% preveu una jornada de més de 9 hores, i la resta, és a dir, el 13,22% restant el límit és inferior a 9 hores.</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ind w:left="709"/>
        <w:rPr>
          <w:b w:val="0"/>
          <w:sz w:val="24"/>
          <w:szCs w:val="24"/>
          <w:lang w:val="ca-ES"/>
        </w:rPr>
      </w:pPr>
      <w:r w:rsidRPr="0086140C">
        <w:rPr>
          <w:noProof/>
          <w:sz w:val="24"/>
          <w:szCs w:val="24"/>
          <w:lang w:val="es-ES" w:eastAsia="es-ES"/>
        </w:rPr>
        <w:drawing>
          <wp:inline distT="0" distB="0" distL="0" distR="0" wp14:anchorId="751F97BA" wp14:editId="580CB0CE">
            <wp:extent cx="5158596" cy="2424022"/>
            <wp:effectExtent l="0" t="0" r="23495" b="14605"/>
            <wp:docPr id="46" name="Chart 4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mv="urn:schemas-microsoft-com:mac:vml" xmlns:mo="http://schemas.microsoft.com/office/mac/office/2008/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DF7DF3" w:rsidRPr="00DF7DF3" w:rsidRDefault="00DF7DF3" w:rsidP="00DF7DF3">
      <w:pPr>
        <w:pStyle w:val="TEXTBOLD"/>
        <w:spacing w:line="276" w:lineRule="auto"/>
        <w:jc w:val="center"/>
        <w:rPr>
          <w:b w:val="0"/>
          <w:sz w:val="20"/>
          <w:szCs w:val="24"/>
          <w:lang w:val="ca-ES"/>
        </w:rPr>
      </w:pPr>
      <w:r w:rsidRPr="0086140C">
        <w:rPr>
          <w:b w:val="0"/>
          <w:sz w:val="24"/>
          <w:szCs w:val="24"/>
          <w:lang w:val="ca-ES"/>
        </w:rPr>
        <w:t xml:space="preserve"> </w:t>
      </w:r>
      <w:r w:rsidRPr="00DF7DF3">
        <w:rPr>
          <w:b w:val="0"/>
          <w:sz w:val="20"/>
          <w:szCs w:val="24"/>
          <w:lang w:val="ca-ES"/>
        </w:rPr>
        <w:t>Font: Estudi propi sobre Negociació Col·lectiva.</w:t>
      </w:r>
    </w:p>
    <w:p w:rsidR="00DF7DF3" w:rsidRPr="0086140C" w:rsidRDefault="00DF7DF3" w:rsidP="00DF7DF3">
      <w:pPr>
        <w:pStyle w:val="TEXTBOLD"/>
        <w:spacing w:line="276" w:lineRule="auto"/>
        <w:rPr>
          <w:b w:val="0"/>
          <w:color w:val="C1002B"/>
          <w:sz w:val="24"/>
          <w:szCs w:val="24"/>
          <w:u w:val="single"/>
          <w:lang w:val="ca-ES"/>
        </w:rPr>
      </w:pPr>
    </w:p>
    <w:p w:rsidR="00DF7DF3" w:rsidRPr="0086140C" w:rsidRDefault="00DF7DF3" w:rsidP="00DF7DF3">
      <w:pPr>
        <w:pStyle w:val="TEXTBOLD"/>
        <w:spacing w:line="276" w:lineRule="auto"/>
        <w:rPr>
          <w:b w:val="0"/>
          <w:sz w:val="24"/>
          <w:szCs w:val="24"/>
          <w:lang w:val="ca-ES"/>
        </w:rPr>
      </w:pPr>
      <w:r w:rsidRPr="0086140C">
        <w:rPr>
          <w:b w:val="0"/>
          <w:sz w:val="24"/>
          <w:szCs w:val="24"/>
          <w:lang w:val="ca-ES"/>
        </w:rPr>
        <w:t xml:space="preserve">Pel que fa a les hores extraordinàries, l’article 35 de l’Estatut dels Treballadors estableix que la prestació de treball en </w:t>
      </w:r>
      <w:r w:rsidRPr="0086140C">
        <w:rPr>
          <w:b w:val="0"/>
          <w:sz w:val="24"/>
          <w:szCs w:val="24"/>
          <w:u w:val="single"/>
          <w:lang w:val="ca-ES"/>
        </w:rPr>
        <w:t>hores extraordinàries</w:t>
      </w:r>
      <w:r w:rsidRPr="0086140C">
        <w:rPr>
          <w:b w:val="0"/>
          <w:sz w:val="24"/>
          <w:szCs w:val="24"/>
          <w:lang w:val="ca-ES"/>
        </w:rPr>
        <w:t xml:space="preserve"> es voluntària, excepte que la seva realització s’hagi pactat en conveni col·lectiu o en contracte individual, amb el límit màxim  de 80 hores extraordinàries a l’any. </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rPr>
          <w:b w:val="0"/>
          <w:sz w:val="24"/>
          <w:szCs w:val="24"/>
          <w:lang w:val="ca-ES"/>
        </w:rPr>
      </w:pPr>
      <w:r w:rsidRPr="0086140C">
        <w:rPr>
          <w:b w:val="0"/>
          <w:sz w:val="24"/>
          <w:szCs w:val="24"/>
          <w:lang w:val="ca-ES"/>
        </w:rPr>
        <w:t xml:space="preserve">També estableix, que no es tindran en compte a efectes de duració màxima de la jornada ordinària laboral, ni pel còmput màxim de les hores extraordinàries les treballades per prevenir o reparar sinistres i altres danys extraordinaris i urgents. </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rPr>
          <w:b w:val="0"/>
          <w:sz w:val="24"/>
          <w:szCs w:val="24"/>
          <w:lang w:val="ca-ES"/>
        </w:rPr>
      </w:pPr>
      <w:r w:rsidRPr="0086140C">
        <w:rPr>
          <w:b w:val="0"/>
          <w:sz w:val="24"/>
          <w:szCs w:val="24"/>
          <w:lang w:val="ca-ES"/>
        </w:rPr>
        <w:t xml:space="preserve">Els pactes convencionals per a la realització obligatòria de les hores extraordinàries no s’utilitza amb molta freqüència, atès que representen el 8,68% del total de convenis analitzats, els quals es refereixen únicament a casos de força major, imprevistos i averies. </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rPr>
          <w:b w:val="0"/>
          <w:sz w:val="24"/>
          <w:szCs w:val="24"/>
          <w:lang w:val="ca-ES"/>
        </w:rPr>
      </w:pPr>
      <w:r w:rsidRPr="0086140C">
        <w:rPr>
          <w:b w:val="0"/>
          <w:sz w:val="24"/>
          <w:szCs w:val="24"/>
          <w:lang w:val="ca-ES"/>
        </w:rPr>
        <w:t xml:space="preserve">Respecte a la compensació de les hores extraordinàries, l’Estatut dels Treballadors remet a la negociació col·lectiva o al contracte individual, per a l’establiment de la compensació de les hores extraordinàries amb descans o en metàl·lic, sense que en cap cas pugui ser inferior al valor de la hora ordinària o al temps equivalent de descans retribuït. En defecte de pacte, s’entendrà que les hores extraordinàries realitzades hauran de ser compensades mitjançant descans dins dels quatre mesos següents a la seva realització. </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rPr>
          <w:b w:val="0"/>
          <w:sz w:val="24"/>
          <w:szCs w:val="24"/>
          <w:lang w:val="ca-ES"/>
        </w:rPr>
      </w:pPr>
      <w:r w:rsidRPr="0086140C">
        <w:rPr>
          <w:b w:val="0"/>
          <w:sz w:val="24"/>
          <w:szCs w:val="24"/>
          <w:lang w:val="ca-ES"/>
        </w:rPr>
        <w:t xml:space="preserve">De l’anàlisi dels convenis col·lectius observem que el </w:t>
      </w:r>
      <w:r w:rsidR="00972EC4">
        <w:rPr>
          <w:b w:val="0"/>
          <w:sz w:val="24"/>
          <w:szCs w:val="24"/>
          <w:lang w:val="ca-ES"/>
        </w:rPr>
        <w:t>20,55</w:t>
      </w:r>
      <w:r w:rsidRPr="0086140C">
        <w:rPr>
          <w:b w:val="0"/>
          <w:sz w:val="24"/>
          <w:szCs w:val="24"/>
          <w:lang w:val="ca-ES"/>
        </w:rPr>
        <w:t>% dels convenis estableixen la compensació preferentment amb descansos, el 15,</w:t>
      </w:r>
      <w:r w:rsidR="00972EC4">
        <w:rPr>
          <w:b w:val="0"/>
          <w:sz w:val="24"/>
          <w:szCs w:val="24"/>
          <w:lang w:val="ca-ES"/>
        </w:rPr>
        <w:t>53</w:t>
      </w:r>
      <w:r w:rsidRPr="0086140C">
        <w:rPr>
          <w:b w:val="0"/>
          <w:sz w:val="24"/>
          <w:szCs w:val="24"/>
          <w:lang w:val="ca-ES"/>
        </w:rPr>
        <w:t xml:space="preserve">% regulen la preferència per la compensació en metàl·lic i el </w:t>
      </w:r>
      <w:r w:rsidR="00972EC4">
        <w:rPr>
          <w:b w:val="0"/>
          <w:sz w:val="24"/>
          <w:szCs w:val="24"/>
          <w:lang w:val="ca-ES"/>
        </w:rPr>
        <w:t>36,53</w:t>
      </w:r>
      <w:r w:rsidRPr="0086140C">
        <w:rPr>
          <w:b w:val="0"/>
          <w:sz w:val="24"/>
          <w:szCs w:val="24"/>
          <w:lang w:val="ca-ES"/>
        </w:rPr>
        <w:t>% es compensa indistintament amb descansos o en metàl·lic. La resta de convenis analitzats (</w:t>
      </w:r>
      <w:r w:rsidR="00972EC4">
        <w:rPr>
          <w:b w:val="0"/>
          <w:sz w:val="24"/>
          <w:szCs w:val="24"/>
          <w:lang w:val="ca-ES"/>
        </w:rPr>
        <w:t>27,40</w:t>
      </w:r>
      <w:r w:rsidRPr="0086140C">
        <w:rPr>
          <w:b w:val="0"/>
          <w:sz w:val="24"/>
          <w:szCs w:val="24"/>
          <w:lang w:val="ca-ES"/>
        </w:rPr>
        <w:t xml:space="preserve">%) no estableixen la fórmula de compensació de les hores extraordinàries. </w:t>
      </w:r>
    </w:p>
    <w:p w:rsidR="00DF7DF3" w:rsidRPr="0086140C" w:rsidRDefault="00DF7DF3" w:rsidP="00DF7DF3">
      <w:pPr>
        <w:pStyle w:val="TEXTBOLD"/>
        <w:spacing w:line="276" w:lineRule="auto"/>
        <w:rPr>
          <w:b w:val="0"/>
          <w:sz w:val="24"/>
          <w:szCs w:val="24"/>
          <w:lang w:val="ca-ES"/>
        </w:rPr>
      </w:pPr>
    </w:p>
    <w:p w:rsidR="00DF7DF3" w:rsidRPr="0086140C" w:rsidRDefault="00DF7DF3" w:rsidP="00DF7DF3">
      <w:pPr>
        <w:pStyle w:val="TEXTBOLD"/>
        <w:spacing w:line="276" w:lineRule="auto"/>
        <w:rPr>
          <w:b w:val="0"/>
          <w:sz w:val="24"/>
          <w:szCs w:val="24"/>
          <w:lang w:val="ca-ES"/>
        </w:rPr>
      </w:pPr>
      <w:r w:rsidRPr="0086140C">
        <w:rPr>
          <w:b w:val="0"/>
          <w:sz w:val="24"/>
          <w:szCs w:val="24"/>
          <w:lang w:val="ca-ES"/>
        </w:rPr>
        <w:t xml:space="preserve">En comparació amb les dades de l’Enquesta sobre Negociació Col·lectiva de la CEOE de l’any 2008, podem observar una disminució en la regulació de les modalitats de compensació de les hores extraordinàries, passant del 39% al 22% en el cas de la compensació per descansos i dels convenis que preveuen la compensació preferentment en metàl·lic del 32% al 16%. </w:t>
      </w:r>
    </w:p>
    <w:p w:rsidR="00DF7DF3" w:rsidRPr="0086140C" w:rsidRDefault="00DF7DF3" w:rsidP="00DF7DF3">
      <w:pPr>
        <w:jc w:val="both"/>
        <w:rPr>
          <w:rFonts w:ascii="Rotis Sans Serif Std" w:hAnsi="Rotis Sans Serif Std" w:cs="RotisSansSerifStd-Regular"/>
          <w:color w:val="5E6061"/>
          <w:lang w:eastAsia="es-ES_tradnl"/>
        </w:rPr>
      </w:pPr>
    </w:p>
    <w:p w:rsidR="00DF7DF3" w:rsidRPr="0086140C" w:rsidRDefault="00DF7DF3" w:rsidP="007A46A8">
      <w:pPr>
        <w:tabs>
          <w:tab w:val="left" w:pos="0"/>
        </w:tabs>
        <w:jc w:val="center"/>
        <w:rPr>
          <w:rFonts w:ascii="Rotis Sans Serif Std" w:hAnsi="Rotis Sans Serif Std" w:cs="RotisSansSerifStd-Regular"/>
          <w:color w:val="5E6061"/>
          <w:lang w:eastAsia="es-ES_tradnl"/>
        </w:rPr>
      </w:pPr>
      <w:r w:rsidRPr="0086140C">
        <w:rPr>
          <w:rFonts w:ascii="Rotis Sans Serif Std" w:hAnsi="Rotis Sans Serif Std"/>
          <w:noProof/>
          <w:lang w:val="es-ES" w:eastAsia="es-ES"/>
        </w:rPr>
        <w:drawing>
          <wp:inline distT="0" distB="0" distL="0" distR="0" wp14:anchorId="79E7C0CC" wp14:editId="4ADC5CE0">
            <wp:extent cx="4701396" cy="2562045"/>
            <wp:effectExtent l="0" t="0" r="23495" b="1016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DF7DF3" w:rsidRPr="00DF7DF3" w:rsidRDefault="00DF7DF3" w:rsidP="00DF7DF3">
      <w:pPr>
        <w:pStyle w:val="TEXTBOLD"/>
        <w:spacing w:line="276" w:lineRule="auto"/>
        <w:jc w:val="center"/>
        <w:rPr>
          <w:b w:val="0"/>
          <w:sz w:val="20"/>
          <w:szCs w:val="24"/>
          <w:lang w:val="ca-ES"/>
        </w:rPr>
      </w:pPr>
      <w:r w:rsidRPr="00DF7DF3">
        <w:rPr>
          <w:b w:val="0"/>
          <w:sz w:val="20"/>
          <w:szCs w:val="24"/>
          <w:lang w:val="ca-ES"/>
        </w:rPr>
        <w:t>Font: Estudi propi sobre Negociació Col·lectiva.</w:t>
      </w:r>
    </w:p>
    <w:p w:rsidR="00DF7DF3" w:rsidRPr="0086140C" w:rsidRDefault="00DF7DF3" w:rsidP="00DF7DF3">
      <w:pPr>
        <w:jc w:val="center"/>
        <w:rPr>
          <w:rFonts w:ascii="Rotis Sans Serif Std" w:hAnsi="Rotis Sans Serif Std" w:cs="RotisSansSerifStd-Regular"/>
          <w:color w:val="5E6061"/>
          <w:lang w:eastAsia="es-ES_tradnl"/>
        </w:rPr>
      </w:pPr>
    </w:p>
    <w:p w:rsidR="00DF7DF3" w:rsidRPr="0086140C" w:rsidRDefault="00DF7DF3" w:rsidP="00DF7DF3">
      <w:pPr>
        <w:pStyle w:val="TEXTBOLD"/>
        <w:spacing w:line="276" w:lineRule="auto"/>
        <w:rPr>
          <w:sz w:val="24"/>
          <w:szCs w:val="24"/>
          <w:lang w:val="es-ES"/>
        </w:rPr>
      </w:pPr>
      <w:r w:rsidRPr="0086140C">
        <w:rPr>
          <w:b w:val="0"/>
          <w:sz w:val="24"/>
          <w:szCs w:val="24"/>
          <w:lang w:val="ca-ES"/>
        </w:rPr>
        <w:t>Centrant-nos en la compensació de les hores extraordinàries amb descansos, podem observar com el 33,33% de convenis fixen un valor d’entre el 100% i el 149% per la compensació, un 33,33% estableix</w:t>
      </w:r>
      <w:r w:rsidR="00972EC4">
        <w:rPr>
          <w:b w:val="0"/>
          <w:sz w:val="24"/>
          <w:szCs w:val="24"/>
          <w:lang w:val="ca-ES"/>
        </w:rPr>
        <w:t xml:space="preserve">en la compensació en un 150%, </w:t>
      </w:r>
      <w:r w:rsidRPr="0086140C">
        <w:rPr>
          <w:b w:val="0"/>
          <w:sz w:val="24"/>
          <w:szCs w:val="24"/>
          <w:lang w:val="ca-ES"/>
        </w:rPr>
        <w:t xml:space="preserve"> en el 27,59% de Convenis el valor de la hora es compensa entre el 151-175% i el 5,75% superior al 175%. </w:t>
      </w:r>
    </w:p>
    <w:p w:rsidR="00DF7DF3" w:rsidRPr="0086140C" w:rsidRDefault="00DF7DF3" w:rsidP="00DF7DF3">
      <w:pPr>
        <w:jc w:val="both"/>
        <w:rPr>
          <w:rFonts w:ascii="Rotis Sans Serif Std" w:hAnsi="Rotis Sans Serif Std" w:cs="RotisSansSerifStd-Regular"/>
          <w:color w:val="5E6061"/>
          <w:lang w:eastAsia="es-ES_tradnl"/>
        </w:rPr>
      </w:pPr>
    </w:p>
    <w:p w:rsidR="00DF7DF3" w:rsidRPr="0086140C" w:rsidRDefault="00DF7DF3" w:rsidP="00DF7DF3">
      <w:pPr>
        <w:jc w:val="center"/>
        <w:rPr>
          <w:rFonts w:ascii="Rotis Sans Serif Std" w:hAnsi="Rotis Sans Serif Std" w:cs="RotisSansSerifStd-Regular"/>
          <w:color w:val="5E6061"/>
          <w:lang w:eastAsia="es-ES_tradnl"/>
        </w:rPr>
      </w:pPr>
      <w:r w:rsidRPr="0086140C">
        <w:rPr>
          <w:rFonts w:ascii="Rotis Sans Serif Std" w:hAnsi="Rotis Sans Serif Std"/>
          <w:noProof/>
          <w:lang w:val="es-ES" w:eastAsia="es-ES"/>
        </w:rPr>
        <w:drawing>
          <wp:inline distT="0" distB="0" distL="0" distR="0" wp14:anchorId="02E3E681" wp14:editId="7C0E9044">
            <wp:extent cx="5267325" cy="2571750"/>
            <wp:effectExtent l="0" t="0" r="9525" b="19050"/>
            <wp:docPr id="52" name="Chart 5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mv="urn:schemas-microsoft-com:mac:vml" xmlns:mo="http://schemas.microsoft.com/office/mac/office/2008/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DF7DF3" w:rsidRPr="00DF7DF3" w:rsidRDefault="00DF7DF3" w:rsidP="00DF7DF3">
      <w:pPr>
        <w:pStyle w:val="TEXTBOLD"/>
        <w:spacing w:line="276" w:lineRule="auto"/>
        <w:jc w:val="center"/>
        <w:rPr>
          <w:b w:val="0"/>
          <w:sz w:val="20"/>
          <w:szCs w:val="24"/>
          <w:lang w:val="ca-ES"/>
        </w:rPr>
      </w:pPr>
      <w:r w:rsidRPr="00DF7DF3">
        <w:rPr>
          <w:b w:val="0"/>
          <w:sz w:val="20"/>
          <w:szCs w:val="24"/>
          <w:lang w:val="ca-ES"/>
        </w:rPr>
        <w:t>Font: Estudi propi sobre Negociació Col·lectiva.</w:t>
      </w:r>
    </w:p>
    <w:p w:rsidR="00DF7DF3" w:rsidRDefault="004213C1" w:rsidP="00DF7DF3">
      <w:pPr>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u w:val="single"/>
          <w:lang w:eastAsia="es-ES_tradnl"/>
        </w:rPr>
        <w:t>Q</w:t>
      </w:r>
      <w:r w:rsidR="00DF7DF3" w:rsidRPr="0086140C">
        <w:rPr>
          <w:rFonts w:ascii="Rotis Sans Serif Std" w:hAnsi="Rotis Sans Serif Std" w:cs="RotisSansSerifStd-Regular"/>
          <w:color w:val="5E6061"/>
          <w:u w:val="single"/>
          <w:lang w:eastAsia="es-ES_tradnl"/>
        </w:rPr>
        <w:t>uant als acord</w:t>
      </w:r>
      <w:r w:rsidR="00972EC4">
        <w:rPr>
          <w:rFonts w:ascii="Rotis Sans Serif Std" w:hAnsi="Rotis Sans Serif Std" w:cs="RotisSansSerifStd-Regular"/>
          <w:color w:val="5E6061"/>
          <w:u w:val="single"/>
          <w:lang w:eastAsia="es-ES_tradnl"/>
        </w:rPr>
        <w:t>s</w:t>
      </w:r>
      <w:r w:rsidR="00DF7DF3" w:rsidRPr="0086140C">
        <w:rPr>
          <w:rFonts w:ascii="Rotis Sans Serif Std" w:hAnsi="Rotis Sans Serif Std" w:cs="RotisSansSerifStd-Regular"/>
          <w:color w:val="5E6061"/>
          <w:u w:val="single"/>
          <w:lang w:eastAsia="es-ES_tradnl"/>
        </w:rPr>
        <w:t xml:space="preserve"> per la reducció, supressió o prohibició</w:t>
      </w:r>
      <w:r w:rsidR="00DF7DF3" w:rsidRPr="0086140C">
        <w:rPr>
          <w:rFonts w:ascii="Rotis Sans Serif Std" w:hAnsi="Rotis Sans Serif Std" w:cs="RotisSansSerifStd-Regular"/>
          <w:color w:val="5E6061"/>
          <w:lang w:eastAsia="es-ES_tradnl"/>
        </w:rPr>
        <w:t xml:space="preserve"> de la realització d’hores extraordinàries, es troben presents en el 29,68% dels convenis col·lectius analitzats. Aquesta previsió es més freqüent en els convenis col·lectius d’àmbit autonòmic (35,71%) i en els d’àmbit estatal (30,69%) que en els provincials (25%). </w:t>
      </w:r>
    </w:p>
    <w:p w:rsidR="00DF7DF3" w:rsidRDefault="00DF7DF3" w:rsidP="00DF7DF3">
      <w:pPr>
        <w:jc w:val="both"/>
        <w:rPr>
          <w:rFonts w:ascii="Rotis Sans Serif Std" w:hAnsi="Rotis Sans Serif Std" w:cs="RotisSansSerifStd-Regular"/>
          <w:color w:val="5E6061"/>
          <w:lang w:eastAsia="es-ES_tradnl"/>
        </w:rPr>
      </w:pPr>
      <w:bookmarkStart w:id="18" w:name="_GoBack"/>
      <w:bookmarkEnd w:id="18"/>
    </w:p>
    <w:p w:rsidR="007A46A8" w:rsidRPr="0086140C" w:rsidRDefault="007A46A8" w:rsidP="00DF7DF3">
      <w:pPr>
        <w:jc w:val="both"/>
        <w:rPr>
          <w:rFonts w:ascii="Rotis Sans Serif Std" w:hAnsi="Rotis Sans Serif Std" w:cs="RotisSansSerifStd-Regular"/>
          <w:color w:val="5E6061"/>
          <w:lang w:eastAsia="es-ES_tradnl"/>
        </w:rPr>
      </w:pPr>
    </w:p>
    <w:p w:rsidR="00824804" w:rsidRPr="003F2D9D" w:rsidRDefault="003F2D9D" w:rsidP="00824804">
      <w:pPr>
        <w:pStyle w:val="HTMLconformatoprevio"/>
        <w:jc w:val="both"/>
        <w:rPr>
          <w:rFonts w:ascii="Rotis Sans Serif Std" w:hAnsi="Rotis Sans Serif Std" w:cs="Times New Roman"/>
          <w:b/>
          <w:color w:val="C1002B"/>
          <w:sz w:val="24"/>
          <w:szCs w:val="24"/>
          <w:lang w:val="ca-ES" w:eastAsia="en-US"/>
        </w:rPr>
      </w:pPr>
      <w:r w:rsidRPr="003F2D9D">
        <w:rPr>
          <w:rFonts w:ascii="Rotis Sans Serif Std" w:hAnsi="Rotis Sans Serif Std" w:cs="Times New Roman"/>
          <w:b/>
          <w:color w:val="C1002B"/>
          <w:sz w:val="24"/>
          <w:szCs w:val="24"/>
          <w:lang w:val="ca-ES" w:eastAsia="en-US"/>
        </w:rPr>
        <w:t>2.7.2 Desconnexió laboral</w:t>
      </w:r>
    </w:p>
    <w:p w:rsidR="00C630AA" w:rsidRDefault="00824804" w:rsidP="00C630AA">
      <w:pPr>
        <w:pStyle w:val="HTMLconformatoprevio"/>
        <w:jc w:val="both"/>
        <w:rPr>
          <w:rFonts w:ascii="Rotis Sans Serif Std" w:hAnsi="Rotis Sans Serif Std" w:cs="RotisSansSerifStd-Regular"/>
          <w:color w:val="5E6061"/>
          <w:sz w:val="24"/>
          <w:szCs w:val="24"/>
          <w:lang w:val="ca-ES" w:eastAsia="es-ES_tradnl"/>
        </w:rPr>
      </w:pPr>
      <w:r>
        <w:rPr>
          <w:rFonts w:ascii="Rotis Sans Serif Std" w:hAnsi="Rotis Sans Serif Std" w:cs="RotisSansSerifStd-Regular"/>
          <w:color w:val="5E6061"/>
          <w:sz w:val="24"/>
          <w:szCs w:val="24"/>
          <w:lang w:val="ca-ES" w:eastAsia="es-ES_tradnl"/>
        </w:rPr>
        <w:t xml:space="preserve"> </w:t>
      </w:r>
    </w:p>
    <w:p w:rsidR="00B71E37" w:rsidRDefault="00B71E37" w:rsidP="00C630AA">
      <w:pPr>
        <w:pStyle w:val="HTMLconformatoprevio"/>
        <w:jc w:val="both"/>
        <w:rPr>
          <w:rFonts w:ascii="Rotis Sans Serif Std" w:hAnsi="Rotis Sans Serif Std" w:cs="RotisSansSerifStd-Regular"/>
          <w:color w:val="5E6061"/>
          <w:sz w:val="24"/>
          <w:szCs w:val="24"/>
          <w:lang w:val="ca-ES" w:eastAsia="es-ES_tradnl"/>
        </w:rPr>
      </w:pPr>
      <w:r w:rsidRPr="0010496E">
        <w:rPr>
          <w:rFonts w:ascii="Rotis Sans Serif Std" w:hAnsi="Rotis Sans Serif Std" w:cs="RotisSansSerifStd-Regular"/>
          <w:color w:val="5E6061"/>
          <w:sz w:val="24"/>
          <w:szCs w:val="24"/>
          <w:lang w:val="ca-ES" w:eastAsia="es-ES_tradnl"/>
        </w:rPr>
        <w:t>El futur del treball ha canviat amb rapidesa com a conseqüència del desenvolupament de la tecnologia digital</w:t>
      </w:r>
      <w:r w:rsidR="00787118">
        <w:rPr>
          <w:rFonts w:ascii="Rotis Sans Serif Std" w:hAnsi="Rotis Sans Serif Std" w:cs="RotisSansSerifStd-Regular"/>
          <w:color w:val="5E6061"/>
          <w:sz w:val="24"/>
          <w:szCs w:val="24"/>
          <w:lang w:val="ca-ES" w:eastAsia="es-ES_tradnl"/>
        </w:rPr>
        <w:t xml:space="preserve"> i</w:t>
      </w:r>
      <w:r w:rsidRPr="0010496E">
        <w:rPr>
          <w:rFonts w:ascii="Rotis Sans Serif Std" w:hAnsi="Rotis Sans Serif Std" w:cs="RotisSansSerifStd-Regular"/>
          <w:color w:val="5E6061"/>
          <w:sz w:val="24"/>
          <w:szCs w:val="24"/>
          <w:lang w:val="ca-ES" w:eastAsia="es-ES_tradnl"/>
        </w:rPr>
        <w:t xml:space="preserve"> la globalització, a  més d</w:t>
      </w:r>
      <w:r w:rsidR="00A51220">
        <w:rPr>
          <w:rFonts w:ascii="Rotis Sans Serif Std" w:hAnsi="Rotis Sans Serif Std" w:cs="RotisSansSerifStd-Regular"/>
          <w:color w:val="5E6061"/>
          <w:sz w:val="24"/>
          <w:szCs w:val="24"/>
          <w:lang w:val="ca-ES" w:eastAsia="es-ES_tradnl"/>
        </w:rPr>
        <w:t>'altres canvis fonamentals en l’</w:t>
      </w:r>
      <w:r w:rsidRPr="0010496E">
        <w:rPr>
          <w:rFonts w:ascii="Rotis Sans Serif Std" w:hAnsi="Rotis Sans Serif Std" w:cs="RotisSansSerifStd-Regular"/>
          <w:color w:val="5E6061"/>
          <w:sz w:val="24"/>
          <w:szCs w:val="24"/>
          <w:lang w:val="ca-ES" w:eastAsia="es-ES_tradnl"/>
        </w:rPr>
        <w:t>organització del treball. La conjunció d’aques</w:t>
      </w:r>
      <w:r>
        <w:rPr>
          <w:rFonts w:ascii="Rotis Sans Serif Std" w:hAnsi="Rotis Sans Serif Std" w:cs="RotisSansSerifStd-Regular"/>
          <w:color w:val="5E6061"/>
          <w:sz w:val="24"/>
          <w:szCs w:val="24"/>
          <w:lang w:val="ca-ES" w:eastAsia="es-ES_tradnl"/>
        </w:rPr>
        <w:t>ts diferents factors suposa un canvi de paradigma del mercat</w:t>
      </w:r>
      <w:r w:rsidRPr="0010496E">
        <w:rPr>
          <w:rFonts w:ascii="Rotis Sans Serif Std" w:hAnsi="Rotis Sans Serif Std" w:cs="RotisSansSerifStd-Regular"/>
          <w:color w:val="5E6061"/>
          <w:sz w:val="24"/>
          <w:szCs w:val="24"/>
          <w:lang w:val="ca-ES" w:eastAsia="es-ES_tradnl"/>
        </w:rPr>
        <w:t xml:space="preserve"> laboral</w:t>
      </w:r>
      <w:r w:rsidR="00B672CB">
        <w:rPr>
          <w:rFonts w:ascii="Rotis Sans Serif Std" w:hAnsi="Rotis Sans Serif Std" w:cs="RotisSansSerifStd-Regular"/>
          <w:color w:val="5E6061"/>
          <w:sz w:val="24"/>
          <w:szCs w:val="24"/>
          <w:lang w:val="ca-ES" w:eastAsia="es-ES_tradnl"/>
        </w:rPr>
        <w:t xml:space="preserve">, i si bé les noves tecnologies han permès una major flexibilitat en </w:t>
      </w:r>
      <w:r w:rsidR="00E030EF">
        <w:rPr>
          <w:rFonts w:ascii="Rotis Sans Serif Std" w:hAnsi="Rotis Sans Serif Std" w:cs="RotisSansSerifStd-Regular"/>
          <w:color w:val="5E6061"/>
          <w:sz w:val="24"/>
          <w:szCs w:val="24"/>
          <w:lang w:val="ca-ES" w:eastAsia="es-ES_tradnl"/>
        </w:rPr>
        <w:t>les</w:t>
      </w:r>
      <w:r w:rsidR="00B672CB">
        <w:rPr>
          <w:rFonts w:ascii="Rotis Sans Serif Std" w:hAnsi="Rotis Sans Serif Std" w:cs="RotisSansSerifStd-Regular"/>
          <w:color w:val="5E6061"/>
          <w:sz w:val="24"/>
          <w:szCs w:val="24"/>
          <w:lang w:val="ca-ES" w:eastAsia="es-ES_tradnl"/>
        </w:rPr>
        <w:t xml:space="preserve"> relacions laborals</w:t>
      </w:r>
      <w:r w:rsidR="00E030EF">
        <w:rPr>
          <w:rFonts w:ascii="Rotis Sans Serif Std" w:hAnsi="Rotis Sans Serif Std" w:cs="RotisSansSerifStd-Regular"/>
          <w:color w:val="5E6061"/>
          <w:sz w:val="24"/>
          <w:szCs w:val="24"/>
          <w:lang w:val="ca-ES" w:eastAsia="es-ES_tradnl"/>
        </w:rPr>
        <w:t xml:space="preserve"> també po</w:t>
      </w:r>
      <w:r w:rsidR="00520DA5">
        <w:rPr>
          <w:rFonts w:ascii="Rotis Sans Serif Std" w:hAnsi="Rotis Sans Serif Std" w:cs="RotisSansSerifStd-Regular"/>
          <w:color w:val="5E6061"/>
          <w:sz w:val="24"/>
          <w:szCs w:val="24"/>
          <w:lang w:val="ca-ES" w:eastAsia="es-ES_tradnl"/>
        </w:rPr>
        <w:t>den</w:t>
      </w:r>
      <w:r w:rsidR="00E030EF">
        <w:rPr>
          <w:rFonts w:ascii="Rotis Sans Serif Std" w:hAnsi="Rotis Sans Serif Std" w:cs="RotisSansSerifStd-Regular"/>
          <w:color w:val="5E6061"/>
          <w:sz w:val="24"/>
          <w:szCs w:val="24"/>
          <w:lang w:val="ca-ES" w:eastAsia="es-ES_tradnl"/>
        </w:rPr>
        <w:t xml:space="preserve"> suposar </w:t>
      </w:r>
      <w:r w:rsidR="00520DA5">
        <w:rPr>
          <w:rFonts w:ascii="Rotis Sans Serif Std" w:hAnsi="Rotis Sans Serif Std" w:cs="RotisSansSerifStd-Regular"/>
          <w:color w:val="5E6061"/>
          <w:sz w:val="24"/>
          <w:szCs w:val="24"/>
          <w:lang w:val="ca-ES" w:eastAsia="es-ES_tradnl"/>
        </w:rPr>
        <w:t>una connexió continua del treballador en la prestació de serveis, i per t</w:t>
      </w:r>
      <w:r w:rsidR="007B76AC">
        <w:rPr>
          <w:rFonts w:ascii="Rotis Sans Serif Std" w:hAnsi="Rotis Sans Serif Std" w:cs="RotisSansSerifStd-Regular"/>
          <w:color w:val="5E6061"/>
          <w:sz w:val="24"/>
          <w:szCs w:val="24"/>
          <w:lang w:val="ca-ES" w:eastAsia="es-ES_tradnl"/>
        </w:rPr>
        <w:t xml:space="preserve">ant, </w:t>
      </w:r>
      <w:r w:rsidR="00520DA5">
        <w:rPr>
          <w:rFonts w:ascii="Rotis Sans Serif Std" w:hAnsi="Rotis Sans Serif Std" w:cs="RotisSansSerifStd-Regular"/>
          <w:color w:val="5E6061"/>
          <w:sz w:val="24"/>
          <w:szCs w:val="24"/>
          <w:lang w:val="ca-ES" w:eastAsia="es-ES_tradnl"/>
        </w:rPr>
        <w:t xml:space="preserve">una afectació a la conciliació de la vida laboral, familiar i personal i riscos per a la salut de les persones. Per tant, és necessari trobar el necessari equilibri entre </w:t>
      </w:r>
      <w:r w:rsidR="007F7262">
        <w:rPr>
          <w:rFonts w:ascii="Rotis Sans Serif Std" w:hAnsi="Rotis Sans Serif Std" w:cs="RotisSansSerifStd-Regular"/>
          <w:color w:val="5E6061"/>
          <w:sz w:val="24"/>
          <w:szCs w:val="24"/>
          <w:lang w:val="ca-ES" w:eastAsia="es-ES_tradnl"/>
        </w:rPr>
        <w:t xml:space="preserve">el benefici en </w:t>
      </w:r>
      <w:r w:rsidR="00520DA5">
        <w:rPr>
          <w:rFonts w:ascii="Rotis Sans Serif Std" w:hAnsi="Rotis Sans Serif Std" w:cs="RotisSansSerifStd-Regular"/>
          <w:color w:val="5E6061"/>
          <w:sz w:val="24"/>
          <w:szCs w:val="24"/>
          <w:lang w:val="ca-ES" w:eastAsia="es-ES_tradnl"/>
        </w:rPr>
        <w:t xml:space="preserve">l’ús de les </w:t>
      </w:r>
      <w:r w:rsidR="007F7262">
        <w:rPr>
          <w:rFonts w:ascii="Rotis Sans Serif Std" w:hAnsi="Rotis Sans Serif Std" w:cs="RotisSansSerifStd-Regular"/>
          <w:color w:val="5E6061"/>
          <w:sz w:val="24"/>
          <w:szCs w:val="24"/>
          <w:lang w:val="ca-ES" w:eastAsia="es-ES_tradnl"/>
        </w:rPr>
        <w:t>noves tecnologies i</w:t>
      </w:r>
      <w:r w:rsidR="00787118">
        <w:rPr>
          <w:rFonts w:ascii="Rotis Sans Serif Std" w:hAnsi="Rotis Sans Serif Std" w:cs="RotisSansSerifStd-Regular"/>
          <w:color w:val="5E6061"/>
          <w:sz w:val="24"/>
          <w:szCs w:val="24"/>
          <w:lang w:val="ca-ES" w:eastAsia="es-ES_tradnl"/>
        </w:rPr>
        <w:t xml:space="preserve"> el dret a la conciliació.</w:t>
      </w:r>
    </w:p>
    <w:p w:rsidR="009213EA" w:rsidRDefault="009213EA" w:rsidP="00C630AA">
      <w:pPr>
        <w:pStyle w:val="HTMLconformatoprevio"/>
        <w:jc w:val="both"/>
        <w:rPr>
          <w:rFonts w:ascii="Rotis Sans Serif Std" w:hAnsi="Rotis Sans Serif Std" w:cs="RotisSansSerifStd-Regular"/>
          <w:color w:val="5E6061"/>
          <w:sz w:val="24"/>
          <w:szCs w:val="24"/>
          <w:lang w:val="ca-ES" w:eastAsia="es-ES_tradnl"/>
        </w:rPr>
      </w:pPr>
    </w:p>
    <w:p w:rsidR="009213EA" w:rsidRDefault="009213EA" w:rsidP="00C630AA">
      <w:pPr>
        <w:pStyle w:val="HTMLconformatoprevio"/>
        <w:jc w:val="both"/>
        <w:rPr>
          <w:rFonts w:ascii="Rotis Sans Serif Std" w:hAnsi="Rotis Sans Serif Std" w:cs="RotisSansSerifStd-Regular"/>
          <w:i/>
          <w:color w:val="5E6061"/>
          <w:sz w:val="24"/>
          <w:szCs w:val="24"/>
          <w:lang w:val="ca-ES" w:eastAsia="es-ES_tradnl"/>
        </w:rPr>
      </w:pPr>
      <w:r>
        <w:rPr>
          <w:rFonts w:ascii="Rotis Sans Serif Std" w:hAnsi="Rotis Sans Serif Std" w:cs="RotisSansSerifStd-Regular"/>
          <w:color w:val="5E6061"/>
          <w:sz w:val="24"/>
          <w:szCs w:val="24"/>
          <w:lang w:val="ca-ES" w:eastAsia="es-ES_tradnl"/>
        </w:rPr>
        <w:t>Segons l’An</w:t>
      </w:r>
      <w:r w:rsidR="00DF7DF3">
        <w:rPr>
          <w:rFonts w:ascii="Rotis Sans Serif Std" w:hAnsi="Rotis Sans Serif Std" w:cs="RotisSansSerifStd-Regular"/>
          <w:color w:val="5E6061"/>
          <w:sz w:val="24"/>
          <w:szCs w:val="24"/>
          <w:lang w:val="ca-ES" w:eastAsia="es-ES_tradnl"/>
        </w:rPr>
        <w:t xml:space="preserve">àlisi </w:t>
      </w:r>
      <w:proofErr w:type="spellStart"/>
      <w:r w:rsidR="00DF7DF3">
        <w:rPr>
          <w:rFonts w:ascii="Rotis Sans Serif Std" w:hAnsi="Rotis Sans Serif Std" w:cs="RotisSansSerifStd-Regular"/>
          <w:color w:val="5E6061"/>
          <w:sz w:val="24"/>
          <w:szCs w:val="24"/>
          <w:lang w:val="ca-ES" w:eastAsia="es-ES_tradnl"/>
        </w:rPr>
        <w:t>Randstad</w:t>
      </w:r>
      <w:proofErr w:type="spellEnd"/>
      <w:r>
        <w:rPr>
          <w:rFonts w:ascii="Rotis Sans Serif Std" w:hAnsi="Rotis Sans Serif Std" w:cs="RotisSansSerifStd-Regular"/>
          <w:color w:val="5E6061"/>
          <w:sz w:val="24"/>
          <w:szCs w:val="24"/>
          <w:lang w:val="ca-ES" w:eastAsia="es-ES_tradnl"/>
        </w:rPr>
        <w:t xml:space="preserve"> “</w:t>
      </w:r>
      <w:proofErr w:type="spellStart"/>
      <w:r>
        <w:rPr>
          <w:rFonts w:ascii="Rotis Sans Serif Std" w:hAnsi="Rotis Sans Serif Std" w:cs="RotisSansSerifStd-Regular"/>
          <w:i/>
          <w:color w:val="5E6061"/>
          <w:sz w:val="24"/>
          <w:szCs w:val="24"/>
          <w:lang w:val="ca-ES" w:eastAsia="es-ES_tradnl"/>
        </w:rPr>
        <w:t>Desconectar</w:t>
      </w:r>
      <w:proofErr w:type="spellEnd"/>
      <w:r>
        <w:rPr>
          <w:rFonts w:ascii="Rotis Sans Serif Std" w:hAnsi="Rotis Sans Serif Std" w:cs="RotisSansSerifStd-Regular"/>
          <w:i/>
          <w:color w:val="5E6061"/>
          <w:sz w:val="24"/>
          <w:szCs w:val="24"/>
          <w:lang w:val="ca-ES" w:eastAsia="es-ES_tradnl"/>
        </w:rPr>
        <w:t xml:space="preserve"> en </w:t>
      </w:r>
      <w:proofErr w:type="spellStart"/>
      <w:r>
        <w:rPr>
          <w:rFonts w:ascii="Rotis Sans Serif Std" w:hAnsi="Rotis Sans Serif Std" w:cs="RotisSansSerifStd-Regular"/>
          <w:i/>
          <w:color w:val="5E6061"/>
          <w:sz w:val="24"/>
          <w:szCs w:val="24"/>
          <w:lang w:val="ca-ES" w:eastAsia="es-ES_tradnl"/>
        </w:rPr>
        <w:t>vacaciones</w:t>
      </w:r>
      <w:proofErr w:type="spellEnd"/>
      <w:r>
        <w:rPr>
          <w:rFonts w:ascii="Rotis Sans Serif Std" w:hAnsi="Rotis Sans Serif Std" w:cs="RotisSansSerifStd-Regular"/>
          <w:i/>
          <w:color w:val="5E6061"/>
          <w:sz w:val="24"/>
          <w:szCs w:val="24"/>
          <w:lang w:val="ca-ES" w:eastAsia="es-ES_tradnl"/>
        </w:rPr>
        <w:t>” de l’any 2018:</w:t>
      </w:r>
    </w:p>
    <w:p w:rsidR="009213EA" w:rsidRDefault="009213EA" w:rsidP="00C630AA">
      <w:pPr>
        <w:pStyle w:val="HTMLconformatoprevio"/>
        <w:jc w:val="both"/>
        <w:rPr>
          <w:rFonts w:ascii="Rotis Sans Serif Std" w:hAnsi="Rotis Sans Serif Std" w:cs="RotisSansSerifStd-Regular"/>
          <w:i/>
          <w:color w:val="5E6061"/>
          <w:sz w:val="24"/>
          <w:szCs w:val="24"/>
          <w:lang w:val="ca-ES" w:eastAsia="es-ES_tradnl"/>
        </w:rPr>
      </w:pPr>
    </w:p>
    <w:p w:rsidR="009213EA" w:rsidRPr="009213EA" w:rsidRDefault="009213EA" w:rsidP="009213EA">
      <w:pPr>
        <w:pStyle w:val="HTMLconformatoprevio"/>
        <w:numPr>
          <w:ilvl w:val="0"/>
          <w:numId w:val="35"/>
        </w:numPr>
        <w:jc w:val="both"/>
        <w:rPr>
          <w:rFonts w:ascii="Rotis Sans Serif Std" w:hAnsi="Rotis Sans Serif Std" w:cs="RotisSansSerifStd-Regular"/>
          <w:color w:val="5E6061"/>
          <w:sz w:val="24"/>
          <w:szCs w:val="24"/>
          <w:lang w:val="ca-ES" w:eastAsia="es-ES_tradnl"/>
        </w:rPr>
      </w:pPr>
      <w:r w:rsidRPr="009213EA">
        <w:rPr>
          <w:rFonts w:ascii="Rotis Sans Serif Std" w:hAnsi="Rotis Sans Serif Std" w:cs="RotisSansSerifStd-Regular"/>
          <w:color w:val="5E6061"/>
          <w:sz w:val="24"/>
          <w:szCs w:val="24"/>
          <w:lang w:val="ca-ES" w:eastAsia="es-ES_tradnl"/>
        </w:rPr>
        <w:t>El 77,8% dels treballadors assegura que aconsegueix evadir-se del treball durant les seves vacances, fet que suposa un augment de 10,3 punts percentuals respecte a la xifra assolida el 2017</w:t>
      </w:r>
      <w:r>
        <w:rPr>
          <w:rFonts w:ascii="Rotis Sans Serif Std" w:hAnsi="Rotis Sans Serif Std" w:cs="RotisSansSerifStd-Regular"/>
          <w:color w:val="5E6061"/>
          <w:sz w:val="24"/>
          <w:szCs w:val="24"/>
          <w:lang w:val="ca-ES" w:eastAsia="es-ES_tradnl"/>
        </w:rPr>
        <w:t>.</w:t>
      </w:r>
    </w:p>
    <w:p w:rsidR="009213EA" w:rsidRPr="009213EA" w:rsidRDefault="009213EA" w:rsidP="009213EA">
      <w:pPr>
        <w:pStyle w:val="HTMLconformatoprevio"/>
        <w:numPr>
          <w:ilvl w:val="0"/>
          <w:numId w:val="35"/>
        </w:numPr>
        <w:jc w:val="both"/>
        <w:rPr>
          <w:rFonts w:ascii="Rotis Sans Serif Std" w:hAnsi="Rotis Sans Serif Std" w:cs="RotisSansSerifStd-Regular"/>
          <w:color w:val="5E6061"/>
          <w:sz w:val="24"/>
          <w:szCs w:val="24"/>
          <w:lang w:val="ca-ES" w:eastAsia="es-ES_tradnl"/>
        </w:rPr>
      </w:pPr>
      <w:r w:rsidRPr="009213EA">
        <w:rPr>
          <w:rFonts w:ascii="Rotis Sans Serif Std" w:hAnsi="Rotis Sans Serif Std" w:cs="RotisSansSerifStd-Regular"/>
          <w:color w:val="5E6061"/>
          <w:sz w:val="24"/>
          <w:szCs w:val="24"/>
          <w:lang w:val="ca-ES" w:eastAsia="es-ES_tradnl"/>
        </w:rPr>
        <w:t>Per trams d'edat, destaca que a menor edat, major és la dificultat per desconnectar de la feina</w:t>
      </w:r>
      <w:r>
        <w:rPr>
          <w:rFonts w:ascii="Rotis Sans Serif Std" w:hAnsi="Rotis Sans Serif Std" w:cs="RotisSansSerifStd-Regular"/>
          <w:color w:val="5E6061"/>
          <w:sz w:val="24"/>
          <w:szCs w:val="24"/>
          <w:lang w:val="ca-ES" w:eastAsia="es-ES_tradnl"/>
        </w:rPr>
        <w:t xml:space="preserve">. </w:t>
      </w:r>
      <w:r w:rsidRPr="009213EA">
        <w:rPr>
          <w:rFonts w:ascii="Rotis Sans Serif Std" w:hAnsi="Rotis Sans Serif Std" w:cs="RotisSansSerifStd-Regular"/>
          <w:color w:val="5E6061"/>
          <w:sz w:val="24"/>
          <w:szCs w:val="24"/>
          <w:lang w:val="ca-ES" w:eastAsia="es-ES_tradnl"/>
        </w:rPr>
        <w:t>En particular,</w:t>
      </w:r>
      <w:r>
        <w:rPr>
          <w:color w:val="222222"/>
          <w:lang w:val="ca-ES"/>
        </w:rPr>
        <w:t xml:space="preserve"> </w:t>
      </w:r>
      <w:r w:rsidRPr="009213EA">
        <w:rPr>
          <w:rFonts w:ascii="Rotis Sans Serif Std" w:hAnsi="Rotis Sans Serif Std" w:cs="RotisSansSerifStd-Regular"/>
          <w:color w:val="5E6061"/>
          <w:sz w:val="24"/>
          <w:szCs w:val="24"/>
          <w:lang w:val="ca-ES" w:eastAsia="es-ES_tradnl"/>
        </w:rPr>
        <w:t>els menors de 25 anys són els que mostren un major ràtio d'ocupats que no aconsegueix desconnectar, amb un 30,8%. El segueixen els que tenen entre 25 i 45 anys (23%) i, finalment, els majors de 45 anys (15,4%).</w:t>
      </w:r>
    </w:p>
    <w:p w:rsidR="009213EA" w:rsidRPr="009213EA" w:rsidRDefault="009213EA" w:rsidP="009213EA">
      <w:pPr>
        <w:pStyle w:val="HTMLconformatoprevio"/>
        <w:numPr>
          <w:ilvl w:val="0"/>
          <w:numId w:val="35"/>
        </w:numPr>
        <w:jc w:val="both"/>
        <w:rPr>
          <w:rFonts w:ascii="Rotis Sans Serif Std" w:hAnsi="Rotis Sans Serif Std" w:cs="RotisSansSerifStd-Regular"/>
          <w:color w:val="5E6061"/>
          <w:sz w:val="24"/>
          <w:szCs w:val="24"/>
          <w:lang w:val="ca-ES" w:eastAsia="es-ES_tradnl"/>
        </w:rPr>
      </w:pPr>
      <w:r w:rsidRPr="009213EA">
        <w:rPr>
          <w:rFonts w:ascii="Rotis Sans Serif Std" w:hAnsi="Rotis Sans Serif Std" w:cs="RotisSansSerifStd-Regular"/>
          <w:color w:val="5E6061"/>
          <w:sz w:val="24"/>
          <w:szCs w:val="24"/>
          <w:lang w:val="ca-ES" w:eastAsia="es-ES_tradnl"/>
        </w:rPr>
        <w:t>La dificultat per desvincular-se de les qüestions laborals i el contacte amb l'empresa són les principals raons per les quals els professionals no poden desconnectar del seu treball</w:t>
      </w:r>
      <w:r w:rsidR="00972EC4">
        <w:rPr>
          <w:rFonts w:ascii="Rotis Sans Serif Std" w:hAnsi="Rotis Sans Serif Std" w:cs="RotisSansSerifStd-Regular"/>
          <w:color w:val="5E6061"/>
          <w:sz w:val="24"/>
          <w:szCs w:val="24"/>
          <w:lang w:val="ca-ES" w:eastAsia="es-ES_tradnl"/>
        </w:rPr>
        <w:t>.</w:t>
      </w:r>
    </w:p>
    <w:p w:rsidR="009213EA" w:rsidRDefault="009213EA" w:rsidP="009213EA">
      <w:pPr>
        <w:pStyle w:val="HTMLconformatoprevio"/>
        <w:numPr>
          <w:ilvl w:val="0"/>
          <w:numId w:val="35"/>
        </w:numPr>
        <w:jc w:val="both"/>
        <w:rPr>
          <w:rFonts w:ascii="Rotis Sans Serif Std" w:hAnsi="Rotis Sans Serif Std" w:cs="RotisSansSerifStd-Regular"/>
          <w:color w:val="5E6061"/>
          <w:sz w:val="24"/>
          <w:szCs w:val="24"/>
          <w:lang w:val="ca-ES" w:eastAsia="es-ES_tradnl"/>
        </w:rPr>
      </w:pPr>
      <w:r w:rsidRPr="009213EA">
        <w:rPr>
          <w:rFonts w:ascii="Rotis Sans Serif Std" w:hAnsi="Rotis Sans Serif Std" w:cs="RotisSansSerifStd-Regular"/>
          <w:color w:val="5E6061"/>
          <w:sz w:val="24"/>
          <w:szCs w:val="24"/>
          <w:lang w:val="ca-ES" w:eastAsia="es-ES_tradnl"/>
        </w:rPr>
        <w:t>Un de cada quatre professionals (25,6%) només necessita un dia de vacances per desvincular-se del treball</w:t>
      </w:r>
      <w:r>
        <w:rPr>
          <w:rFonts w:ascii="Rotis Sans Serif Std" w:hAnsi="Rotis Sans Serif Std" w:cs="RotisSansSerifStd-Regular"/>
          <w:color w:val="5E6061"/>
          <w:sz w:val="24"/>
          <w:szCs w:val="24"/>
          <w:lang w:val="ca-ES" w:eastAsia="es-ES_tradnl"/>
        </w:rPr>
        <w:t>.</w:t>
      </w:r>
    </w:p>
    <w:p w:rsidR="00016E9D" w:rsidRDefault="00016E9D" w:rsidP="00016E9D">
      <w:pPr>
        <w:pStyle w:val="HTMLconformatoprevio"/>
        <w:jc w:val="both"/>
        <w:rPr>
          <w:rFonts w:ascii="Rotis Sans Serif Std" w:hAnsi="Rotis Sans Serif Std" w:cs="RotisSansSerifStd-Regular"/>
          <w:color w:val="5E6061"/>
          <w:sz w:val="24"/>
          <w:szCs w:val="24"/>
          <w:lang w:val="ca-ES" w:eastAsia="es-ES_tradnl"/>
        </w:rPr>
      </w:pPr>
    </w:p>
    <w:p w:rsidR="00016E9D" w:rsidRDefault="00016E9D" w:rsidP="00016E9D">
      <w:pPr>
        <w:pStyle w:val="HTMLconformatoprevio"/>
        <w:jc w:val="both"/>
        <w:rPr>
          <w:rFonts w:ascii="Rotis Sans Serif Std" w:hAnsi="Rotis Sans Serif Std" w:cs="RotisSansSerifStd-Regular"/>
          <w:color w:val="5E6061"/>
          <w:sz w:val="24"/>
          <w:szCs w:val="24"/>
          <w:lang w:val="ca-ES" w:eastAsia="es-ES_tradnl"/>
        </w:rPr>
      </w:pPr>
    </w:p>
    <w:p w:rsidR="00016E9D" w:rsidRPr="009213EA" w:rsidRDefault="00016E9D" w:rsidP="00016E9D">
      <w:pPr>
        <w:pStyle w:val="HTMLconformatoprevio"/>
        <w:jc w:val="center"/>
        <w:rPr>
          <w:rFonts w:ascii="Rotis Sans Serif Std" w:hAnsi="Rotis Sans Serif Std" w:cs="RotisSansSerifStd-Regular"/>
          <w:color w:val="5E6061"/>
          <w:sz w:val="24"/>
          <w:szCs w:val="24"/>
          <w:lang w:val="ca-ES" w:eastAsia="es-ES_tradnl"/>
        </w:rPr>
      </w:pPr>
      <w:r>
        <w:rPr>
          <w:noProof/>
        </w:rPr>
        <w:drawing>
          <wp:inline distT="0" distB="0" distL="0" distR="0" wp14:anchorId="18588228" wp14:editId="2D9E992A">
            <wp:extent cx="4986068" cy="2613804"/>
            <wp:effectExtent l="0" t="0" r="24130" b="1524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85B4E" w:rsidRPr="00EA5418" w:rsidRDefault="00B85B4E" w:rsidP="00B85B4E">
      <w:pPr>
        <w:pStyle w:val="TEXTBOLD"/>
        <w:spacing w:line="276" w:lineRule="auto"/>
        <w:ind w:left="720"/>
        <w:jc w:val="center"/>
        <w:rPr>
          <w:b w:val="0"/>
          <w:color w:val="404040"/>
          <w:sz w:val="18"/>
          <w:lang w:val="ca-ES"/>
        </w:rPr>
      </w:pPr>
      <w:r w:rsidRPr="00EA5418">
        <w:rPr>
          <w:b w:val="0"/>
          <w:color w:val="404040"/>
          <w:sz w:val="18"/>
          <w:lang w:val="ca-ES"/>
        </w:rPr>
        <w:t xml:space="preserve">Font: Elaboració pròpia a partir de les dades </w:t>
      </w:r>
      <w:r>
        <w:rPr>
          <w:b w:val="0"/>
          <w:color w:val="404040"/>
          <w:sz w:val="18"/>
          <w:lang w:val="ca-ES"/>
        </w:rPr>
        <w:t xml:space="preserve">de ´l’anàlisi </w:t>
      </w:r>
      <w:proofErr w:type="spellStart"/>
      <w:r>
        <w:rPr>
          <w:b w:val="0"/>
          <w:color w:val="404040"/>
          <w:sz w:val="18"/>
          <w:lang w:val="ca-ES"/>
        </w:rPr>
        <w:t>Randstad</w:t>
      </w:r>
      <w:proofErr w:type="spellEnd"/>
      <w:r>
        <w:rPr>
          <w:b w:val="0"/>
          <w:color w:val="404040"/>
          <w:sz w:val="18"/>
          <w:lang w:val="ca-ES"/>
        </w:rPr>
        <w:t xml:space="preserve"> “</w:t>
      </w:r>
      <w:proofErr w:type="spellStart"/>
      <w:r>
        <w:rPr>
          <w:b w:val="0"/>
          <w:color w:val="404040"/>
          <w:sz w:val="18"/>
          <w:lang w:val="ca-ES"/>
        </w:rPr>
        <w:t>Desconectar</w:t>
      </w:r>
      <w:proofErr w:type="spellEnd"/>
      <w:r>
        <w:rPr>
          <w:b w:val="0"/>
          <w:color w:val="404040"/>
          <w:sz w:val="18"/>
          <w:lang w:val="ca-ES"/>
        </w:rPr>
        <w:t xml:space="preserve"> en vacaciones”2018</w:t>
      </w:r>
    </w:p>
    <w:p w:rsidR="009213EA" w:rsidRPr="009213EA" w:rsidRDefault="009213EA" w:rsidP="009213EA">
      <w:pPr>
        <w:pStyle w:val="HTMLconformatoprevio"/>
        <w:jc w:val="both"/>
        <w:rPr>
          <w:rFonts w:ascii="Rotis Sans Serif Std" w:hAnsi="Rotis Sans Serif Std" w:cs="RotisSansSerifStd-Regular"/>
          <w:i/>
          <w:color w:val="5E6061"/>
          <w:sz w:val="24"/>
          <w:szCs w:val="24"/>
          <w:lang w:val="ca-ES" w:eastAsia="es-ES_tradnl"/>
        </w:rPr>
      </w:pPr>
    </w:p>
    <w:p w:rsidR="00823957" w:rsidRDefault="00823957" w:rsidP="00823957">
      <w:pPr>
        <w:pStyle w:val="HTMLconformatoprevio"/>
        <w:jc w:val="both"/>
        <w:rPr>
          <w:rFonts w:ascii="Rotis Sans Serif Std" w:hAnsi="Rotis Sans Serif Std" w:cs="RotisSansSerifStd-Regular"/>
          <w:color w:val="5E6061"/>
          <w:sz w:val="24"/>
          <w:szCs w:val="24"/>
          <w:lang w:val="ca-ES" w:eastAsia="es-ES_tradnl"/>
        </w:rPr>
      </w:pPr>
      <w:r>
        <w:rPr>
          <w:rFonts w:ascii="Rotis Sans Serif Std" w:hAnsi="Rotis Sans Serif Std" w:cs="RotisSansSerifStd-Regular"/>
          <w:color w:val="5E6061"/>
          <w:sz w:val="24"/>
          <w:szCs w:val="24"/>
          <w:lang w:val="ca-ES" w:eastAsia="es-ES_tradnl"/>
        </w:rPr>
        <w:t xml:space="preserve">Són varies, les causes esgrimides sobre quins són els motius pels quals els ocupats no poden desconnectar durant el període de vacances, però la dificultat </w:t>
      </w:r>
      <w:r w:rsidRPr="00823957">
        <w:rPr>
          <w:rFonts w:ascii="Rotis Sans Serif Std" w:hAnsi="Rotis Sans Serif Std" w:cs="RotisSansSerifStd-Regular"/>
          <w:color w:val="5E6061"/>
          <w:sz w:val="24"/>
          <w:szCs w:val="24"/>
          <w:lang w:val="ca-ES" w:eastAsia="es-ES_tradnl"/>
        </w:rPr>
        <w:t xml:space="preserve">per poder desvincular-se de temes laborals és la més esgrimida pels professionals. Un de cada dos treballadors (49,5%) assegura que aquesta és la causa per la qual no desconnecta. La comunicació amb l'empresa, iniciada per la mateixa companyia, i que no hi hagi una altra persona que s'ocupi d'aquestes funcions són la segona i tercera raó argumentada pels professionals, amb un 25% i un 14,7%, respectivament. Les raons menys esmentades pels enquestats són problemes a l'hora de delegar en un altre company (6,8%) i el contacte per part del propi treballador amb </w:t>
      </w:r>
      <w:r>
        <w:rPr>
          <w:rFonts w:ascii="Rotis Sans Serif Std" w:hAnsi="Rotis Sans Serif Std" w:cs="RotisSansSerifStd-Regular"/>
          <w:color w:val="5E6061"/>
          <w:sz w:val="24"/>
          <w:szCs w:val="24"/>
          <w:lang w:val="ca-ES" w:eastAsia="es-ES_tradnl"/>
        </w:rPr>
        <w:t xml:space="preserve">l’empresa. </w:t>
      </w:r>
    </w:p>
    <w:p w:rsidR="00823957" w:rsidRPr="00823957" w:rsidRDefault="00823957" w:rsidP="00823957">
      <w:pPr>
        <w:pStyle w:val="HTMLconformatoprevio"/>
        <w:jc w:val="both"/>
        <w:rPr>
          <w:rFonts w:ascii="Rotis Sans Serif Std" w:hAnsi="Rotis Sans Serif Std" w:cs="RotisSansSerifStd-Regular"/>
          <w:color w:val="5E6061"/>
          <w:sz w:val="24"/>
          <w:szCs w:val="24"/>
          <w:lang w:val="ca-ES" w:eastAsia="es-ES_tradnl"/>
        </w:rPr>
      </w:pPr>
    </w:p>
    <w:p w:rsidR="00823957" w:rsidRDefault="00823957" w:rsidP="00823957">
      <w:pPr>
        <w:pStyle w:val="HTMLconformatoprevio"/>
        <w:jc w:val="center"/>
        <w:rPr>
          <w:rFonts w:ascii="Rotis Sans Serif Std" w:hAnsi="Rotis Sans Serif Std" w:cs="RotisSansSerifStd-Regular"/>
          <w:color w:val="5E6061"/>
          <w:sz w:val="24"/>
          <w:szCs w:val="24"/>
          <w:lang w:val="ca-ES" w:eastAsia="es-ES_tradnl"/>
        </w:rPr>
      </w:pPr>
      <w:r>
        <w:rPr>
          <w:noProof/>
        </w:rPr>
        <w:drawing>
          <wp:inline distT="0" distB="0" distL="0" distR="0" wp14:anchorId="0E951CB3" wp14:editId="43892BC0">
            <wp:extent cx="4572000" cy="2743200"/>
            <wp:effectExtent l="0" t="0" r="19050"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823957" w:rsidRPr="00EA5418" w:rsidRDefault="00823957" w:rsidP="00823957">
      <w:pPr>
        <w:pStyle w:val="TEXTBOLD"/>
        <w:spacing w:line="276" w:lineRule="auto"/>
        <w:ind w:left="720"/>
        <w:jc w:val="left"/>
        <w:rPr>
          <w:b w:val="0"/>
          <w:color w:val="404040"/>
          <w:sz w:val="18"/>
          <w:lang w:val="ca-ES"/>
        </w:rPr>
      </w:pPr>
      <w:r>
        <w:rPr>
          <w:b w:val="0"/>
          <w:color w:val="404040"/>
          <w:sz w:val="18"/>
          <w:lang w:val="ca-ES"/>
        </w:rPr>
        <w:t xml:space="preserve">              </w:t>
      </w:r>
      <w:r w:rsidRPr="00EA5418">
        <w:rPr>
          <w:b w:val="0"/>
          <w:color w:val="404040"/>
          <w:sz w:val="18"/>
          <w:lang w:val="ca-ES"/>
        </w:rPr>
        <w:t xml:space="preserve">Font: Elaboració pròpia a partir de les dades </w:t>
      </w:r>
      <w:r>
        <w:rPr>
          <w:b w:val="0"/>
          <w:color w:val="404040"/>
          <w:sz w:val="18"/>
          <w:lang w:val="ca-ES"/>
        </w:rPr>
        <w:t xml:space="preserve">de ´l’anàlisi </w:t>
      </w:r>
      <w:proofErr w:type="spellStart"/>
      <w:r>
        <w:rPr>
          <w:b w:val="0"/>
          <w:color w:val="404040"/>
          <w:sz w:val="18"/>
          <w:lang w:val="ca-ES"/>
        </w:rPr>
        <w:t>Randstad</w:t>
      </w:r>
      <w:proofErr w:type="spellEnd"/>
      <w:r>
        <w:rPr>
          <w:b w:val="0"/>
          <w:color w:val="404040"/>
          <w:sz w:val="18"/>
          <w:lang w:val="ca-ES"/>
        </w:rPr>
        <w:t xml:space="preserve"> “</w:t>
      </w:r>
      <w:proofErr w:type="spellStart"/>
      <w:r>
        <w:rPr>
          <w:b w:val="0"/>
          <w:color w:val="404040"/>
          <w:sz w:val="18"/>
          <w:lang w:val="ca-ES"/>
        </w:rPr>
        <w:t>Desconectar</w:t>
      </w:r>
      <w:proofErr w:type="spellEnd"/>
      <w:r>
        <w:rPr>
          <w:b w:val="0"/>
          <w:color w:val="404040"/>
          <w:sz w:val="18"/>
          <w:lang w:val="ca-ES"/>
        </w:rPr>
        <w:t xml:space="preserve"> en vacaciones”2018</w:t>
      </w:r>
    </w:p>
    <w:p w:rsidR="00823957" w:rsidRDefault="00823957" w:rsidP="00C630AA">
      <w:pPr>
        <w:pStyle w:val="HTMLconformatoprevio"/>
        <w:jc w:val="both"/>
        <w:rPr>
          <w:rFonts w:ascii="Rotis Sans Serif Std" w:hAnsi="Rotis Sans Serif Std" w:cs="RotisSansSerifStd-Regular"/>
          <w:color w:val="5E6061"/>
          <w:sz w:val="24"/>
          <w:szCs w:val="24"/>
          <w:lang w:val="ca-ES" w:eastAsia="es-ES_tradnl"/>
        </w:rPr>
      </w:pPr>
    </w:p>
    <w:p w:rsidR="00823957" w:rsidRDefault="00DD30EF" w:rsidP="00C630AA">
      <w:pPr>
        <w:pStyle w:val="HTMLconformatoprevio"/>
        <w:jc w:val="both"/>
        <w:rPr>
          <w:rFonts w:ascii="Rotis Sans Serif Std" w:hAnsi="Rotis Sans Serif Std" w:cs="RotisSansSerifStd-Regular"/>
          <w:color w:val="5E6061"/>
          <w:sz w:val="24"/>
          <w:szCs w:val="24"/>
          <w:lang w:val="ca-ES" w:eastAsia="es-ES_tradnl"/>
        </w:rPr>
      </w:pPr>
      <w:r>
        <w:rPr>
          <w:rFonts w:ascii="Rotis Sans Serif Std" w:hAnsi="Rotis Sans Serif Std" w:cs="RotisSansSerifStd-Regular"/>
          <w:color w:val="5E6061"/>
          <w:sz w:val="24"/>
          <w:szCs w:val="24"/>
          <w:lang w:val="ca-ES" w:eastAsia="es-ES_tradnl"/>
        </w:rPr>
        <w:t xml:space="preserve">Segons l’anàlisi de </w:t>
      </w:r>
      <w:proofErr w:type="spellStart"/>
      <w:r>
        <w:rPr>
          <w:rFonts w:ascii="Rotis Sans Serif Std" w:hAnsi="Rotis Sans Serif Std" w:cs="RotisSansSerifStd-Regular"/>
          <w:color w:val="5E6061"/>
          <w:sz w:val="24"/>
          <w:szCs w:val="24"/>
          <w:lang w:val="ca-ES" w:eastAsia="es-ES_tradnl"/>
        </w:rPr>
        <w:t>Randstad</w:t>
      </w:r>
      <w:proofErr w:type="spellEnd"/>
      <w:r>
        <w:rPr>
          <w:rFonts w:ascii="Rotis Sans Serif Std" w:hAnsi="Rotis Sans Serif Std" w:cs="RotisSansSerifStd-Regular"/>
          <w:color w:val="5E6061"/>
          <w:sz w:val="24"/>
          <w:szCs w:val="24"/>
          <w:lang w:val="ca-ES" w:eastAsia="es-ES_tradnl"/>
        </w:rPr>
        <w:t>, e</w:t>
      </w:r>
      <w:r w:rsidRPr="00DD30EF">
        <w:rPr>
          <w:rFonts w:ascii="Rotis Sans Serif Std" w:hAnsi="Rotis Sans Serif Std" w:cs="RotisSansSerifStd-Regular"/>
          <w:color w:val="5E6061"/>
          <w:sz w:val="24"/>
          <w:szCs w:val="24"/>
          <w:lang w:val="ca-ES" w:eastAsia="es-ES_tradnl"/>
        </w:rPr>
        <w:t xml:space="preserve">l percentatge d'ocupats que afirma que no manté cap contacte amb l'empresa durant el període de vacances és superior al 70%, de la mateixa manera que la xifra d'ocupats que aconsegueix evadir-se del treball. En </w:t>
      </w:r>
      <w:r>
        <w:rPr>
          <w:rFonts w:ascii="Rotis Sans Serif Std" w:hAnsi="Rotis Sans Serif Std" w:cs="RotisSansSerifStd-Regular"/>
          <w:color w:val="5E6061"/>
          <w:sz w:val="24"/>
          <w:szCs w:val="24"/>
          <w:lang w:val="ca-ES" w:eastAsia="es-ES_tradnl"/>
        </w:rPr>
        <w:t>concre</w:t>
      </w:r>
      <w:r w:rsidRPr="00DD30EF">
        <w:rPr>
          <w:rFonts w:ascii="Rotis Sans Serif Std" w:hAnsi="Rotis Sans Serif Std" w:cs="RotisSansSerifStd-Regular"/>
          <w:color w:val="5E6061"/>
          <w:sz w:val="24"/>
          <w:szCs w:val="24"/>
          <w:lang w:val="ca-ES" w:eastAsia="es-ES_tradnl"/>
        </w:rPr>
        <w:t>t, el 73,4% afirma que no es comunica de cap manera amb la seva companyia. Del 26,6% que sí que afirma fer-ho, el 53,1% ho fa a través de trucades telefòniques i el 49% a través de serveis de missatgeria instantània. A continuació, es troba el contacte per correu electrònic (35,9%).</w:t>
      </w:r>
    </w:p>
    <w:p w:rsidR="00823957" w:rsidRDefault="00823957" w:rsidP="00C630AA">
      <w:pPr>
        <w:pStyle w:val="HTMLconformatoprevio"/>
        <w:jc w:val="both"/>
        <w:rPr>
          <w:rFonts w:ascii="Rotis Sans Serif Std" w:hAnsi="Rotis Sans Serif Std" w:cs="RotisSansSerifStd-Regular"/>
          <w:color w:val="5E6061"/>
          <w:sz w:val="24"/>
          <w:szCs w:val="24"/>
          <w:lang w:val="ca-ES" w:eastAsia="es-ES_tradnl"/>
        </w:rPr>
      </w:pPr>
    </w:p>
    <w:p w:rsidR="00DD30EF" w:rsidRDefault="00DD30EF" w:rsidP="00DD30EF">
      <w:pPr>
        <w:pStyle w:val="HTMLconformatoprevio"/>
        <w:jc w:val="center"/>
        <w:rPr>
          <w:rFonts w:ascii="Rotis Sans Serif Std" w:hAnsi="Rotis Sans Serif Std" w:cs="RotisSansSerifStd-Regular"/>
          <w:color w:val="5E6061"/>
          <w:sz w:val="24"/>
          <w:szCs w:val="24"/>
          <w:lang w:val="ca-ES" w:eastAsia="es-ES_tradnl"/>
        </w:rPr>
      </w:pPr>
      <w:r>
        <w:rPr>
          <w:noProof/>
        </w:rPr>
        <w:drawing>
          <wp:inline distT="0" distB="0" distL="0" distR="0" wp14:anchorId="601DFB0C" wp14:editId="7E64AED9">
            <wp:extent cx="4572000" cy="2553195"/>
            <wp:effectExtent l="0" t="0" r="19050" b="190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DD30EF" w:rsidRPr="00EA5418" w:rsidRDefault="00DD30EF" w:rsidP="00DD30EF">
      <w:pPr>
        <w:pStyle w:val="TEXTBOLD"/>
        <w:spacing w:line="276" w:lineRule="auto"/>
        <w:ind w:left="720"/>
        <w:jc w:val="left"/>
        <w:rPr>
          <w:b w:val="0"/>
          <w:color w:val="404040"/>
          <w:sz w:val="18"/>
          <w:lang w:val="ca-ES"/>
        </w:rPr>
      </w:pPr>
      <w:r>
        <w:rPr>
          <w:b w:val="0"/>
          <w:color w:val="404040"/>
          <w:sz w:val="18"/>
          <w:lang w:val="ca-ES"/>
        </w:rPr>
        <w:t xml:space="preserve">              </w:t>
      </w:r>
      <w:r w:rsidRPr="00EA5418">
        <w:rPr>
          <w:b w:val="0"/>
          <w:color w:val="404040"/>
          <w:sz w:val="18"/>
          <w:lang w:val="ca-ES"/>
        </w:rPr>
        <w:t xml:space="preserve">Font: Elaboració pròpia a partir de les dades </w:t>
      </w:r>
      <w:r>
        <w:rPr>
          <w:b w:val="0"/>
          <w:color w:val="404040"/>
          <w:sz w:val="18"/>
          <w:lang w:val="ca-ES"/>
        </w:rPr>
        <w:t xml:space="preserve">de ´l’anàlisi </w:t>
      </w:r>
      <w:proofErr w:type="spellStart"/>
      <w:r>
        <w:rPr>
          <w:b w:val="0"/>
          <w:color w:val="404040"/>
          <w:sz w:val="18"/>
          <w:lang w:val="ca-ES"/>
        </w:rPr>
        <w:t>Randstad</w:t>
      </w:r>
      <w:proofErr w:type="spellEnd"/>
      <w:r>
        <w:rPr>
          <w:b w:val="0"/>
          <w:color w:val="404040"/>
          <w:sz w:val="18"/>
          <w:lang w:val="ca-ES"/>
        </w:rPr>
        <w:t xml:space="preserve"> “</w:t>
      </w:r>
      <w:proofErr w:type="spellStart"/>
      <w:r>
        <w:rPr>
          <w:b w:val="0"/>
          <w:color w:val="404040"/>
          <w:sz w:val="18"/>
          <w:lang w:val="ca-ES"/>
        </w:rPr>
        <w:t>Desconectar</w:t>
      </w:r>
      <w:proofErr w:type="spellEnd"/>
      <w:r>
        <w:rPr>
          <w:b w:val="0"/>
          <w:color w:val="404040"/>
          <w:sz w:val="18"/>
          <w:lang w:val="ca-ES"/>
        </w:rPr>
        <w:t xml:space="preserve"> en vacaciones”2018</w:t>
      </w:r>
    </w:p>
    <w:p w:rsidR="00823957" w:rsidRDefault="00823957" w:rsidP="00C630AA">
      <w:pPr>
        <w:pStyle w:val="HTMLconformatoprevio"/>
        <w:jc w:val="both"/>
        <w:rPr>
          <w:rFonts w:ascii="Rotis Sans Serif Std" w:hAnsi="Rotis Sans Serif Std" w:cs="RotisSansSerifStd-Regular"/>
          <w:color w:val="5E6061"/>
          <w:sz w:val="24"/>
          <w:szCs w:val="24"/>
          <w:lang w:val="ca-ES" w:eastAsia="es-ES_tradnl"/>
        </w:rPr>
      </w:pPr>
    </w:p>
    <w:p w:rsidR="007B76AC" w:rsidRDefault="007B76AC" w:rsidP="00C630AA">
      <w:pPr>
        <w:pStyle w:val="HTMLconformatoprevio"/>
        <w:jc w:val="both"/>
        <w:rPr>
          <w:rFonts w:ascii="Rotis Sans Serif Std" w:hAnsi="Rotis Sans Serif Std" w:cs="RotisSansSerifStd-Regular"/>
          <w:color w:val="5E6061"/>
          <w:sz w:val="24"/>
          <w:szCs w:val="24"/>
          <w:lang w:val="ca-ES" w:eastAsia="es-ES_tradnl"/>
        </w:rPr>
      </w:pPr>
      <w:r>
        <w:rPr>
          <w:rFonts w:ascii="Rotis Sans Serif Std" w:hAnsi="Rotis Sans Serif Std" w:cs="RotisSansSerifStd-Regular"/>
          <w:color w:val="5E6061"/>
          <w:sz w:val="24"/>
          <w:szCs w:val="24"/>
          <w:lang w:val="ca-ES" w:eastAsia="es-ES_tradnl"/>
        </w:rPr>
        <w:t xml:space="preserve">Pel que fa al perfil professional, l’anàlisi elaborat per </w:t>
      </w:r>
      <w:proofErr w:type="spellStart"/>
      <w:r>
        <w:rPr>
          <w:rFonts w:ascii="Rotis Sans Serif Std" w:hAnsi="Rotis Sans Serif Std" w:cs="RotisSansSerifStd-Regular"/>
          <w:color w:val="5E6061"/>
          <w:sz w:val="24"/>
          <w:szCs w:val="24"/>
          <w:lang w:val="ca-ES" w:eastAsia="es-ES_tradnl"/>
        </w:rPr>
        <w:t>Randstad</w:t>
      </w:r>
      <w:proofErr w:type="spellEnd"/>
      <w:r>
        <w:rPr>
          <w:rFonts w:ascii="Rotis Sans Serif Std" w:hAnsi="Rotis Sans Serif Std" w:cs="RotisSansSerifStd-Regular"/>
          <w:color w:val="5E6061"/>
          <w:sz w:val="24"/>
          <w:szCs w:val="24"/>
          <w:lang w:val="ca-ES" w:eastAsia="es-ES_tradnl"/>
        </w:rPr>
        <w:t xml:space="preserve"> posa de manifest que a major responsabilitat major són les dificultats per desconnectar durant les vacances. </w:t>
      </w:r>
    </w:p>
    <w:p w:rsidR="007B76AC" w:rsidRDefault="007B76AC" w:rsidP="00C630AA">
      <w:pPr>
        <w:pStyle w:val="HTMLconformatoprevio"/>
        <w:jc w:val="both"/>
        <w:rPr>
          <w:rFonts w:ascii="Rotis Sans Serif Std" w:hAnsi="Rotis Sans Serif Std" w:cs="RotisSansSerifStd-Regular"/>
          <w:color w:val="5E6061"/>
          <w:sz w:val="24"/>
          <w:szCs w:val="24"/>
          <w:lang w:val="ca-ES" w:eastAsia="es-ES_tradnl"/>
        </w:rPr>
      </w:pPr>
    </w:p>
    <w:p w:rsidR="007B76AC" w:rsidRDefault="007B76AC" w:rsidP="007B76AC">
      <w:pPr>
        <w:pStyle w:val="HTMLconformatoprevio"/>
        <w:jc w:val="center"/>
        <w:rPr>
          <w:rFonts w:ascii="Rotis Sans Serif Std" w:hAnsi="Rotis Sans Serif Std" w:cs="RotisSansSerifStd-Regular"/>
          <w:color w:val="5E6061"/>
          <w:sz w:val="24"/>
          <w:szCs w:val="24"/>
          <w:lang w:val="ca-ES" w:eastAsia="es-ES_tradnl"/>
        </w:rPr>
      </w:pPr>
      <w:r>
        <w:rPr>
          <w:noProof/>
        </w:rPr>
        <w:drawing>
          <wp:inline distT="0" distB="0" distL="0" distR="0" wp14:anchorId="390AF039" wp14:editId="083E364C">
            <wp:extent cx="4572000" cy="2743200"/>
            <wp:effectExtent l="0" t="0" r="19050" b="1905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7B76AC" w:rsidRPr="00EA5418" w:rsidRDefault="007B76AC" w:rsidP="007B76AC">
      <w:pPr>
        <w:pStyle w:val="TEXTBOLD"/>
        <w:spacing w:line="276" w:lineRule="auto"/>
        <w:ind w:left="720"/>
        <w:jc w:val="left"/>
        <w:rPr>
          <w:b w:val="0"/>
          <w:color w:val="404040"/>
          <w:sz w:val="18"/>
          <w:lang w:val="ca-ES"/>
        </w:rPr>
      </w:pPr>
      <w:r>
        <w:rPr>
          <w:b w:val="0"/>
          <w:color w:val="404040"/>
          <w:sz w:val="18"/>
          <w:lang w:val="ca-ES"/>
        </w:rPr>
        <w:t xml:space="preserve">              </w:t>
      </w:r>
      <w:r w:rsidRPr="00EA5418">
        <w:rPr>
          <w:b w:val="0"/>
          <w:color w:val="404040"/>
          <w:sz w:val="18"/>
          <w:lang w:val="ca-ES"/>
        </w:rPr>
        <w:t xml:space="preserve">Font: Elaboració pròpia a partir de les dades </w:t>
      </w:r>
      <w:r>
        <w:rPr>
          <w:b w:val="0"/>
          <w:color w:val="404040"/>
          <w:sz w:val="18"/>
          <w:lang w:val="ca-ES"/>
        </w:rPr>
        <w:t xml:space="preserve">de ´l’anàlisi </w:t>
      </w:r>
      <w:proofErr w:type="spellStart"/>
      <w:r>
        <w:rPr>
          <w:b w:val="0"/>
          <w:color w:val="404040"/>
          <w:sz w:val="18"/>
          <w:lang w:val="ca-ES"/>
        </w:rPr>
        <w:t>Randstad</w:t>
      </w:r>
      <w:proofErr w:type="spellEnd"/>
      <w:r>
        <w:rPr>
          <w:b w:val="0"/>
          <w:color w:val="404040"/>
          <w:sz w:val="18"/>
          <w:lang w:val="ca-ES"/>
        </w:rPr>
        <w:t xml:space="preserve"> “</w:t>
      </w:r>
      <w:proofErr w:type="spellStart"/>
      <w:r>
        <w:rPr>
          <w:b w:val="0"/>
          <w:color w:val="404040"/>
          <w:sz w:val="18"/>
          <w:lang w:val="ca-ES"/>
        </w:rPr>
        <w:t>Desconectar</w:t>
      </w:r>
      <w:proofErr w:type="spellEnd"/>
      <w:r>
        <w:rPr>
          <w:b w:val="0"/>
          <w:color w:val="404040"/>
          <w:sz w:val="18"/>
          <w:lang w:val="ca-ES"/>
        </w:rPr>
        <w:t xml:space="preserve"> en vacaciones”2018</w:t>
      </w:r>
    </w:p>
    <w:p w:rsidR="00823957" w:rsidRDefault="00823957" w:rsidP="00C630AA">
      <w:pPr>
        <w:pStyle w:val="HTMLconformatoprevio"/>
        <w:jc w:val="both"/>
        <w:rPr>
          <w:rFonts w:ascii="Rotis Sans Serif Std" w:hAnsi="Rotis Sans Serif Std" w:cs="RotisSansSerifStd-Regular"/>
          <w:color w:val="5E6061"/>
          <w:sz w:val="24"/>
          <w:szCs w:val="24"/>
          <w:lang w:val="ca-ES" w:eastAsia="es-ES_tradnl"/>
        </w:rPr>
      </w:pPr>
    </w:p>
    <w:p w:rsidR="007B76AC" w:rsidRDefault="007B76AC" w:rsidP="00C630AA">
      <w:pPr>
        <w:pStyle w:val="HTMLconformatoprevio"/>
        <w:jc w:val="both"/>
        <w:rPr>
          <w:rFonts w:ascii="Rotis Sans Serif Std" w:hAnsi="Rotis Sans Serif Std" w:cs="RotisSansSerifStd-Regular"/>
          <w:color w:val="5E6061"/>
          <w:sz w:val="24"/>
          <w:szCs w:val="24"/>
          <w:lang w:val="ca-ES" w:eastAsia="es-ES_tradnl"/>
        </w:rPr>
      </w:pPr>
    </w:p>
    <w:p w:rsidR="00594EE0" w:rsidRPr="00594EE0" w:rsidRDefault="00C630AA" w:rsidP="00C630AA">
      <w:pPr>
        <w:pStyle w:val="HTMLconformatoprevio"/>
        <w:jc w:val="both"/>
        <w:rPr>
          <w:rFonts w:ascii="Rotis Sans Serif Std" w:hAnsi="Rotis Sans Serif Std" w:cs="RotisSansSerifStd-Regular"/>
          <w:color w:val="5E6061"/>
          <w:sz w:val="24"/>
          <w:szCs w:val="24"/>
          <w:lang w:val="ca-ES" w:eastAsia="es-ES_tradnl"/>
        </w:rPr>
      </w:pPr>
      <w:r>
        <w:rPr>
          <w:rFonts w:ascii="Rotis Sans Serif Std" w:hAnsi="Rotis Sans Serif Std" w:cs="RotisSansSerifStd-Regular"/>
          <w:color w:val="5E6061"/>
          <w:sz w:val="24"/>
          <w:szCs w:val="24"/>
          <w:lang w:val="ca-ES" w:eastAsia="es-ES_tradnl"/>
        </w:rPr>
        <w:t xml:space="preserve">La primera referència a </w:t>
      </w:r>
      <w:r w:rsidR="00A51220">
        <w:rPr>
          <w:rFonts w:ascii="Rotis Sans Serif Std" w:hAnsi="Rotis Sans Serif Std" w:cs="RotisSansSerifStd-Regular"/>
          <w:color w:val="5E6061"/>
          <w:sz w:val="24"/>
          <w:szCs w:val="24"/>
          <w:lang w:val="ca-ES" w:eastAsia="es-ES_tradnl"/>
        </w:rPr>
        <w:t xml:space="preserve">la </w:t>
      </w:r>
      <w:r w:rsidR="00A51220" w:rsidRPr="00972EC4">
        <w:rPr>
          <w:rFonts w:ascii="Rotis Sans Serif Std" w:hAnsi="Rotis Sans Serif Std" w:cs="RotisSansSerifStd-Regular"/>
          <w:color w:val="5E6061"/>
          <w:sz w:val="24"/>
          <w:szCs w:val="24"/>
          <w:u w:val="single"/>
          <w:lang w:val="ca-ES" w:eastAsia="es-ES_tradnl"/>
        </w:rPr>
        <w:t>desconnexió digital</w:t>
      </w:r>
      <w:r w:rsidR="00A51220">
        <w:rPr>
          <w:rFonts w:ascii="Rotis Sans Serif Std" w:hAnsi="Rotis Sans Serif Std" w:cs="RotisSansSerifStd-Regular"/>
          <w:color w:val="5E6061"/>
          <w:sz w:val="24"/>
          <w:szCs w:val="24"/>
          <w:lang w:val="ca-ES" w:eastAsia="es-ES_tradnl"/>
        </w:rPr>
        <w:t xml:space="preserve"> la trobem</w:t>
      </w:r>
      <w:r>
        <w:rPr>
          <w:rFonts w:ascii="Rotis Sans Serif Std" w:hAnsi="Rotis Sans Serif Std" w:cs="RotisSansSerifStd-Regular"/>
          <w:color w:val="5E6061"/>
          <w:sz w:val="24"/>
          <w:szCs w:val="24"/>
          <w:lang w:val="ca-ES" w:eastAsia="es-ES_tradnl"/>
        </w:rPr>
        <w:t xml:space="preserve"> a l’ordenament francès</w:t>
      </w:r>
      <w:r w:rsidR="00DB2A57">
        <w:rPr>
          <w:rStyle w:val="Refdenotaalpie"/>
          <w:rFonts w:ascii="Rotis Sans Serif Std" w:hAnsi="Rotis Sans Serif Std"/>
          <w:color w:val="5E6061"/>
          <w:sz w:val="24"/>
          <w:szCs w:val="24"/>
          <w:lang w:val="ca-ES" w:eastAsia="es-ES_tradnl"/>
        </w:rPr>
        <w:footnoteReference w:id="19"/>
      </w:r>
      <w:r w:rsidR="00DB2A57">
        <w:rPr>
          <w:rFonts w:ascii="Rotis Sans Serif Std" w:hAnsi="Rotis Sans Serif Std" w:cs="RotisSansSerifStd-Regular"/>
          <w:color w:val="5E6061"/>
          <w:sz w:val="24"/>
          <w:szCs w:val="24"/>
          <w:lang w:val="ca-ES" w:eastAsia="es-ES_tradnl"/>
        </w:rPr>
        <w:t xml:space="preserve"> en el qual es remet a la negociació col·lectiva, i en particular, estableix que “</w:t>
      </w:r>
      <w:r w:rsidR="00DB2A57" w:rsidRPr="00594EE0">
        <w:rPr>
          <w:rFonts w:ascii="Rotis Sans Serif Std" w:hAnsi="Rotis Sans Serif Std" w:cs="RotisSansSerifStd-Regular"/>
          <w:i/>
          <w:color w:val="5E6061"/>
          <w:sz w:val="24"/>
          <w:szCs w:val="24"/>
          <w:lang w:val="ca-ES" w:eastAsia="es-ES_tradnl"/>
        </w:rPr>
        <w:t xml:space="preserve">La negociació anual sobre </w:t>
      </w:r>
      <w:r w:rsidR="00594EE0" w:rsidRPr="00594EE0">
        <w:rPr>
          <w:rFonts w:ascii="Rotis Sans Serif Std" w:hAnsi="Rotis Sans Serif Std" w:cs="RotisSansSerifStd-Regular"/>
          <w:i/>
          <w:color w:val="5E6061"/>
          <w:sz w:val="24"/>
          <w:szCs w:val="24"/>
          <w:lang w:val="ca-ES" w:eastAsia="es-ES_tradnl"/>
        </w:rPr>
        <w:t>la igualtat professional en el treballa inclourà: Les modalitats del ple exercici pel treballador del seu dret a la desconnexió i la posada en marxa per l'empresa de dispositius de regulació de la utilització dels dispositius digitals, per tal d'assegurar el respecte del temps de descans i de vacances, així com de la seva vida personal i familiar. A falta d'acord, l'empresari, prèvia audiència del comitè d'empresa o, en el seu defecte, dels delegats de personal, elaborarà una política d'actuació al respecte. Aquesta política definirà les modalitats d'exercici del dret a la desconnexió i preveurà, a més, la posada en marxa d'accions de formació i de sensibilització sobre un ús raonable dels dispositius digitals, dirigida als treballadors,</w:t>
      </w:r>
      <w:r w:rsidR="00594EE0">
        <w:rPr>
          <w:rFonts w:ascii="Rotis Sans Serif Std" w:hAnsi="Rotis Sans Serif Std" w:cs="RotisSansSerifStd-Regular"/>
          <w:i/>
          <w:color w:val="5E6061"/>
          <w:sz w:val="24"/>
          <w:szCs w:val="24"/>
          <w:lang w:val="ca-ES" w:eastAsia="es-ES_tradnl"/>
        </w:rPr>
        <w:t xml:space="preserve"> </w:t>
      </w:r>
      <w:r w:rsidR="00594EE0" w:rsidRPr="00594EE0">
        <w:rPr>
          <w:rFonts w:ascii="Rotis Sans Serif Std" w:hAnsi="Rotis Sans Serif Std" w:cs="RotisSansSerifStd-Regular"/>
          <w:i/>
          <w:color w:val="5E6061"/>
          <w:sz w:val="24"/>
          <w:szCs w:val="24"/>
          <w:lang w:val="ca-ES" w:eastAsia="es-ES_tradnl"/>
        </w:rPr>
        <w:t>comandaments intermedis i direcció”</w:t>
      </w:r>
      <w:r w:rsidR="00594EE0">
        <w:rPr>
          <w:rFonts w:ascii="Rotis Sans Serif Std" w:hAnsi="Rotis Sans Serif Std" w:cs="RotisSansSerifStd-Regular"/>
          <w:i/>
          <w:color w:val="5E6061"/>
          <w:sz w:val="24"/>
          <w:szCs w:val="24"/>
          <w:lang w:val="ca-ES" w:eastAsia="es-ES_tradnl"/>
        </w:rPr>
        <w:t xml:space="preserve">. </w:t>
      </w:r>
      <w:r w:rsidR="00594EE0">
        <w:rPr>
          <w:rFonts w:ascii="Rotis Sans Serif Std" w:hAnsi="Rotis Sans Serif Std" w:cs="RotisSansSerifStd-Regular"/>
          <w:color w:val="5E6061"/>
          <w:sz w:val="24"/>
          <w:szCs w:val="24"/>
          <w:lang w:val="ca-ES" w:eastAsia="es-ES_tradnl"/>
        </w:rPr>
        <w:t>Per tant, observem que no hi ha una definició sobre què s’entén per desconnexió digital sinó una remissió a la negociació col·lectiva</w:t>
      </w:r>
      <w:r w:rsidR="00B71E37">
        <w:rPr>
          <w:rFonts w:ascii="Rotis Sans Serif Std" w:hAnsi="Rotis Sans Serif Std" w:cs="RotisSansSerifStd-Regular"/>
          <w:color w:val="5E6061"/>
          <w:sz w:val="24"/>
          <w:szCs w:val="24"/>
          <w:lang w:val="ca-ES" w:eastAsia="es-ES_tradnl"/>
        </w:rPr>
        <w:t>.</w:t>
      </w:r>
      <w:r w:rsidR="00594EE0">
        <w:rPr>
          <w:rFonts w:ascii="Rotis Sans Serif Std" w:hAnsi="Rotis Sans Serif Std" w:cs="RotisSansSerifStd-Regular"/>
          <w:color w:val="5E6061"/>
          <w:sz w:val="24"/>
          <w:szCs w:val="24"/>
          <w:lang w:val="ca-ES" w:eastAsia="es-ES_tradnl"/>
        </w:rPr>
        <w:t xml:space="preserve"> </w:t>
      </w:r>
    </w:p>
    <w:p w:rsidR="00594EE0" w:rsidRPr="00594EE0" w:rsidRDefault="00594EE0" w:rsidP="00C630AA">
      <w:pPr>
        <w:pStyle w:val="HTMLconformatoprevio"/>
        <w:jc w:val="both"/>
        <w:rPr>
          <w:rFonts w:ascii="Rotis Sans Serif Std" w:hAnsi="Rotis Sans Serif Std" w:cs="RotisSansSerifStd-Regular"/>
          <w:color w:val="5E6061"/>
          <w:sz w:val="24"/>
          <w:szCs w:val="24"/>
          <w:lang w:val="ca-ES" w:eastAsia="es-ES_tradnl"/>
        </w:rPr>
      </w:pPr>
    </w:p>
    <w:p w:rsidR="00321449" w:rsidRPr="007B76AC" w:rsidRDefault="00CC3242" w:rsidP="00C630AA">
      <w:pPr>
        <w:pStyle w:val="HTMLconformatoprevio"/>
        <w:jc w:val="both"/>
        <w:rPr>
          <w:rFonts w:ascii="Rotis Sans Serif Std" w:hAnsi="Rotis Sans Serif Std" w:cs="RotisSansSerifStd-Regular"/>
          <w:color w:val="5E6061"/>
          <w:sz w:val="24"/>
          <w:szCs w:val="24"/>
          <w:lang w:val="ca-ES" w:eastAsia="es-ES_tradnl"/>
        </w:rPr>
      </w:pPr>
      <w:r w:rsidRPr="007B76AC">
        <w:rPr>
          <w:rFonts w:ascii="Rotis Sans Serif Std" w:hAnsi="Rotis Sans Serif Std" w:cs="RotisSansSerifStd-Regular"/>
          <w:color w:val="5E6061"/>
          <w:sz w:val="24"/>
          <w:szCs w:val="24"/>
          <w:lang w:val="ca-ES" w:eastAsia="es-ES_tradnl"/>
        </w:rPr>
        <w:t>En el darrer Acord Interprofessional de Catalunya 2018-2020 anteriorment citat, les organitzacions empresarials i sindicals hem sigut capdavanteres</w:t>
      </w:r>
      <w:r w:rsidR="001B3E2D" w:rsidRPr="007B76AC">
        <w:rPr>
          <w:rStyle w:val="Refdenotaalpie"/>
          <w:rFonts w:ascii="Rotis Sans Serif Std" w:hAnsi="Rotis Sans Serif Std"/>
          <w:color w:val="5E6061"/>
          <w:lang w:val="ca-ES" w:eastAsia="es-ES_tradnl"/>
        </w:rPr>
        <w:footnoteReference w:id="20"/>
      </w:r>
      <w:r w:rsidRPr="007B76AC">
        <w:rPr>
          <w:rFonts w:ascii="Rotis Sans Serif Std" w:hAnsi="Rotis Sans Serif Std" w:cs="RotisSansSerifStd-Regular"/>
          <w:color w:val="5E6061"/>
          <w:lang w:val="ca-ES" w:eastAsia="es-ES_tradnl"/>
        </w:rPr>
        <w:t xml:space="preserve"> </w:t>
      </w:r>
      <w:r w:rsidRPr="007B76AC">
        <w:rPr>
          <w:rFonts w:ascii="Rotis Sans Serif Std" w:hAnsi="Rotis Sans Serif Std" w:cs="RotisSansSerifStd-Regular"/>
          <w:color w:val="5E6061"/>
          <w:sz w:val="24"/>
          <w:szCs w:val="24"/>
          <w:lang w:val="ca-ES" w:eastAsia="es-ES_tradnl"/>
        </w:rPr>
        <w:t xml:space="preserve">en introduir una sèrie de recomanacions a la negociació col·lectiva en relació a la desconnexió digital. </w:t>
      </w:r>
    </w:p>
    <w:p w:rsidR="007A76FB" w:rsidRDefault="007A76FB" w:rsidP="007A76FB">
      <w:pPr>
        <w:jc w:val="both"/>
        <w:rPr>
          <w:rFonts w:ascii="Rotis Sans Serif Std" w:hAnsi="Rotis Sans Serif Std" w:cs="RotisSansSerifStd-Regular"/>
          <w:color w:val="5E6061"/>
          <w:lang w:eastAsia="es-ES_tradnl"/>
        </w:rPr>
      </w:pPr>
      <w:r w:rsidRPr="007A76FB">
        <w:rPr>
          <w:rFonts w:ascii="Rotis Sans Serif Std" w:hAnsi="Rotis Sans Serif Std" w:cs="RotisSansSerifStd-Regular"/>
          <w:color w:val="5E6061"/>
          <w:lang w:eastAsia="es-ES_tradnl"/>
        </w:rPr>
        <w:t>Les organitzacions signatàries de l’AIC,</w:t>
      </w:r>
      <w:r w:rsidR="00520DA5">
        <w:rPr>
          <w:rFonts w:ascii="Rotis Sans Serif Std" w:hAnsi="Rotis Sans Serif Std" w:cs="RotisSansSerifStd-Regular"/>
          <w:color w:val="5E6061"/>
          <w:lang w:eastAsia="es-ES_tradnl"/>
        </w:rPr>
        <w:t xml:space="preserve"> </w:t>
      </w:r>
      <w:r w:rsidRPr="007A76FB">
        <w:rPr>
          <w:rFonts w:ascii="Rotis Sans Serif Std" w:hAnsi="Rotis Sans Serif Std" w:cs="RotisSansSerifStd-Regular"/>
          <w:color w:val="5E6061"/>
          <w:lang w:eastAsia="es-ES_tradnl"/>
        </w:rPr>
        <w:t>conscients del desenvolupament tecnològic de les comunicacions i de la necessitat de trobar permanentment nous equilibris amb el dret a la conciliació de la vida laboral i personal, conscients a més, de les possibles distorsions que el desenvolupament de les comunicacions provoca en el temps de treball i els usos socials del temps, i dels riscos per a la salut de les persones i l'obligació de prevenir-los, orientem al fet que la negociació col·lectiva valori aquesta nova realitat.</w:t>
      </w:r>
      <w:r>
        <w:rPr>
          <w:rFonts w:ascii="Rotis Sans Serif Std" w:hAnsi="Rotis Sans Serif Std" w:cs="RotisSansSerifStd-Regular"/>
          <w:color w:val="5E6061"/>
          <w:lang w:eastAsia="es-ES_tradnl"/>
        </w:rPr>
        <w:t xml:space="preserve"> I és per això, que hem proposat que els </w:t>
      </w:r>
      <w:r w:rsidRPr="007A76FB">
        <w:rPr>
          <w:rFonts w:ascii="Rotis Sans Serif Std" w:hAnsi="Rotis Sans Serif Std" w:cs="RotisSansSerifStd-Regular"/>
          <w:color w:val="5E6061"/>
          <w:lang w:eastAsia="es-ES_tradnl"/>
        </w:rPr>
        <w:t xml:space="preserve">convenis col·lectius puguin adoptar la clàusula següent: </w:t>
      </w:r>
    </w:p>
    <w:p w:rsidR="007A76FB" w:rsidRPr="007A76FB" w:rsidRDefault="007A76FB" w:rsidP="007A76FB">
      <w:pPr>
        <w:jc w:val="both"/>
        <w:rPr>
          <w:rFonts w:ascii="Rotis Sans Serif Std" w:hAnsi="Rotis Sans Serif Std" w:cs="RotisSansSerifStd-Regular"/>
          <w:color w:val="5E6061"/>
          <w:lang w:eastAsia="es-ES_tradnl"/>
        </w:rPr>
      </w:pPr>
    </w:p>
    <w:p w:rsidR="007A76FB" w:rsidRDefault="007A76FB" w:rsidP="007A76FB">
      <w:pPr>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w:t>
      </w:r>
      <w:r w:rsidRPr="007A76FB">
        <w:rPr>
          <w:rFonts w:ascii="Rotis Sans Serif Std" w:hAnsi="Rotis Sans Serif Std" w:cs="RotisSansSerifStd-Regular"/>
          <w:color w:val="5E6061"/>
          <w:lang w:eastAsia="es-ES_tradnl"/>
        </w:rPr>
        <w:t>Les persones treballadores tenen el dret a</w:t>
      </w:r>
      <w:r w:rsidR="00972EC4">
        <w:rPr>
          <w:rFonts w:ascii="Rotis Sans Serif Std" w:hAnsi="Rotis Sans Serif Std" w:cs="RotisSansSerifStd-Regular"/>
          <w:color w:val="5E6061"/>
          <w:lang w:eastAsia="es-ES_tradnl"/>
        </w:rPr>
        <w:t>,</w:t>
      </w:r>
      <w:r w:rsidRPr="007A76FB">
        <w:rPr>
          <w:rFonts w:ascii="Rotis Sans Serif Std" w:hAnsi="Rotis Sans Serif Std" w:cs="RotisSansSerifStd-Regular"/>
          <w:color w:val="5E6061"/>
          <w:lang w:eastAsia="es-ES_tradnl"/>
        </w:rPr>
        <w:t xml:space="preserve"> una vegada conclosa la seva jornada laboral, que es respecti el temps de descans i vacances, així com la seva vida familiar i personal, fet que comporta no atendre comunicacions telefòniques, missatges o correus electrònics, tot valorant les diferents casuístiques i tractaments diferenciats que puguin existir.</w:t>
      </w:r>
    </w:p>
    <w:p w:rsidR="007A76FB" w:rsidRPr="007A76FB" w:rsidRDefault="007A76FB" w:rsidP="007A76FB">
      <w:pPr>
        <w:jc w:val="both"/>
        <w:rPr>
          <w:rFonts w:ascii="Rotis Sans Serif Std" w:hAnsi="Rotis Sans Serif Std" w:cs="RotisSansSerifStd-Regular"/>
          <w:color w:val="5E6061"/>
          <w:lang w:eastAsia="es-ES_tradnl"/>
        </w:rPr>
      </w:pPr>
    </w:p>
    <w:p w:rsidR="007A76FB" w:rsidRPr="007A76FB" w:rsidRDefault="007A76FB" w:rsidP="007A76FB">
      <w:pPr>
        <w:jc w:val="both"/>
        <w:rPr>
          <w:rFonts w:ascii="Rotis Sans Serif Std" w:hAnsi="Rotis Sans Serif Std" w:cs="RotisSansSerifStd-Regular"/>
          <w:color w:val="5E6061"/>
          <w:lang w:eastAsia="es-ES_tradnl"/>
        </w:rPr>
      </w:pPr>
      <w:r w:rsidRPr="007A76FB">
        <w:rPr>
          <w:rFonts w:ascii="Rotis Sans Serif Std" w:hAnsi="Rotis Sans Serif Std" w:cs="RotisSansSerifStd-Regular"/>
          <w:color w:val="5E6061"/>
          <w:lang w:eastAsia="es-ES_tradnl"/>
        </w:rPr>
        <w:t>En l'àmbit de l'empresa, i de forma negociada amb la representació legal de les persones treballadores, es podrà elaborar un protocol que formalitzi aquest nou aspecte.</w:t>
      </w:r>
    </w:p>
    <w:p w:rsidR="007A76FB" w:rsidRDefault="007A76FB" w:rsidP="007A76FB">
      <w:pPr>
        <w:spacing w:before="240"/>
        <w:jc w:val="both"/>
        <w:rPr>
          <w:rFonts w:ascii="Rotis Sans Serif Std" w:hAnsi="Rotis Sans Serif Std" w:cs="RotisSansSerifStd-Regular"/>
          <w:color w:val="5E6061"/>
          <w:lang w:eastAsia="es-ES_tradnl"/>
        </w:rPr>
      </w:pPr>
      <w:r w:rsidRPr="007A76FB">
        <w:rPr>
          <w:rFonts w:ascii="Rotis Sans Serif Std" w:hAnsi="Rotis Sans Serif Std" w:cs="RotisSansSerifStd-Regular"/>
          <w:color w:val="5E6061"/>
          <w:lang w:eastAsia="es-ES_tradnl"/>
        </w:rPr>
        <w:t>Així mateix, s'engegaran actuacions de comunicació i sensibilització, adreçades a les plantilles i els comandaments intermedis, i a la mateixa direcció de l'empresa, sobre les pautes de treball derivades del protocol, i sobre l'ús raonable de les co</w:t>
      </w:r>
      <w:r>
        <w:rPr>
          <w:rFonts w:ascii="Rotis Sans Serif Std" w:hAnsi="Rotis Sans Serif Std" w:cs="RotisSansSerifStd-Regular"/>
          <w:color w:val="5E6061"/>
          <w:lang w:eastAsia="es-ES_tradnl"/>
        </w:rPr>
        <w:t>municacions i mitjans digitals.”</w:t>
      </w:r>
    </w:p>
    <w:p w:rsidR="00787118" w:rsidRDefault="00787118" w:rsidP="0010496E">
      <w:pPr>
        <w:pStyle w:val="HTMLconformatoprevio"/>
        <w:jc w:val="both"/>
        <w:rPr>
          <w:rFonts w:ascii="Rotis Sans Serif Std" w:hAnsi="Rotis Sans Serif Std" w:cs="RotisSansSerifStd-Regular"/>
          <w:color w:val="5E6061"/>
          <w:sz w:val="24"/>
          <w:szCs w:val="24"/>
          <w:lang w:val="ca-ES" w:eastAsia="es-ES_tradnl"/>
        </w:rPr>
      </w:pPr>
    </w:p>
    <w:p w:rsidR="007C2A50" w:rsidRDefault="0010496E" w:rsidP="007C2A50">
      <w:pPr>
        <w:pStyle w:val="HTMLconformatoprevio"/>
        <w:jc w:val="both"/>
        <w:rPr>
          <w:rFonts w:ascii="Rotis Sans Serif Std" w:hAnsi="Rotis Sans Serif Std" w:cs="Times New Roman"/>
          <w:b/>
          <w:color w:val="C1002B"/>
          <w:sz w:val="24"/>
          <w:szCs w:val="24"/>
          <w:lang w:val="ca-ES" w:eastAsia="en-US"/>
        </w:rPr>
      </w:pPr>
      <w:r>
        <w:rPr>
          <w:rFonts w:ascii="Rotis Sans Serif Std" w:hAnsi="Rotis Sans Serif Std" w:cs="RotisSansSerifStd-Regular"/>
          <w:color w:val="5E6061"/>
          <w:sz w:val="24"/>
          <w:szCs w:val="24"/>
          <w:lang w:val="ca-ES" w:eastAsia="es-ES_tradnl"/>
        </w:rPr>
        <w:t xml:space="preserve"> </w:t>
      </w:r>
      <w:r w:rsidR="007C2A50" w:rsidRPr="003F2D9D">
        <w:rPr>
          <w:rFonts w:ascii="Rotis Sans Serif Std" w:hAnsi="Rotis Sans Serif Std" w:cs="Times New Roman"/>
          <w:b/>
          <w:color w:val="C1002B"/>
          <w:sz w:val="24"/>
          <w:szCs w:val="24"/>
          <w:lang w:val="ca-ES" w:eastAsia="en-US"/>
        </w:rPr>
        <w:t xml:space="preserve">2.7.2 </w:t>
      </w:r>
      <w:r w:rsidR="007C2A50">
        <w:rPr>
          <w:rFonts w:ascii="Rotis Sans Serif Std" w:hAnsi="Rotis Sans Serif Std" w:cs="Times New Roman"/>
          <w:b/>
          <w:color w:val="C1002B"/>
          <w:sz w:val="24"/>
          <w:szCs w:val="24"/>
          <w:lang w:val="ca-ES" w:eastAsia="en-US"/>
        </w:rPr>
        <w:t>Teletreball</w:t>
      </w:r>
    </w:p>
    <w:p w:rsidR="007C2A50" w:rsidRDefault="007C2A50" w:rsidP="007C2A50">
      <w:pPr>
        <w:pStyle w:val="HTMLconformatoprevio"/>
        <w:jc w:val="both"/>
        <w:rPr>
          <w:rFonts w:ascii="Rotis Sans Serif Std" w:hAnsi="Rotis Sans Serif Std" w:cs="Times New Roman"/>
          <w:b/>
          <w:color w:val="C1002B"/>
          <w:sz w:val="24"/>
          <w:szCs w:val="24"/>
          <w:lang w:val="ca-ES" w:eastAsia="en-US"/>
        </w:rPr>
      </w:pPr>
    </w:p>
    <w:p w:rsidR="007C2A50" w:rsidRDefault="007C2A50" w:rsidP="007C2A50">
      <w:pPr>
        <w:pStyle w:val="HTMLconformatoprevio"/>
        <w:jc w:val="both"/>
        <w:rPr>
          <w:rFonts w:ascii="Rotis Sans Serif Std" w:hAnsi="Rotis Sans Serif Std" w:cs="RotisSansSerifStd-Regular"/>
          <w:color w:val="5E6061"/>
          <w:sz w:val="24"/>
          <w:szCs w:val="24"/>
          <w:lang w:val="ca-ES" w:eastAsia="es-ES_tradnl"/>
        </w:rPr>
      </w:pPr>
      <w:r>
        <w:rPr>
          <w:rFonts w:ascii="Rotis Sans Serif Std" w:hAnsi="Rotis Sans Serif Std" w:cs="RotisSansSerifStd-Regular"/>
          <w:color w:val="5E6061"/>
          <w:sz w:val="24"/>
          <w:szCs w:val="24"/>
          <w:lang w:val="ca-ES" w:eastAsia="es-ES_tradnl"/>
        </w:rPr>
        <w:t xml:space="preserve">Tal i com s’ha exposat anteriorment, </w:t>
      </w:r>
      <w:r w:rsidRPr="00DC39AE">
        <w:rPr>
          <w:rFonts w:ascii="Rotis Sans Serif Std" w:hAnsi="Rotis Sans Serif Std" w:cs="RotisSansSerifStd-Regular"/>
          <w:color w:val="5E6061"/>
          <w:sz w:val="24"/>
          <w:szCs w:val="24"/>
          <w:lang w:val="ca-ES" w:eastAsia="es-ES_tradnl"/>
        </w:rPr>
        <w:t>l’entrada i la implantació de les noves tecnologies de la informació i la comunicació estan modificant l’ocupació, l’estructura d’habilitats i l’organització de les empreses. I, pel que fa a la gestió del temps</w:t>
      </w:r>
      <w:r>
        <w:rPr>
          <w:rFonts w:ascii="Rotis Sans Serif Std" w:hAnsi="Rotis Sans Serif Std" w:cs="RotisSansSerifStd-Regular"/>
          <w:color w:val="5E6061"/>
          <w:sz w:val="24"/>
          <w:szCs w:val="24"/>
          <w:lang w:val="ca-ES" w:eastAsia="es-ES_tradnl"/>
        </w:rPr>
        <w:t xml:space="preserve"> i la seva distribució aquestes</w:t>
      </w:r>
      <w:r w:rsidRPr="00DC39AE">
        <w:rPr>
          <w:rFonts w:ascii="Rotis Sans Serif Std" w:hAnsi="Rotis Sans Serif Std" w:cs="RotisSansSerifStd-Regular"/>
          <w:color w:val="5E6061"/>
          <w:sz w:val="24"/>
          <w:szCs w:val="24"/>
          <w:lang w:val="ca-ES" w:eastAsia="es-ES_tradnl"/>
        </w:rPr>
        <w:t xml:space="preserve"> propicien l’adaptació organitzativa i afavoreixen l’aparició d</w:t>
      </w:r>
      <w:r>
        <w:rPr>
          <w:rFonts w:ascii="Rotis Sans Serif Std" w:hAnsi="Rotis Sans Serif Std" w:cs="RotisSansSerifStd-Regular"/>
          <w:color w:val="5E6061"/>
          <w:sz w:val="24"/>
          <w:szCs w:val="24"/>
          <w:lang w:val="ca-ES" w:eastAsia="es-ES_tradnl"/>
        </w:rPr>
        <w:t>e noves formes de treball flexi</w:t>
      </w:r>
      <w:r w:rsidRPr="00DC39AE">
        <w:rPr>
          <w:rFonts w:ascii="Rotis Sans Serif Std" w:hAnsi="Rotis Sans Serif Std" w:cs="RotisSansSerifStd-Regular"/>
          <w:color w:val="5E6061"/>
          <w:sz w:val="24"/>
          <w:szCs w:val="24"/>
          <w:lang w:val="ca-ES" w:eastAsia="es-ES_tradnl"/>
        </w:rPr>
        <w:t>ble, basades en una organització i una distribució del temps de treball que defuig de la tradiciona</w:t>
      </w:r>
      <w:r>
        <w:rPr>
          <w:rFonts w:ascii="Rotis Sans Serif Std" w:hAnsi="Rotis Sans Serif Std" w:cs="RotisSansSerifStd-Regular"/>
          <w:color w:val="5E6061"/>
          <w:sz w:val="24"/>
          <w:szCs w:val="24"/>
          <w:lang w:val="ca-ES" w:eastAsia="es-ES_tradnl"/>
        </w:rPr>
        <w:t>l delimit</w:t>
      </w:r>
      <w:r w:rsidRPr="00DC39AE">
        <w:rPr>
          <w:rFonts w:ascii="Rotis Sans Serif Std" w:hAnsi="Rotis Sans Serif Std" w:cs="RotisSansSerifStd-Regular"/>
          <w:color w:val="5E6061"/>
          <w:sz w:val="24"/>
          <w:szCs w:val="24"/>
          <w:lang w:val="ca-ES" w:eastAsia="es-ES_tradnl"/>
        </w:rPr>
        <w:t>ació horària i la ubicac</w:t>
      </w:r>
      <w:r>
        <w:rPr>
          <w:rFonts w:ascii="Rotis Sans Serif Std" w:hAnsi="Rotis Sans Serif Std" w:cs="RotisSansSerifStd-Regular"/>
          <w:color w:val="5E6061"/>
          <w:sz w:val="24"/>
          <w:szCs w:val="24"/>
          <w:lang w:val="ca-ES" w:eastAsia="es-ES_tradnl"/>
        </w:rPr>
        <w:t xml:space="preserve">ió física al centre de treball. </w:t>
      </w:r>
      <w:r w:rsidRPr="00DC39AE">
        <w:rPr>
          <w:rFonts w:ascii="Rotis Sans Serif Std" w:hAnsi="Rotis Sans Serif Std" w:cs="RotisSansSerifStd-Regular"/>
          <w:color w:val="5E6061"/>
          <w:sz w:val="24"/>
          <w:szCs w:val="24"/>
          <w:lang w:val="ca-ES" w:eastAsia="es-ES_tradnl"/>
        </w:rPr>
        <w:t xml:space="preserve">Amb tot, la possibilitat de complir la jornada laboral de manera no presencial, és a dir, mitjançant el teletreball, </w:t>
      </w:r>
      <w:proofErr w:type="spellStart"/>
      <w:r w:rsidRPr="00DC39AE">
        <w:rPr>
          <w:rFonts w:ascii="Rotis Sans Serif Std" w:hAnsi="Rotis Sans Serif Std" w:cs="RotisSansSerifStd-Regular"/>
          <w:color w:val="5E6061"/>
          <w:sz w:val="24"/>
          <w:szCs w:val="24"/>
          <w:lang w:val="ca-ES" w:eastAsia="es-ES_tradnl"/>
        </w:rPr>
        <w:t>l’e</w:t>
      </w:r>
      <w:proofErr w:type="spellEnd"/>
      <w:r w:rsidRPr="00DC39AE">
        <w:rPr>
          <w:rFonts w:ascii="Rotis Sans Serif Std" w:hAnsi="Rotis Sans Serif Std" w:cs="RotisSansSerifStd-Regular"/>
          <w:color w:val="5E6061"/>
          <w:sz w:val="24"/>
          <w:szCs w:val="24"/>
          <w:lang w:val="ca-ES" w:eastAsia="es-ES_tradnl"/>
        </w:rPr>
        <w:t>-treball i altres formes de treball flexible encara és molt poc freqüent en les organitzacions i està condicionada per la dimensió de l’empresa, el sector d’activitat i el grup professional, entre d’altres</w:t>
      </w:r>
      <w:r>
        <w:rPr>
          <w:rStyle w:val="Refdenotaalpie"/>
          <w:rFonts w:ascii="Rotis Sans Serif Std" w:hAnsi="Rotis Sans Serif Std"/>
          <w:color w:val="5E6061"/>
          <w:sz w:val="24"/>
          <w:szCs w:val="24"/>
          <w:lang w:val="ca-ES" w:eastAsia="es-ES_tradnl"/>
        </w:rPr>
        <w:footnoteReference w:id="21"/>
      </w:r>
      <w:r w:rsidRPr="00DC39AE">
        <w:rPr>
          <w:rFonts w:ascii="Rotis Sans Serif Std" w:hAnsi="Rotis Sans Serif Std" w:cs="RotisSansSerifStd-Regular"/>
          <w:color w:val="5E6061"/>
          <w:sz w:val="24"/>
          <w:szCs w:val="24"/>
          <w:lang w:val="ca-ES" w:eastAsia="es-ES_tradnl"/>
        </w:rPr>
        <w:t xml:space="preserve">. </w:t>
      </w:r>
    </w:p>
    <w:p w:rsidR="007C2A50" w:rsidRDefault="007C2A50" w:rsidP="007C2A50">
      <w:pPr>
        <w:pStyle w:val="HTMLconformatoprevio"/>
        <w:jc w:val="both"/>
        <w:rPr>
          <w:rFonts w:ascii="Rotis Sans Serif Std" w:hAnsi="Rotis Sans Serif Std" w:cs="RotisSansSerifStd-Regular"/>
          <w:color w:val="5E6061"/>
          <w:sz w:val="24"/>
          <w:szCs w:val="24"/>
          <w:lang w:val="ca-ES" w:eastAsia="es-ES_tradnl"/>
        </w:rPr>
      </w:pPr>
    </w:p>
    <w:p w:rsidR="007C2A50" w:rsidRDefault="007C2A50" w:rsidP="007C2A50">
      <w:pPr>
        <w:pStyle w:val="HTMLconformatoprevio"/>
        <w:jc w:val="both"/>
        <w:rPr>
          <w:rFonts w:ascii="Rotis Sans Serif Std" w:hAnsi="Rotis Sans Serif Std" w:cs="RotisSansSerifStd-Regular"/>
          <w:color w:val="5E6061"/>
          <w:sz w:val="24"/>
          <w:szCs w:val="24"/>
          <w:lang w:val="ca-ES" w:eastAsia="es-ES_tradnl"/>
        </w:rPr>
      </w:pPr>
      <w:r>
        <w:rPr>
          <w:rFonts w:ascii="Rotis Sans Serif Std" w:hAnsi="Rotis Sans Serif Std" w:cs="RotisSansSerifStd-Regular"/>
          <w:color w:val="5E6061"/>
          <w:sz w:val="24"/>
          <w:szCs w:val="24"/>
          <w:lang w:val="ca-ES" w:eastAsia="es-ES_tradnl"/>
        </w:rPr>
        <w:t>Vinculat amb l’anterior apartat sobre desconnexió digital, segons l</w:t>
      </w:r>
      <w:r w:rsidR="008B11E7">
        <w:rPr>
          <w:rFonts w:ascii="Rotis Sans Serif Std" w:hAnsi="Rotis Sans Serif Std" w:cs="RotisSansSerifStd-Regular"/>
          <w:color w:val="5E6061"/>
          <w:sz w:val="24"/>
          <w:szCs w:val="24"/>
          <w:lang w:val="ca-ES" w:eastAsia="es-ES_tradnl"/>
        </w:rPr>
        <w:t>’estudi</w:t>
      </w:r>
      <w:r>
        <w:rPr>
          <w:rFonts w:ascii="Rotis Sans Serif Std" w:hAnsi="Rotis Sans Serif Std" w:cs="RotisSansSerifStd-Regular"/>
          <w:color w:val="5E6061"/>
          <w:sz w:val="24"/>
          <w:szCs w:val="24"/>
          <w:lang w:val="ca-ES" w:eastAsia="es-ES_tradnl"/>
        </w:rPr>
        <w:t xml:space="preserve"> de l’OIT-</w:t>
      </w:r>
      <w:proofErr w:type="spellStart"/>
      <w:r>
        <w:rPr>
          <w:rFonts w:ascii="Rotis Sans Serif Std" w:hAnsi="Rotis Sans Serif Std" w:cs="RotisSansSerifStd-Regular"/>
          <w:color w:val="5E6061"/>
          <w:sz w:val="24"/>
          <w:szCs w:val="24"/>
          <w:lang w:val="ca-ES" w:eastAsia="es-ES_tradnl"/>
        </w:rPr>
        <w:t>Eurofo</w:t>
      </w:r>
      <w:r w:rsidR="008B11E7">
        <w:rPr>
          <w:rFonts w:ascii="Rotis Sans Serif Std" w:hAnsi="Rotis Sans Serif Std" w:cs="RotisSansSerifStd-Regular"/>
          <w:color w:val="5E6061"/>
          <w:sz w:val="24"/>
          <w:szCs w:val="24"/>
          <w:lang w:val="ca-ES" w:eastAsia="es-ES_tradnl"/>
        </w:rPr>
        <w:t>u</w:t>
      </w:r>
      <w:r>
        <w:rPr>
          <w:rFonts w:ascii="Rotis Sans Serif Std" w:hAnsi="Rotis Sans Serif Std" w:cs="RotisSansSerifStd-Regular"/>
          <w:color w:val="5E6061"/>
          <w:sz w:val="24"/>
          <w:szCs w:val="24"/>
          <w:lang w:val="ca-ES" w:eastAsia="es-ES_tradnl"/>
        </w:rPr>
        <w:t>nd</w:t>
      </w:r>
      <w:proofErr w:type="spellEnd"/>
      <w:r>
        <w:rPr>
          <w:rFonts w:ascii="Rotis Sans Serif Std" w:hAnsi="Rotis Sans Serif Std" w:cs="RotisSansSerifStd-Regular"/>
          <w:color w:val="5E6061"/>
          <w:sz w:val="24"/>
          <w:szCs w:val="24"/>
          <w:lang w:val="ca-ES" w:eastAsia="es-ES_tradnl"/>
        </w:rPr>
        <w:t xml:space="preserve"> “Treballar a tota hora, en qualsevol lloc. Els efectes en el món del treball” posa de manifest que </w:t>
      </w:r>
      <w:r w:rsidRPr="00A11432">
        <w:rPr>
          <w:rFonts w:ascii="Rotis Sans Serif Std" w:hAnsi="Rotis Sans Serif Std" w:cs="RotisSansSerifStd-Regular"/>
          <w:color w:val="5E6061"/>
          <w:sz w:val="24"/>
          <w:szCs w:val="24"/>
          <w:lang w:val="ca-ES" w:eastAsia="es-ES_tradnl"/>
        </w:rPr>
        <w:t xml:space="preserve">l'augment de l'ús de les tecnologies digitals, com els telèfons intel·ligents, les tauletes i els ordinadors personals per treballar des de casa o en qualsevol lloc, està transformant ràpidament el model de treball tradicional. Pot millorar l'equilibri entre la vida laboral i personal, reduir el temps de desplaçament al lloc de treball i augmentar la productivitat, però també pot donar lloc a jornades laborals més llargues, més intensitat de treball i interferència entre el treball i </w:t>
      </w:r>
      <w:r>
        <w:rPr>
          <w:rFonts w:ascii="Rotis Sans Serif Std" w:hAnsi="Rotis Sans Serif Std" w:cs="RotisSansSerifStd-Regular"/>
          <w:color w:val="5E6061"/>
          <w:sz w:val="24"/>
          <w:szCs w:val="24"/>
          <w:lang w:val="ca-ES" w:eastAsia="es-ES_tradnl"/>
        </w:rPr>
        <w:t>la</w:t>
      </w:r>
      <w:r w:rsidRPr="00A11432">
        <w:rPr>
          <w:rFonts w:ascii="Rotis Sans Serif Std" w:hAnsi="Rotis Sans Serif Std" w:cs="RotisSansSerifStd-Regular"/>
          <w:color w:val="5E6061"/>
          <w:sz w:val="24"/>
          <w:szCs w:val="24"/>
          <w:lang w:val="ca-ES" w:eastAsia="es-ES_tradnl"/>
        </w:rPr>
        <w:t xml:space="preserve"> llar. </w:t>
      </w:r>
    </w:p>
    <w:p w:rsidR="008B11E7" w:rsidRDefault="007A46A8" w:rsidP="007A46A8">
      <w:pPr>
        <w:spacing w:before="240"/>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 xml:space="preserve">Segons aquest </w:t>
      </w:r>
      <w:r w:rsidR="008B11E7">
        <w:rPr>
          <w:rFonts w:ascii="Rotis Sans Serif Std" w:hAnsi="Rotis Sans Serif Std" w:cs="RotisSansSerifStd-Regular"/>
          <w:color w:val="5E6061"/>
          <w:lang w:eastAsia="es-ES_tradnl"/>
        </w:rPr>
        <w:t>estudi, a</w:t>
      </w:r>
      <w:r w:rsidRPr="007A46A8">
        <w:rPr>
          <w:rFonts w:ascii="Rotis Sans Serif Std" w:hAnsi="Rotis Sans Serif Std" w:cs="RotisSansSerifStd-Regular"/>
          <w:color w:val="5E6061"/>
          <w:lang w:eastAsia="es-ES_tradnl"/>
        </w:rPr>
        <w:t xml:space="preserve"> Espanya el 6,7 % dels empleats exerceix el teletreball, molt per sota de la mitjana de la Unió</w:t>
      </w:r>
      <w:r w:rsidR="008B11E7">
        <w:rPr>
          <w:rFonts w:ascii="Rotis Sans Serif Std" w:hAnsi="Rotis Sans Serif Std" w:cs="RotisSansSerifStd-Regular"/>
          <w:color w:val="5E6061"/>
          <w:lang w:eastAsia="es-ES_tradnl"/>
        </w:rPr>
        <w:t xml:space="preserve"> Europea (UE), i solament el 13</w:t>
      </w:r>
      <w:r w:rsidRPr="007A46A8">
        <w:rPr>
          <w:rFonts w:ascii="Rotis Sans Serif Std" w:hAnsi="Rotis Sans Serif Std" w:cs="RotisSansSerifStd-Regular"/>
          <w:color w:val="5E6061"/>
          <w:lang w:eastAsia="es-ES_tradnl"/>
        </w:rPr>
        <w:t xml:space="preserve">% de les empreses ofereix als seus treballadors aquesta </w:t>
      </w:r>
      <w:r w:rsidR="008B11E7">
        <w:rPr>
          <w:rFonts w:ascii="Rotis Sans Serif Std" w:hAnsi="Rotis Sans Serif Std" w:cs="RotisSansSerifStd-Regular"/>
          <w:color w:val="5E6061"/>
          <w:lang w:eastAsia="es-ES_tradnl"/>
        </w:rPr>
        <w:t xml:space="preserve">possibilitat. </w:t>
      </w:r>
    </w:p>
    <w:p w:rsidR="007A46A8" w:rsidRPr="007A46A8" w:rsidRDefault="007A46A8" w:rsidP="007A46A8">
      <w:pPr>
        <w:spacing w:before="240"/>
        <w:jc w:val="both"/>
        <w:rPr>
          <w:rFonts w:ascii="Rotis Sans Serif Std" w:hAnsi="Rotis Sans Serif Std" w:cs="RotisSansSerifStd-Regular"/>
          <w:color w:val="5E6061"/>
          <w:lang w:eastAsia="es-ES_tradnl"/>
        </w:rPr>
      </w:pPr>
      <w:r w:rsidRPr="007A46A8">
        <w:rPr>
          <w:rFonts w:ascii="Rotis Sans Serif Std" w:hAnsi="Rotis Sans Serif Std" w:cs="RotisSansSerifStd-Regular"/>
          <w:color w:val="5E6061"/>
          <w:lang w:eastAsia="es-ES_tradnl"/>
        </w:rPr>
        <w:t>En</w:t>
      </w:r>
      <w:r w:rsidR="00DC7A8D">
        <w:rPr>
          <w:rFonts w:ascii="Rotis Sans Serif Std" w:hAnsi="Rotis Sans Serif Std" w:cs="RotisSansSerifStd-Regular"/>
          <w:color w:val="5E6061"/>
          <w:lang w:eastAsia="es-ES_tradnl"/>
        </w:rPr>
        <w:t xml:space="preserve"> la UE28</w:t>
      </w:r>
      <w:r w:rsidR="008B11E7">
        <w:rPr>
          <w:rFonts w:ascii="Rotis Sans Serif Std" w:hAnsi="Rotis Sans Serif Std" w:cs="RotisSansSerifStd-Regular"/>
          <w:color w:val="5E6061"/>
          <w:lang w:eastAsia="es-ES_tradnl"/>
        </w:rPr>
        <w:t>, a</w:t>
      </w:r>
      <w:r w:rsidR="00DC7A8D">
        <w:rPr>
          <w:rFonts w:ascii="Rotis Sans Serif Std" w:hAnsi="Rotis Sans Serif Std" w:cs="RotisSansSerifStd-Regular"/>
          <w:color w:val="5E6061"/>
          <w:lang w:eastAsia="es-ES_tradnl"/>
        </w:rPr>
        <w:t>l voltant d'un 17</w:t>
      </w:r>
      <w:r w:rsidRPr="007A46A8">
        <w:rPr>
          <w:rFonts w:ascii="Rotis Sans Serif Std" w:hAnsi="Rotis Sans Serif Std" w:cs="RotisSansSerifStd-Regular"/>
          <w:color w:val="5E6061"/>
          <w:lang w:eastAsia="es-ES_tradnl"/>
        </w:rPr>
        <w:t>% dels empleats efectuen el teletreball o treball</w:t>
      </w:r>
      <w:r w:rsidR="008B11E7">
        <w:rPr>
          <w:rFonts w:ascii="Rotis Sans Serif Std" w:hAnsi="Rotis Sans Serif Std" w:cs="RotisSansSerifStd-Regular"/>
          <w:color w:val="5E6061"/>
          <w:lang w:eastAsia="es-ES_tradnl"/>
        </w:rPr>
        <w:t xml:space="preserve"> mòbil amb tecnologies de la</w:t>
      </w:r>
      <w:r w:rsidR="008B11E7" w:rsidRPr="007A46A8">
        <w:rPr>
          <w:rFonts w:ascii="Rotis Sans Serif Std" w:hAnsi="Rotis Sans Serif Std" w:cs="RotisSansSerifStd-Regular"/>
          <w:color w:val="5E6061"/>
          <w:lang w:eastAsia="es-ES_tradnl"/>
        </w:rPr>
        <w:t xml:space="preserve"> informació</w:t>
      </w:r>
      <w:r w:rsidRPr="007A46A8">
        <w:rPr>
          <w:rFonts w:ascii="Rotis Sans Serif Std" w:hAnsi="Rotis Sans Serif Std" w:cs="RotisSansSerifStd-Regular"/>
          <w:color w:val="5E6061"/>
          <w:lang w:eastAsia="es-ES_tradnl"/>
        </w:rPr>
        <w:t>.</w:t>
      </w:r>
    </w:p>
    <w:p w:rsidR="007A46A8" w:rsidRPr="007A46A8" w:rsidRDefault="007A46A8" w:rsidP="007A46A8">
      <w:pPr>
        <w:spacing w:before="240"/>
        <w:jc w:val="both"/>
        <w:rPr>
          <w:rFonts w:ascii="Rotis Sans Serif Std" w:hAnsi="Rotis Sans Serif Std" w:cs="RotisSansSerifStd-Regular"/>
          <w:color w:val="5E6061"/>
          <w:lang w:eastAsia="es-ES_tradnl"/>
        </w:rPr>
      </w:pPr>
      <w:r w:rsidRPr="007A46A8">
        <w:rPr>
          <w:rFonts w:ascii="Rotis Sans Serif Std" w:hAnsi="Rotis Sans Serif Std" w:cs="RotisSansSerifStd-Regular"/>
          <w:color w:val="5E6061"/>
          <w:lang w:eastAsia="es-ES_tradnl"/>
        </w:rPr>
        <w:t>Entre els deu països de la UE analitzats</w:t>
      </w:r>
      <w:r w:rsidR="008B11E7">
        <w:rPr>
          <w:rFonts w:ascii="Rotis Sans Serif Std" w:hAnsi="Rotis Sans Serif Std" w:cs="RotisSansSerifStd-Regular"/>
          <w:color w:val="5E6061"/>
          <w:lang w:eastAsia="es-ES_tradnl"/>
        </w:rPr>
        <w:t>, els escandinaus com Suècia i F</w:t>
      </w:r>
      <w:r w:rsidR="008B11E7" w:rsidRPr="007A46A8">
        <w:rPr>
          <w:rFonts w:ascii="Rotis Sans Serif Std" w:hAnsi="Rotis Sans Serif Std" w:cs="RotisSansSerifStd-Regular"/>
          <w:color w:val="5E6061"/>
          <w:lang w:eastAsia="es-ES_tradnl"/>
        </w:rPr>
        <w:t>inlàndia</w:t>
      </w:r>
      <w:r w:rsidR="008B11E7">
        <w:rPr>
          <w:rFonts w:ascii="Rotis Sans Serif Std" w:hAnsi="Rotis Sans Serif Std" w:cs="RotisSansSerifStd-Regular"/>
          <w:color w:val="5E6061"/>
          <w:lang w:eastAsia="es-ES_tradnl"/>
        </w:rPr>
        <w:t xml:space="preserve">, lideren el </w:t>
      </w:r>
      <w:proofErr w:type="spellStart"/>
      <w:r w:rsidR="008B11E7">
        <w:rPr>
          <w:rFonts w:ascii="Rotis Sans Serif Std" w:hAnsi="Rotis Sans Serif Std" w:cs="RotisSansSerifStd-Regular"/>
          <w:color w:val="5E6061"/>
          <w:lang w:eastAsia="es-ES_tradnl"/>
        </w:rPr>
        <w:t>rá</w:t>
      </w:r>
      <w:r w:rsidRPr="007A46A8">
        <w:rPr>
          <w:rFonts w:ascii="Rotis Sans Serif Std" w:hAnsi="Rotis Sans Serif Std" w:cs="RotisSansSerifStd-Regular"/>
          <w:color w:val="5E6061"/>
          <w:lang w:eastAsia="es-ES_tradnl"/>
        </w:rPr>
        <w:t>nking</w:t>
      </w:r>
      <w:proofErr w:type="spellEnd"/>
      <w:r w:rsidRPr="007A46A8">
        <w:rPr>
          <w:rFonts w:ascii="Rotis Sans Serif Std" w:hAnsi="Rotis Sans Serif Std" w:cs="RotisSansSerifStd-Regular"/>
          <w:color w:val="5E6061"/>
          <w:lang w:eastAsia="es-ES_tradnl"/>
        </w:rPr>
        <w:t>.</w:t>
      </w:r>
    </w:p>
    <w:p w:rsidR="007A46A8" w:rsidRPr="007A46A8" w:rsidRDefault="007A46A8" w:rsidP="007A46A8">
      <w:pPr>
        <w:spacing w:before="240"/>
        <w:jc w:val="both"/>
        <w:rPr>
          <w:rFonts w:ascii="Rotis Sans Serif Std" w:hAnsi="Rotis Sans Serif Std" w:cs="RotisSansSerifStd-Regular"/>
          <w:color w:val="5E6061"/>
          <w:lang w:eastAsia="es-ES_tradnl"/>
        </w:rPr>
      </w:pPr>
      <w:r w:rsidRPr="007A46A8">
        <w:rPr>
          <w:rFonts w:ascii="Rotis Sans Serif Std" w:hAnsi="Rotis Sans Serif Std" w:cs="RotisSansSerifStd-Regular"/>
          <w:color w:val="5E6061"/>
          <w:lang w:eastAsia="es-ES_tradnl"/>
        </w:rPr>
        <w:t>Altres països comunitaris amb una taxa relativament elevada són Bèlgica, França, Holanda i el Regne Unit, mentre que per sota de la mitjana de la UE es troben Alemanya, Hongria i Espanya.</w:t>
      </w:r>
    </w:p>
    <w:p w:rsidR="007A46A8" w:rsidRPr="007A46A8" w:rsidRDefault="008B11E7" w:rsidP="007A46A8">
      <w:pPr>
        <w:spacing w:before="240"/>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A l</w:t>
      </w:r>
      <w:r w:rsidR="007A46A8" w:rsidRPr="007A46A8">
        <w:rPr>
          <w:rFonts w:ascii="Rotis Sans Serif Std" w:hAnsi="Rotis Sans Serif Std" w:cs="RotisSansSerifStd-Regular"/>
          <w:color w:val="5E6061"/>
          <w:lang w:eastAsia="es-ES_tradnl"/>
        </w:rPr>
        <w:t>a majoria dels països analitzats un percentatge important d'empleats efectua ocasionalment el teletreball i no de manera regular i aquesta pràctica és més comuna entre professionals qualificats, sovint en posicions directives, però també entre oficinistes i comercials, i sobretot autònoms.</w:t>
      </w:r>
    </w:p>
    <w:p w:rsidR="007A46A8" w:rsidRPr="007A46A8" w:rsidRDefault="007A46A8" w:rsidP="007A46A8">
      <w:pPr>
        <w:spacing w:before="240"/>
        <w:jc w:val="both"/>
        <w:rPr>
          <w:rFonts w:ascii="Rotis Sans Serif Std" w:hAnsi="Rotis Sans Serif Std" w:cs="RotisSansSerifStd-Regular"/>
          <w:color w:val="5E6061"/>
          <w:lang w:eastAsia="es-ES_tradnl"/>
        </w:rPr>
      </w:pPr>
      <w:r w:rsidRPr="007A46A8">
        <w:rPr>
          <w:rFonts w:ascii="Rotis Sans Serif Std" w:hAnsi="Rotis Sans Serif Std" w:cs="RotisSansSerifStd-Regular"/>
          <w:color w:val="5E6061"/>
          <w:lang w:eastAsia="es-ES_tradnl"/>
        </w:rPr>
        <w:t xml:space="preserve">El </w:t>
      </w:r>
      <w:r w:rsidR="00DC7A8D">
        <w:rPr>
          <w:rFonts w:ascii="Rotis Sans Serif Std" w:hAnsi="Rotis Sans Serif Std" w:cs="RotisSansSerifStd-Regular"/>
          <w:color w:val="5E6061"/>
          <w:lang w:eastAsia="es-ES_tradnl"/>
        </w:rPr>
        <w:t>teletreball</w:t>
      </w:r>
      <w:r w:rsidRPr="007A46A8">
        <w:rPr>
          <w:rFonts w:ascii="Rotis Sans Serif Std" w:hAnsi="Rotis Sans Serif Std" w:cs="RotisSansSerifStd-Regular"/>
          <w:color w:val="5E6061"/>
          <w:lang w:eastAsia="es-ES_tradnl"/>
        </w:rPr>
        <w:t xml:space="preserve"> amb tecnologies de la informació sembla dominar a Espanya en el sector dels serveis més que en l'agricultura, la construcció i la indústria, segons l'estudi.</w:t>
      </w:r>
    </w:p>
    <w:p w:rsidR="007A46A8" w:rsidRPr="007A46A8" w:rsidRDefault="007A46A8" w:rsidP="007A46A8">
      <w:pPr>
        <w:spacing w:before="240"/>
        <w:jc w:val="both"/>
        <w:rPr>
          <w:rFonts w:ascii="Rotis Sans Serif Std" w:hAnsi="Rotis Sans Serif Std" w:cs="RotisSansSerifStd-Regular"/>
          <w:color w:val="5E6061"/>
          <w:lang w:eastAsia="es-ES_tradnl"/>
        </w:rPr>
      </w:pPr>
      <w:r w:rsidRPr="007A46A8">
        <w:rPr>
          <w:rFonts w:ascii="Rotis Sans Serif Std" w:hAnsi="Rotis Sans Serif Std" w:cs="RotisSansSerifStd-Regular"/>
          <w:color w:val="5E6061"/>
          <w:lang w:eastAsia="es-ES_tradnl"/>
        </w:rPr>
        <w:t>Quant al gènere, en general els homes recorren més a aquest tipus d'arranjaments laborals (54 %) que les dones (36 %), però aquestes ho fan de manera més regular des de casa que els homes.</w:t>
      </w:r>
    </w:p>
    <w:p w:rsidR="007A76FB" w:rsidRDefault="007A76FB" w:rsidP="00321449">
      <w:pPr>
        <w:tabs>
          <w:tab w:val="left" w:pos="3150"/>
        </w:tabs>
        <w:jc w:val="both"/>
        <w:rPr>
          <w:rFonts w:ascii="Rotis Sans Serif Std" w:hAnsi="Rotis Sans Serif Std" w:cs="RotisSansSerifStd-Regular"/>
          <w:color w:val="5E6061"/>
          <w:lang w:eastAsia="es-ES_tradnl"/>
        </w:rPr>
      </w:pPr>
    </w:p>
    <w:p w:rsidR="00377B0E" w:rsidRDefault="00377B0E" w:rsidP="00321449">
      <w:pPr>
        <w:tabs>
          <w:tab w:val="left" w:pos="3150"/>
        </w:tabs>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D’altra banda, segons l’última Enquesta Europea de Condicions de Treball del 2015, els països  de la UE28 on més treballadors han realitzat teletreball ocasional, regular o habitual són Dinamarca (37%) Suècia (33) i Països Baixos</w:t>
      </w:r>
      <w:r w:rsidR="00622EA6">
        <w:rPr>
          <w:rFonts w:ascii="Rotis Sans Serif Std" w:hAnsi="Rotis Sans Serif Std" w:cs="RotisSansSerifStd-Regular"/>
          <w:color w:val="5E6061"/>
          <w:lang w:eastAsia="es-ES_tradnl"/>
        </w:rPr>
        <w:t xml:space="preserve">. Espanya ocupa la 16a posició amb un 13%. </w:t>
      </w:r>
    </w:p>
    <w:p w:rsidR="00377B0E" w:rsidRDefault="00377B0E" w:rsidP="00321449">
      <w:pPr>
        <w:tabs>
          <w:tab w:val="left" w:pos="3150"/>
        </w:tabs>
        <w:jc w:val="both"/>
        <w:rPr>
          <w:rFonts w:ascii="Rotis Sans Serif Std" w:hAnsi="Rotis Sans Serif Std" w:cs="RotisSansSerifStd-Regular"/>
          <w:color w:val="5E6061"/>
          <w:lang w:eastAsia="es-ES_tradnl"/>
        </w:rPr>
      </w:pPr>
    </w:p>
    <w:p w:rsidR="00377B0E" w:rsidRDefault="00CC2D15" w:rsidP="00377B0E">
      <w:pPr>
        <w:tabs>
          <w:tab w:val="left" w:pos="3150"/>
        </w:tabs>
        <w:jc w:val="center"/>
        <w:rPr>
          <w:rFonts w:ascii="Rotis Sans Serif Std" w:hAnsi="Rotis Sans Serif Std" w:cs="RotisSansSerifStd-Regular"/>
          <w:color w:val="5E6061"/>
          <w:lang w:eastAsia="es-ES_tradnl"/>
        </w:rPr>
      </w:pPr>
      <w:r w:rsidRPr="00CC2D15">
        <w:rPr>
          <w:rFonts w:ascii="Rotis Sans Serif Std" w:hAnsi="Rotis Sans Serif Std" w:cs="RotisSansSerifStd-Regular"/>
          <w:noProof/>
          <w:color w:val="5E6061"/>
          <w:lang w:val="es-ES" w:eastAsia="es-ES"/>
        </w:rPr>
        <w:drawing>
          <wp:inline distT="0" distB="0" distL="0" distR="0" wp14:anchorId="4C492FB3" wp14:editId="2EB7B2D5">
            <wp:extent cx="5962650" cy="2914650"/>
            <wp:effectExtent l="0" t="0" r="19050" b="19050"/>
            <wp:docPr id="57"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377B0E" w:rsidRPr="00377B0E" w:rsidRDefault="00377B0E" w:rsidP="00377B0E">
      <w:pPr>
        <w:tabs>
          <w:tab w:val="left" w:pos="3150"/>
        </w:tabs>
        <w:jc w:val="center"/>
        <w:rPr>
          <w:rFonts w:ascii="Rotis Sans Serif Std" w:hAnsi="Rotis Sans Serif Std" w:cs="RotisSansSerifStd-Regular"/>
          <w:color w:val="5E6061"/>
          <w:sz w:val="20"/>
          <w:lang w:eastAsia="es-ES_tradnl"/>
        </w:rPr>
      </w:pPr>
      <w:r w:rsidRPr="00377B0E">
        <w:rPr>
          <w:rFonts w:ascii="Rotis Sans Serif Std" w:hAnsi="Rotis Sans Serif Std" w:cs="RotisSansSerifStd-Regular"/>
          <w:color w:val="5E6061"/>
          <w:sz w:val="20"/>
          <w:lang w:eastAsia="es-ES_tradnl"/>
        </w:rPr>
        <w:t xml:space="preserve">Font: </w:t>
      </w:r>
      <w:r w:rsidR="00622EA6">
        <w:rPr>
          <w:rFonts w:ascii="Rotis Sans Serif Std" w:hAnsi="Rotis Sans Serif Std" w:cs="RotisSansSerifStd-Regular"/>
          <w:color w:val="5E6061"/>
          <w:sz w:val="20"/>
          <w:lang w:eastAsia="es-ES_tradnl"/>
        </w:rPr>
        <w:t>E</w:t>
      </w:r>
      <w:r w:rsidRPr="00377B0E">
        <w:rPr>
          <w:rFonts w:ascii="Rotis Sans Serif Std" w:hAnsi="Rotis Sans Serif Std" w:cs="RotisSansSerifStd-Regular"/>
          <w:color w:val="5E6061"/>
          <w:sz w:val="20"/>
          <w:lang w:eastAsia="es-ES_tradnl"/>
        </w:rPr>
        <w:t>laboració pròpia a partir de l’EEWC 2015.</w:t>
      </w:r>
    </w:p>
    <w:p w:rsidR="003F2D9D" w:rsidRPr="003C1C58" w:rsidRDefault="003F2D9D" w:rsidP="008D74D7">
      <w:pPr>
        <w:pStyle w:val="TEXTBOLD"/>
        <w:spacing w:line="276" w:lineRule="auto"/>
        <w:jc w:val="center"/>
        <w:rPr>
          <w:rFonts w:ascii="Rotis Sans Serif Std ExtraBold" w:hAnsi="Rotis Sans Serif Std ExtraBold"/>
          <w:b w:val="0"/>
          <w:color w:val="C1002B"/>
          <w:sz w:val="24"/>
          <w:szCs w:val="40"/>
          <w:u w:val="single"/>
          <w:lang w:val="ca-ES"/>
        </w:rPr>
      </w:pPr>
      <w:bookmarkStart w:id="19" w:name="Nota"/>
    </w:p>
    <w:p w:rsidR="003C1C58" w:rsidRDefault="003C1C58" w:rsidP="003C1C58">
      <w:pPr>
        <w:jc w:val="both"/>
        <w:rPr>
          <w:rFonts w:ascii="Rotis Sans Serif Std" w:hAnsi="Rotis Sans Serif Std" w:cs="RotisSansSerifStd-Regular"/>
          <w:color w:val="5E6061"/>
          <w:lang w:eastAsia="es-ES_tradnl"/>
        </w:rPr>
      </w:pPr>
      <w:r w:rsidRPr="003C1C58">
        <w:rPr>
          <w:rFonts w:ascii="Rotis Sans Serif Std" w:hAnsi="Rotis Sans Serif Std" w:cs="RotisSansSerifStd-Regular"/>
          <w:color w:val="5E6061"/>
          <w:lang w:eastAsia="es-ES_tradnl"/>
        </w:rPr>
        <w:t>Les con</w:t>
      </w:r>
      <w:r>
        <w:rPr>
          <w:rFonts w:ascii="Rotis Sans Serif Std" w:hAnsi="Rotis Sans Serif Std" w:cs="RotisSansSerifStd-Regular"/>
          <w:color w:val="5E6061"/>
          <w:lang w:eastAsia="es-ES_tradnl"/>
        </w:rPr>
        <w:t xml:space="preserve">clusions sobre els efectes del teletreball dels informes i estadístiques disponibles són, per tant, </w:t>
      </w:r>
      <w:r w:rsidRPr="003C1C58">
        <w:rPr>
          <w:rFonts w:ascii="Rotis Sans Serif Std" w:hAnsi="Rotis Sans Serif Std" w:cs="RotisSansSerifStd-Regular"/>
          <w:color w:val="5E6061"/>
          <w:lang w:eastAsia="es-ES_tradnl"/>
        </w:rPr>
        <w:t>molt am</w:t>
      </w:r>
      <w:r>
        <w:rPr>
          <w:rFonts w:ascii="Rotis Sans Serif Std" w:hAnsi="Rotis Sans Serif Std" w:cs="RotisSansSerifStd-Regular"/>
          <w:color w:val="5E6061"/>
          <w:lang w:eastAsia="es-ES_tradnl"/>
        </w:rPr>
        <w:t xml:space="preserve">bigües i estan relacionades amb </w:t>
      </w:r>
      <w:r w:rsidRPr="003C1C58">
        <w:rPr>
          <w:rFonts w:ascii="Rotis Sans Serif Std" w:hAnsi="Rotis Sans Serif Std" w:cs="RotisSansSerifStd-Regular"/>
          <w:color w:val="5E6061"/>
          <w:lang w:eastAsia="es-ES_tradnl"/>
        </w:rPr>
        <w:t>la interacció entre l'ús de</w:t>
      </w:r>
      <w:r>
        <w:rPr>
          <w:rFonts w:ascii="Rotis Sans Serif Std" w:hAnsi="Rotis Sans Serif Std" w:cs="RotisSansSerifStd-Regular"/>
          <w:color w:val="5E6061"/>
          <w:lang w:eastAsia="es-ES_tradnl"/>
        </w:rPr>
        <w:t xml:space="preserve"> les TIC, el lloc de treball en </w:t>
      </w:r>
      <w:r w:rsidRPr="003C1C58">
        <w:rPr>
          <w:rFonts w:ascii="Rotis Sans Serif Std" w:hAnsi="Rotis Sans Serif Std" w:cs="RotisSansSerifStd-Regular"/>
          <w:color w:val="5E6061"/>
          <w:lang w:eastAsia="es-ES_tradnl"/>
        </w:rPr>
        <w:t>determinats entorns laborals, el desdibuixament dels</w:t>
      </w:r>
      <w:r>
        <w:rPr>
          <w:rFonts w:ascii="Rotis Sans Serif Std" w:hAnsi="Rotis Sans Serif Std" w:cs="RotisSansSerifStd-Regular"/>
          <w:color w:val="5E6061"/>
          <w:lang w:eastAsia="es-ES_tradnl"/>
        </w:rPr>
        <w:t xml:space="preserve"> </w:t>
      </w:r>
      <w:r w:rsidRPr="003C1C58">
        <w:rPr>
          <w:rFonts w:ascii="Rotis Sans Serif Std" w:hAnsi="Rotis Sans Serif Std" w:cs="RotisSansSerifStd-Regular"/>
          <w:color w:val="5E6061"/>
          <w:lang w:eastAsia="es-ES_tradnl"/>
        </w:rPr>
        <w:t xml:space="preserve">límits entre </w:t>
      </w:r>
      <w:r>
        <w:rPr>
          <w:rFonts w:ascii="Rotis Sans Serif Std" w:hAnsi="Rotis Sans Serif Std" w:cs="RotisSansSerifStd-Regular"/>
          <w:color w:val="5E6061"/>
          <w:lang w:eastAsia="es-ES_tradnl"/>
        </w:rPr>
        <w:t xml:space="preserve">la </w:t>
      </w:r>
      <w:r w:rsidRPr="003C1C58">
        <w:rPr>
          <w:rFonts w:ascii="Rotis Sans Serif Std" w:hAnsi="Rotis Sans Serif Std" w:cs="RotisSansSerifStd-Regular"/>
          <w:color w:val="5E6061"/>
          <w:lang w:eastAsia="es-ES_tradnl"/>
        </w:rPr>
        <w:t>v</w:t>
      </w:r>
      <w:r>
        <w:rPr>
          <w:rFonts w:ascii="Rotis Sans Serif Std" w:hAnsi="Rotis Sans Serif Std" w:cs="RotisSansSerifStd-Regular"/>
          <w:color w:val="5E6061"/>
          <w:lang w:eastAsia="es-ES_tradnl"/>
        </w:rPr>
        <w:t xml:space="preserve">ida laboral i la personal i les </w:t>
      </w:r>
      <w:r w:rsidRPr="003C1C58">
        <w:rPr>
          <w:rFonts w:ascii="Rotis Sans Serif Std" w:hAnsi="Rotis Sans Serif Std" w:cs="RotisSansSerifStd-Regular"/>
          <w:color w:val="5E6061"/>
          <w:lang w:eastAsia="es-ES_tradnl"/>
        </w:rPr>
        <w:t>característiques de les difer</w:t>
      </w:r>
      <w:r>
        <w:rPr>
          <w:rFonts w:ascii="Rotis Sans Serif Std" w:hAnsi="Rotis Sans Serif Std" w:cs="RotisSansSerifStd-Regular"/>
          <w:color w:val="5E6061"/>
          <w:lang w:eastAsia="es-ES_tradnl"/>
        </w:rPr>
        <w:t xml:space="preserve">ents professions. A més, el que </w:t>
      </w:r>
      <w:r w:rsidRPr="003C1C58">
        <w:rPr>
          <w:rFonts w:ascii="Rotis Sans Serif Std" w:hAnsi="Rotis Sans Serif Std" w:cs="RotisSansSerifStd-Regular"/>
          <w:color w:val="5E6061"/>
          <w:lang w:eastAsia="es-ES_tradnl"/>
        </w:rPr>
        <w:t xml:space="preserve">el </w:t>
      </w:r>
      <w:r>
        <w:rPr>
          <w:rFonts w:ascii="Rotis Sans Serif Std" w:hAnsi="Rotis Sans Serif Std" w:cs="RotisSansSerifStd-Regular"/>
          <w:color w:val="5E6061"/>
          <w:lang w:eastAsia="es-ES_tradnl"/>
        </w:rPr>
        <w:t xml:space="preserve">teletreball </w:t>
      </w:r>
      <w:r w:rsidRPr="003C1C58">
        <w:rPr>
          <w:rFonts w:ascii="Rotis Sans Serif Std" w:hAnsi="Rotis Sans Serif Std" w:cs="RotisSansSerifStd-Regular"/>
          <w:color w:val="5E6061"/>
          <w:lang w:eastAsia="es-ES_tradnl"/>
        </w:rPr>
        <w:t>substitueixi al treball en l'oficina o ho</w:t>
      </w:r>
      <w:r>
        <w:rPr>
          <w:rFonts w:ascii="Rotis Sans Serif Std" w:hAnsi="Rotis Sans Serif Std" w:cs="RotisSansSerifStd-Regular"/>
          <w:color w:val="5E6061"/>
          <w:lang w:eastAsia="es-ES_tradnl"/>
        </w:rPr>
        <w:t xml:space="preserve"> </w:t>
      </w:r>
      <w:r w:rsidRPr="003C1C58">
        <w:rPr>
          <w:rFonts w:ascii="Rotis Sans Serif Std" w:hAnsi="Rotis Sans Serif Std" w:cs="RotisSansSerifStd-Regular"/>
          <w:color w:val="5E6061"/>
          <w:lang w:eastAsia="es-ES_tradnl"/>
        </w:rPr>
        <w:t>complementi sembla ser un factor important a l'hora de</w:t>
      </w:r>
      <w:r>
        <w:rPr>
          <w:rFonts w:ascii="Rotis Sans Serif Std" w:hAnsi="Rotis Sans Serif Std" w:cs="RotisSansSerifStd-Regular"/>
          <w:color w:val="5E6061"/>
          <w:lang w:eastAsia="es-ES_tradnl"/>
        </w:rPr>
        <w:t xml:space="preserve"> </w:t>
      </w:r>
      <w:r w:rsidRPr="003C1C58">
        <w:rPr>
          <w:rFonts w:ascii="Rotis Sans Serif Std" w:hAnsi="Rotis Sans Serif Std" w:cs="RotisSansSerifStd-Regular"/>
          <w:color w:val="5E6061"/>
          <w:lang w:eastAsia="es-ES_tradnl"/>
        </w:rPr>
        <w:t>determinar resultats positius o negatius.</w:t>
      </w:r>
    </w:p>
    <w:p w:rsidR="003C1C58" w:rsidRPr="003C1C58" w:rsidRDefault="003C1C58" w:rsidP="003C1C58">
      <w:pPr>
        <w:jc w:val="both"/>
        <w:rPr>
          <w:rFonts w:ascii="Rotis Sans Serif Std" w:hAnsi="Rotis Sans Serif Std" w:cs="RotisSansSerifStd-Regular"/>
          <w:color w:val="5E6061"/>
          <w:lang w:eastAsia="es-ES_tradnl"/>
        </w:rPr>
      </w:pPr>
    </w:p>
    <w:p w:rsidR="00134BDF" w:rsidRDefault="003C1C58" w:rsidP="00CC2AC5">
      <w:pPr>
        <w:jc w:val="both"/>
        <w:rPr>
          <w:rFonts w:ascii="Rotis Sans Serif Std" w:hAnsi="Rotis Sans Serif Std" w:cs="RotisSansSerifStd-Regular"/>
          <w:color w:val="5E6061"/>
          <w:lang w:eastAsia="es-ES_tradnl"/>
        </w:rPr>
      </w:pPr>
      <w:r w:rsidRPr="003C1C58">
        <w:rPr>
          <w:rFonts w:ascii="Rotis Sans Serif Std" w:hAnsi="Rotis Sans Serif Std" w:cs="RotisSansSerifStd-Regular"/>
          <w:color w:val="5E6061"/>
          <w:lang w:eastAsia="es-ES_tradnl"/>
        </w:rPr>
        <w:t>L'Acord marc E</w:t>
      </w:r>
      <w:r>
        <w:rPr>
          <w:rFonts w:ascii="Rotis Sans Serif Std" w:hAnsi="Rotis Sans Serif Std" w:cs="RotisSansSerifStd-Regular"/>
          <w:color w:val="5E6061"/>
          <w:lang w:eastAsia="es-ES_tradnl"/>
        </w:rPr>
        <w:t xml:space="preserve">uropeu sobre Teletreball (2002) </w:t>
      </w:r>
      <w:r w:rsidRPr="003C1C58">
        <w:rPr>
          <w:rFonts w:ascii="Rotis Sans Serif Std" w:hAnsi="Rotis Sans Serif Std" w:cs="RotisSansSerifStd-Regular"/>
          <w:color w:val="5E6061"/>
          <w:lang w:eastAsia="es-ES_tradnl"/>
        </w:rPr>
        <w:t>aborda, en certa mesu</w:t>
      </w:r>
      <w:r w:rsidR="00CC2AC5">
        <w:rPr>
          <w:rFonts w:ascii="Rotis Sans Serif Std" w:hAnsi="Rotis Sans Serif Std" w:cs="RotisSansSerifStd-Regular"/>
          <w:color w:val="5E6061"/>
          <w:lang w:eastAsia="es-ES_tradnl"/>
        </w:rPr>
        <w:t xml:space="preserve">ra, els avantatges i els riscos </w:t>
      </w:r>
      <w:r w:rsidRPr="003C1C58">
        <w:rPr>
          <w:rFonts w:ascii="Rotis Sans Serif Std" w:hAnsi="Rotis Sans Serif Std" w:cs="RotisSansSerifStd-Regular"/>
          <w:color w:val="5E6061"/>
          <w:lang w:eastAsia="es-ES_tradnl"/>
        </w:rPr>
        <w:t xml:space="preserve">possibles del </w:t>
      </w:r>
      <w:r>
        <w:rPr>
          <w:rFonts w:ascii="Rotis Sans Serif Std" w:hAnsi="Rotis Sans Serif Std" w:cs="RotisSansSerifStd-Regular"/>
          <w:color w:val="5E6061"/>
          <w:lang w:eastAsia="es-ES_tradnl"/>
        </w:rPr>
        <w:t xml:space="preserve">teletreball </w:t>
      </w:r>
      <w:r w:rsidRPr="003C1C58">
        <w:rPr>
          <w:rFonts w:ascii="Rotis Sans Serif Std" w:hAnsi="Rotis Sans Serif Std" w:cs="RotisSansSerifStd-Regular"/>
          <w:color w:val="5E6061"/>
          <w:lang w:eastAsia="es-ES_tradnl"/>
        </w:rPr>
        <w:t xml:space="preserve">en </w:t>
      </w:r>
      <w:r>
        <w:rPr>
          <w:rFonts w:ascii="Rotis Sans Serif Std" w:hAnsi="Rotis Sans Serif Std" w:cs="RotisSansSerifStd-Regular"/>
          <w:color w:val="5E6061"/>
          <w:lang w:eastAsia="es-ES_tradnl"/>
        </w:rPr>
        <w:t xml:space="preserve">els Estats Membres de la UE, si </w:t>
      </w:r>
      <w:r w:rsidR="00972EC4">
        <w:rPr>
          <w:rFonts w:ascii="Rotis Sans Serif Std" w:hAnsi="Rotis Sans Serif Std" w:cs="RotisSansSerifStd-Regular"/>
          <w:color w:val="5E6061"/>
          <w:lang w:eastAsia="es-ES_tradnl"/>
        </w:rPr>
        <w:t>bé</w:t>
      </w:r>
      <w:r w:rsidR="00CC2AC5">
        <w:rPr>
          <w:rFonts w:ascii="Rotis Sans Serif Std" w:hAnsi="Rotis Sans Serif Std" w:cs="RotisSansSerifStd-Regular"/>
          <w:color w:val="5E6061"/>
          <w:lang w:eastAsia="es-ES_tradnl"/>
        </w:rPr>
        <w:t>,</w:t>
      </w:r>
      <w:r w:rsidRPr="003C1C58">
        <w:rPr>
          <w:rFonts w:ascii="Rotis Sans Serif Std" w:hAnsi="Rotis Sans Serif Std" w:cs="RotisSansSerifStd-Regular"/>
          <w:color w:val="5E6061"/>
          <w:lang w:eastAsia="es-ES_tradnl"/>
        </w:rPr>
        <w:t xml:space="preserve"> marcs similars no e</w:t>
      </w:r>
      <w:r w:rsidR="00CC2AC5">
        <w:rPr>
          <w:rFonts w:ascii="Rotis Sans Serif Std" w:hAnsi="Rotis Sans Serif Std" w:cs="RotisSansSerifStd-Regular"/>
          <w:color w:val="5E6061"/>
          <w:lang w:eastAsia="es-ES_tradnl"/>
        </w:rPr>
        <w:t>xisteixen fora de la UE</w:t>
      </w:r>
      <w:r>
        <w:rPr>
          <w:rFonts w:ascii="Rotis Sans Serif Std" w:hAnsi="Rotis Sans Serif Std" w:cs="RotisSansSerifStd-Regular"/>
          <w:color w:val="5E6061"/>
          <w:lang w:eastAsia="es-ES_tradnl"/>
        </w:rPr>
        <w:t xml:space="preserve"> </w:t>
      </w:r>
      <w:r w:rsidR="00CC2AC5">
        <w:rPr>
          <w:rFonts w:ascii="Rotis Sans Serif Std" w:hAnsi="Rotis Sans Serif Std" w:cs="RotisSansSerifStd-Regular"/>
          <w:color w:val="5E6061"/>
          <w:lang w:eastAsia="es-ES_tradnl"/>
        </w:rPr>
        <w:t>a</w:t>
      </w:r>
      <w:r>
        <w:rPr>
          <w:rFonts w:ascii="Rotis Sans Serif Std" w:hAnsi="Rotis Sans Serif Std" w:cs="RotisSansSerifStd-Regular"/>
          <w:color w:val="5E6061"/>
          <w:lang w:eastAsia="es-ES_tradnl"/>
        </w:rPr>
        <w:t xml:space="preserve">lguns </w:t>
      </w:r>
      <w:r w:rsidRPr="003C1C58">
        <w:rPr>
          <w:rFonts w:ascii="Rotis Sans Serif Std" w:hAnsi="Rotis Sans Serif Std" w:cs="RotisSansSerifStd-Regular"/>
          <w:color w:val="5E6061"/>
          <w:lang w:eastAsia="es-ES_tradnl"/>
        </w:rPr>
        <w:t>països han emp</w:t>
      </w:r>
      <w:r>
        <w:rPr>
          <w:rFonts w:ascii="Rotis Sans Serif Std" w:hAnsi="Rotis Sans Serif Std" w:cs="RotisSansSerifStd-Regular"/>
          <w:color w:val="5E6061"/>
          <w:lang w:eastAsia="es-ES_tradnl"/>
        </w:rPr>
        <w:t xml:space="preserve">rès iniciatives que aborden les </w:t>
      </w:r>
      <w:r w:rsidRPr="003C1C58">
        <w:rPr>
          <w:rFonts w:ascii="Rotis Sans Serif Std" w:hAnsi="Rotis Sans Serif Std" w:cs="RotisSansSerifStd-Regular"/>
          <w:color w:val="5E6061"/>
          <w:lang w:eastAsia="es-ES_tradnl"/>
        </w:rPr>
        <w:t>condicions</w:t>
      </w:r>
      <w:r w:rsidR="00CC2AC5">
        <w:rPr>
          <w:rFonts w:ascii="Rotis Sans Serif Std" w:hAnsi="Rotis Sans Serif Std" w:cs="RotisSansSerifStd-Regular"/>
          <w:color w:val="5E6061"/>
          <w:lang w:eastAsia="es-ES_tradnl"/>
        </w:rPr>
        <w:t xml:space="preserve"> de treball dels teletreballadors</w:t>
      </w:r>
      <w:r w:rsidRPr="003C1C58">
        <w:rPr>
          <w:rFonts w:ascii="Rotis Sans Serif Std" w:hAnsi="Rotis Sans Serif Std" w:cs="RotisSansSerifStd-Regular"/>
          <w:color w:val="5E6061"/>
          <w:lang w:eastAsia="es-ES_tradnl"/>
        </w:rPr>
        <w:t>. No obstant això,</w:t>
      </w:r>
      <w:r w:rsidR="00CC2AC5">
        <w:rPr>
          <w:rFonts w:ascii="Rotis Sans Serif Std" w:hAnsi="Rotis Sans Serif Std" w:cs="RotisSansSerifStd-Regular"/>
          <w:color w:val="5E6061"/>
          <w:lang w:eastAsia="es-ES_tradnl"/>
        </w:rPr>
        <w:t xml:space="preserve"> </w:t>
      </w:r>
      <w:r w:rsidRPr="003C1C58">
        <w:rPr>
          <w:rFonts w:ascii="Rotis Sans Serif Std" w:hAnsi="Rotis Sans Serif Std" w:cs="RotisSansSerifStd-Regular"/>
          <w:color w:val="5E6061"/>
          <w:lang w:eastAsia="es-ES_tradnl"/>
        </w:rPr>
        <w:t>la majoria</w:t>
      </w:r>
      <w:r w:rsidR="00CC2AC5">
        <w:rPr>
          <w:rFonts w:ascii="Rotis Sans Serif Std" w:hAnsi="Rotis Sans Serif Std" w:cs="RotisSansSerifStd-Regular"/>
          <w:color w:val="5E6061"/>
          <w:lang w:eastAsia="es-ES_tradnl"/>
        </w:rPr>
        <w:t xml:space="preserve"> dels exemples es refereixen al </w:t>
      </w:r>
      <w:r w:rsidRPr="003C1C58">
        <w:rPr>
          <w:rFonts w:ascii="Rotis Sans Serif Std" w:hAnsi="Rotis Sans Serif Std" w:cs="RotisSansSerifStd-Regular"/>
          <w:color w:val="5E6061"/>
          <w:lang w:eastAsia="es-ES_tradnl"/>
        </w:rPr>
        <w:t>teletreball formal exercit des d</w:t>
      </w:r>
      <w:r w:rsidR="00CC2AC5">
        <w:rPr>
          <w:rFonts w:ascii="Rotis Sans Serif Std" w:hAnsi="Rotis Sans Serif Std" w:cs="RotisSansSerifStd-Regular"/>
          <w:color w:val="5E6061"/>
          <w:lang w:eastAsia="es-ES_tradnl"/>
        </w:rPr>
        <w:t xml:space="preserve">e casa. </w:t>
      </w:r>
    </w:p>
    <w:p w:rsidR="00972EC4" w:rsidRDefault="00972EC4" w:rsidP="00CC2AC5">
      <w:pPr>
        <w:jc w:val="both"/>
        <w:rPr>
          <w:rFonts w:ascii="Rotis Sans Serif Std" w:hAnsi="Rotis Sans Serif Std" w:cs="RotisSansSerifStd-Regular"/>
          <w:color w:val="5E6061"/>
          <w:lang w:eastAsia="es-ES_tradnl"/>
        </w:rPr>
      </w:pPr>
    </w:p>
    <w:p w:rsidR="00154079" w:rsidRDefault="00972EC4" w:rsidP="00154079">
      <w:pPr>
        <w:autoSpaceDE w:val="0"/>
        <w:autoSpaceDN w:val="0"/>
        <w:adjustRightInd w:val="0"/>
        <w:jc w:val="both"/>
        <w:rPr>
          <w:rFonts w:ascii="Rotis Sans Serif Std" w:hAnsi="Rotis Sans Serif Std" w:cs="RotisSansSerifStd-Regular"/>
          <w:color w:val="5E6061"/>
          <w:lang w:eastAsia="es-ES_tradnl"/>
        </w:rPr>
      </w:pPr>
      <w:r>
        <w:rPr>
          <w:rFonts w:ascii="Rotis Sans Serif Std" w:hAnsi="Rotis Sans Serif Std" w:cs="RotisSansSerifStd-Regular"/>
          <w:color w:val="5E6061"/>
          <w:lang w:eastAsia="es-ES_tradnl"/>
        </w:rPr>
        <w:t>L’Acord Interprofessional de Catalunya estableix l’Acord Marc Europeu sobre el Teletreball com a referència reguladora a incorporar en els Convenis Col·lectius. En especial</w:t>
      </w:r>
      <w:r w:rsidR="00154079">
        <w:rPr>
          <w:rFonts w:ascii="Rotis Sans Serif Std" w:hAnsi="Rotis Sans Serif Std" w:cs="RotisSansSerifStd-Regular"/>
          <w:color w:val="5E6061"/>
          <w:lang w:eastAsia="es-ES_tradnl"/>
        </w:rPr>
        <w:t xml:space="preserve">, </w:t>
      </w:r>
      <w:r w:rsidR="00154079" w:rsidRPr="00154079">
        <w:rPr>
          <w:rFonts w:ascii="Rotis Sans Serif Std" w:hAnsi="Rotis Sans Serif Std" w:cs="RotisSansSerifStd-Regular"/>
          <w:color w:val="5E6061"/>
          <w:lang w:eastAsia="es-ES_tradnl"/>
        </w:rPr>
        <w:t>es recomana que es considerin els apartats referents a equipaments, seguretat i salut o drets</w:t>
      </w:r>
      <w:r w:rsidR="00154079">
        <w:rPr>
          <w:rFonts w:ascii="Rotis Sans Serif Std" w:hAnsi="Rotis Sans Serif Std" w:cs="RotisSansSerifStd-Regular"/>
          <w:color w:val="5E6061"/>
          <w:lang w:eastAsia="es-ES_tradnl"/>
        </w:rPr>
        <w:t xml:space="preserve"> </w:t>
      </w:r>
      <w:r w:rsidR="00154079" w:rsidRPr="00154079">
        <w:rPr>
          <w:rFonts w:ascii="Rotis Sans Serif Std" w:hAnsi="Rotis Sans Serif Std" w:cs="RotisSansSerifStd-Regular"/>
          <w:color w:val="5E6061"/>
          <w:lang w:eastAsia="es-ES_tradnl"/>
        </w:rPr>
        <w:t>col·lectius, entre altres, en les condicions de l'AET.</w:t>
      </w:r>
    </w:p>
    <w:p w:rsidR="00154079" w:rsidRPr="00154079" w:rsidRDefault="00154079" w:rsidP="00154079">
      <w:pPr>
        <w:autoSpaceDE w:val="0"/>
        <w:autoSpaceDN w:val="0"/>
        <w:adjustRightInd w:val="0"/>
        <w:jc w:val="both"/>
        <w:rPr>
          <w:rFonts w:ascii="Rotis Sans Serif Std" w:hAnsi="Rotis Sans Serif Std" w:cs="RotisSansSerifStd-Regular"/>
          <w:color w:val="5E6061"/>
          <w:lang w:eastAsia="es-ES_tradnl"/>
        </w:rPr>
      </w:pPr>
    </w:p>
    <w:p w:rsidR="00154079" w:rsidRDefault="00154079" w:rsidP="00154079">
      <w:pPr>
        <w:autoSpaceDE w:val="0"/>
        <w:autoSpaceDN w:val="0"/>
        <w:adjustRightInd w:val="0"/>
        <w:jc w:val="both"/>
        <w:rPr>
          <w:rFonts w:ascii="Rotis Sans Serif Std" w:hAnsi="Rotis Sans Serif Std" w:cs="RotisSansSerifStd-Regular"/>
          <w:color w:val="5E6061"/>
          <w:lang w:eastAsia="es-ES_tradnl"/>
        </w:rPr>
      </w:pPr>
      <w:r w:rsidRPr="00154079">
        <w:rPr>
          <w:rFonts w:ascii="Rotis Sans Serif Std" w:hAnsi="Rotis Sans Serif Std" w:cs="RotisSansSerifStd-Regular"/>
          <w:color w:val="5E6061"/>
          <w:lang w:eastAsia="es-ES_tradnl"/>
        </w:rPr>
        <w:t>Mé</w:t>
      </w:r>
      <w:r>
        <w:rPr>
          <w:rFonts w:ascii="Rotis Sans Serif Std" w:hAnsi="Rotis Sans Serif Std" w:cs="RotisSansSerifStd-Regular"/>
          <w:color w:val="5E6061"/>
          <w:lang w:eastAsia="es-ES_tradnl"/>
        </w:rPr>
        <w:t>s enllà de l'AET, orientem</w:t>
      </w:r>
      <w:r w:rsidRPr="00154079">
        <w:rPr>
          <w:rFonts w:ascii="Rotis Sans Serif Std" w:hAnsi="Rotis Sans Serif Std" w:cs="RotisSansSerifStd-Regular"/>
          <w:color w:val="5E6061"/>
          <w:lang w:eastAsia="es-ES_tradnl"/>
        </w:rPr>
        <w:t xml:space="preserve"> al fet que la negociació col·lectiva reguli aspectes del teletreball com:</w:t>
      </w:r>
    </w:p>
    <w:p w:rsidR="00154079" w:rsidRPr="00154079" w:rsidRDefault="00154079" w:rsidP="00154079">
      <w:pPr>
        <w:autoSpaceDE w:val="0"/>
        <w:autoSpaceDN w:val="0"/>
        <w:adjustRightInd w:val="0"/>
        <w:jc w:val="both"/>
        <w:rPr>
          <w:rFonts w:ascii="Rotis Sans Serif Std" w:hAnsi="Rotis Sans Serif Std" w:cs="RotisSansSerifStd-Regular"/>
          <w:color w:val="5E6061"/>
          <w:lang w:eastAsia="es-ES_tradnl"/>
        </w:rPr>
      </w:pPr>
    </w:p>
    <w:p w:rsidR="00154079" w:rsidRPr="00154079" w:rsidRDefault="00154079" w:rsidP="00154079">
      <w:pPr>
        <w:autoSpaceDE w:val="0"/>
        <w:autoSpaceDN w:val="0"/>
        <w:adjustRightInd w:val="0"/>
        <w:jc w:val="both"/>
        <w:rPr>
          <w:rFonts w:ascii="Rotis Sans Serif Std" w:hAnsi="Rotis Sans Serif Std" w:cs="RotisSansSerifStd-Regular"/>
          <w:color w:val="5E6061"/>
          <w:lang w:eastAsia="es-ES_tradnl"/>
        </w:rPr>
      </w:pPr>
      <w:r w:rsidRPr="00154079">
        <w:rPr>
          <w:rFonts w:ascii="Rotis Sans Serif Std" w:hAnsi="Rotis Sans Serif Std" w:cs="RotisSansSerifStd-Regular"/>
          <w:color w:val="5E6061"/>
          <w:lang w:eastAsia="es-ES_tradnl"/>
        </w:rPr>
        <w:t>a) L'exigència d'una càrrega de treball objectivable i mesurable, proporcionada al temps de treball aplicable.</w:t>
      </w:r>
    </w:p>
    <w:p w:rsidR="00154079" w:rsidRPr="00154079" w:rsidRDefault="00154079" w:rsidP="00154079">
      <w:pPr>
        <w:autoSpaceDE w:val="0"/>
        <w:autoSpaceDN w:val="0"/>
        <w:adjustRightInd w:val="0"/>
        <w:jc w:val="both"/>
        <w:rPr>
          <w:rFonts w:ascii="Rotis Sans Serif Std" w:hAnsi="Rotis Sans Serif Std" w:cs="RotisSansSerifStd-Regular"/>
          <w:color w:val="5E6061"/>
          <w:lang w:eastAsia="es-ES_tradnl"/>
        </w:rPr>
      </w:pPr>
      <w:r w:rsidRPr="00154079">
        <w:rPr>
          <w:rFonts w:ascii="Rotis Sans Serif Std" w:hAnsi="Rotis Sans Serif Std" w:cs="RotisSansSerifStd-Regular"/>
          <w:color w:val="5E6061"/>
          <w:lang w:eastAsia="es-ES_tradnl"/>
        </w:rPr>
        <w:t>b) Dret a la conciliació de la vida laboral i personal.</w:t>
      </w:r>
    </w:p>
    <w:p w:rsidR="00154079" w:rsidRDefault="00154079" w:rsidP="00154079">
      <w:pPr>
        <w:autoSpaceDE w:val="0"/>
        <w:autoSpaceDN w:val="0"/>
        <w:adjustRightInd w:val="0"/>
        <w:jc w:val="both"/>
        <w:rPr>
          <w:rFonts w:ascii="Rotis Sans Serif Std" w:hAnsi="Rotis Sans Serif Std" w:cs="RotisSansSerifStd-Regular"/>
          <w:color w:val="5E6061"/>
          <w:lang w:eastAsia="es-ES_tradnl"/>
        </w:rPr>
      </w:pPr>
    </w:p>
    <w:p w:rsidR="00972EC4" w:rsidRDefault="00154079" w:rsidP="00154079">
      <w:pPr>
        <w:autoSpaceDE w:val="0"/>
        <w:autoSpaceDN w:val="0"/>
        <w:adjustRightInd w:val="0"/>
        <w:jc w:val="both"/>
        <w:rPr>
          <w:rFonts w:ascii="Rotis Sans Serif Std" w:hAnsi="Rotis Sans Serif Std" w:cs="RotisSansSerifStd-Regular"/>
          <w:color w:val="5E6061"/>
          <w:lang w:eastAsia="es-ES_tradnl"/>
        </w:rPr>
      </w:pPr>
      <w:r w:rsidRPr="00154079">
        <w:rPr>
          <w:rFonts w:ascii="Rotis Sans Serif Std" w:hAnsi="Rotis Sans Serif Std" w:cs="RotisSansSerifStd-Regular"/>
          <w:color w:val="5E6061"/>
          <w:lang w:eastAsia="es-ES_tradnl"/>
        </w:rPr>
        <w:t>Es recomana que la direcció de l'empresa i la representació legal de les persones treballadores analitzin</w:t>
      </w:r>
      <w:r>
        <w:rPr>
          <w:rFonts w:ascii="Rotis Sans Serif Std" w:hAnsi="Rotis Sans Serif Std" w:cs="RotisSansSerifStd-Regular"/>
          <w:color w:val="5E6061"/>
          <w:lang w:eastAsia="es-ES_tradnl"/>
        </w:rPr>
        <w:t xml:space="preserve"> </w:t>
      </w:r>
      <w:r w:rsidRPr="00154079">
        <w:rPr>
          <w:rFonts w:ascii="Rotis Sans Serif Std" w:hAnsi="Rotis Sans Serif Std" w:cs="RotisSansSerifStd-Regular"/>
          <w:color w:val="5E6061"/>
          <w:lang w:eastAsia="es-ES_tradnl"/>
        </w:rPr>
        <w:t>conjuntament, i de manera periòdica, l'aplicació correcta d'aquests principis regulats en el Conveni col·lectiu,</w:t>
      </w:r>
      <w:r>
        <w:rPr>
          <w:rFonts w:ascii="Rotis Sans Serif Std" w:hAnsi="Rotis Sans Serif Std" w:cs="RotisSansSerifStd-Regular"/>
          <w:color w:val="5E6061"/>
          <w:lang w:eastAsia="es-ES_tradnl"/>
        </w:rPr>
        <w:t xml:space="preserve"> </w:t>
      </w:r>
      <w:r w:rsidRPr="00154079">
        <w:rPr>
          <w:rFonts w:ascii="Rotis Sans Serif Std" w:hAnsi="Rotis Sans Serif Std" w:cs="RotisSansSerifStd-Regular"/>
          <w:color w:val="5E6061"/>
          <w:lang w:eastAsia="es-ES_tradnl"/>
        </w:rPr>
        <w:t>resolguin els problemes i queixes que poguessin produir-se, i realitzin les correccions oportunes.</w:t>
      </w:r>
    </w:p>
    <w:p w:rsidR="00CC2AC5" w:rsidRDefault="00CC2AC5" w:rsidP="00CC2AC5">
      <w:pPr>
        <w:jc w:val="both"/>
        <w:rPr>
          <w:rFonts w:ascii="Rotis Sans Serif Std" w:hAnsi="Rotis Sans Serif Std" w:cs="RotisSansSerifStd-Regular"/>
          <w:color w:val="5E6061"/>
          <w:lang w:eastAsia="es-ES_tradnl"/>
        </w:rPr>
      </w:pPr>
    </w:p>
    <w:p w:rsidR="00940F6E" w:rsidRDefault="00425BE8">
      <w:pPr>
        <w:rPr>
          <w:rFonts w:ascii="Rotis Sans Serif Std" w:hAnsi="Rotis Sans Serif Std"/>
          <w:b/>
          <w:color w:val="C1002B"/>
        </w:rPr>
      </w:pPr>
      <w:r w:rsidRPr="00425BE8">
        <w:rPr>
          <w:rFonts w:ascii="Rotis Sans Serif Std" w:hAnsi="Rotis Sans Serif Std"/>
          <w:b/>
          <w:color w:val="C1002B"/>
        </w:rPr>
        <w:t xml:space="preserve">2.7.3. Temps de treball i nova economia </w:t>
      </w:r>
      <w:proofErr w:type="spellStart"/>
      <w:r w:rsidRPr="00425BE8">
        <w:rPr>
          <w:rFonts w:ascii="Rotis Sans Serif Std" w:hAnsi="Rotis Sans Serif Std"/>
          <w:b/>
          <w:color w:val="C1002B"/>
        </w:rPr>
        <w:t>col·laborativa</w:t>
      </w:r>
      <w:proofErr w:type="spellEnd"/>
    </w:p>
    <w:p w:rsidR="00940F6E" w:rsidRDefault="00940F6E">
      <w:pPr>
        <w:rPr>
          <w:rFonts w:ascii="Rotis Sans Serif Std" w:hAnsi="Rotis Sans Serif Std"/>
          <w:b/>
          <w:color w:val="C1002B"/>
        </w:rPr>
      </w:pPr>
    </w:p>
    <w:p w:rsidR="00940F6E" w:rsidRDefault="00940F6E" w:rsidP="00940F6E">
      <w:pPr>
        <w:jc w:val="both"/>
        <w:rPr>
          <w:rFonts w:ascii="Rotis Sans Serif Std" w:hAnsi="Rotis Sans Serif Std"/>
          <w:color w:val="5E6061"/>
          <w:lang w:eastAsia="es-ES_tradnl"/>
        </w:rPr>
      </w:pPr>
      <w:r>
        <w:rPr>
          <w:rFonts w:ascii="Rotis Sans Serif Std" w:hAnsi="Rotis Sans Serif Std"/>
          <w:color w:val="5E6061"/>
          <w:lang w:eastAsia="es-ES_tradnl"/>
        </w:rPr>
        <w:t xml:space="preserve">Un dels grans desafiaments en aquest àmbit és l'acomodació dels indicis reveladors de la dependència als canvis en les formes de prestació de serveis. L'aplicació del test de </w:t>
      </w:r>
      <w:proofErr w:type="spellStart"/>
      <w:r>
        <w:rPr>
          <w:rFonts w:ascii="Rotis Sans Serif Std" w:hAnsi="Rotis Sans Serif Std"/>
          <w:color w:val="5E6061"/>
          <w:lang w:eastAsia="es-ES_tradnl"/>
        </w:rPr>
        <w:t>laboralitat</w:t>
      </w:r>
      <w:proofErr w:type="spellEnd"/>
      <w:r>
        <w:rPr>
          <w:rFonts w:ascii="Rotis Sans Serif Std" w:hAnsi="Rotis Sans Serif Std"/>
          <w:color w:val="5E6061"/>
          <w:lang w:eastAsia="es-ES_tradnl"/>
        </w:rPr>
        <w:t xml:space="preserve"> als serveis prestats mitjançant les plataformes digitals s'ha d'adaptar per determinar la concurrència del requisit de dependència en la vinculació entre la plataforma i el prestador de serveis.</w:t>
      </w:r>
    </w:p>
    <w:p w:rsidR="00940F6E" w:rsidRDefault="00940F6E" w:rsidP="00940F6E">
      <w:pPr>
        <w:jc w:val="both"/>
        <w:rPr>
          <w:rFonts w:ascii="Rotis Sans Serif Std" w:hAnsi="Rotis Sans Serif Std"/>
          <w:color w:val="5E6061"/>
          <w:lang w:eastAsia="es-ES_tradnl"/>
        </w:rPr>
      </w:pPr>
    </w:p>
    <w:p w:rsidR="00940F6E" w:rsidRDefault="00940F6E" w:rsidP="00940F6E">
      <w:pPr>
        <w:jc w:val="both"/>
        <w:rPr>
          <w:rFonts w:ascii="Rotis Sans Serif Std" w:hAnsi="Rotis Sans Serif Std"/>
          <w:color w:val="5E6061"/>
          <w:lang w:eastAsia="es-ES_tradnl"/>
        </w:rPr>
      </w:pPr>
      <w:r>
        <w:rPr>
          <w:rFonts w:ascii="Rotis Sans Serif Std" w:hAnsi="Rotis Sans Serif Std"/>
          <w:color w:val="5E6061"/>
          <w:lang w:eastAsia="es-ES_tradnl"/>
        </w:rPr>
        <w:t xml:space="preserve">Existeix una major llibertat i autoorganització en l'execució per la pròpia naturalesa d'aquest model basat en l'aplicació de les noves tecnologies, i això dificulta la valoració de si determinats serveis es presten </w:t>
      </w:r>
      <w:r w:rsidR="00154079">
        <w:rPr>
          <w:rFonts w:ascii="Rotis Sans Serif Std" w:hAnsi="Rotis Sans Serif Std"/>
          <w:color w:val="5E6061"/>
          <w:lang w:eastAsia="es-ES_tradnl"/>
        </w:rPr>
        <w:t>sota</w:t>
      </w:r>
      <w:r>
        <w:rPr>
          <w:rFonts w:ascii="Rotis Sans Serif Std" w:hAnsi="Rotis Sans Serif Std"/>
          <w:color w:val="5E6061"/>
          <w:lang w:eastAsia="es-ES_tradnl"/>
        </w:rPr>
        <w:t xml:space="preserve"> submissió però no desvirtua, necessàriament, la consideració com a relació subordinada.</w:t>
      </w:r>
    </w:p>
    <w:p w:rsidR="00940F6E" w:rsidRDefault="00940F6E" w:rsidP="00940F6E">
      <w:pPr>
        <w:jc w:val="both"/>
        <w:rPr>
          <w:rFonts w:ascii="Rotis Sans Serif Std" w:hAnsi="Rotis Sans Serif Std"/>
          <w:color w:val="5E6061"/>
          <w:lang w:eastAsia="es-ES_tradnl"/>
        </w:rPr>
      </w:pPr>
    </w:p>
    <w:p w:rsidR="00940F6E" w:rsidRDefault="00940F6E" w:rsidP="00940F6E">
      <w:pPr>
        <w:jc w:val="both"/>
        <w:rPr>
          <w:rFonts w:ascii="Rotis Sans Serif Std" w:hAnsi="Rotis Sans Serif Std"/>
          <w:color w:val="5E6061"/>
          <w:lang w:eastAsia="es-ES_tradnl"/>
        </w:rPr>
      </w:pPr>
      <w:r>
        <w:rPr>
          <w:rFonts w:ascii="Rotis Sans Serif Std" w:hAnsi="Rotis Sans Serif Std"/>
          <w:color w:val="5E6061"/>
          <w:lang w:eastAsia="es-ES_tradnl"/>
        </w:rPr>
        <w:t xml:space="preserve">El fet que el treballador tingui la capacitat d'elecció sobre la seva jornada de treball i el seu horari no suposarà, obligatòriament, que el treballador sigui considerat independent. La dependència ara no es manifestarà sempre a través dels indicadors clàssics de temps i lloc predeterminats, o en la manera de realització del treball en un lloc subjecte a control i ordenació de la prestació contínua. </w:t>
      </w:r>
    </w:p>
    <w:p w:rsidR="00940F6E" w:rsidRDefault="00940F6E" w:rsidP="00940F6E">
      <w:pPr>
        <w:jc w:val="both"/>
        <w:rPr>
          <w:rFonts w:ascii="Rotis Sans Serif Std" w:hAnsi="Rotis Sans Serif Std"/>
          <w:color w:val="5E6061"/>
          <w:lang w:eastAsia="es-ES_tradnl"/>
        </w:rPr>
      </w:pPr>
    </w:p>
    <w:p w:rsidR="00940F6E" w:rsidRDefault="00940F6E" w:rsidP="00940F6E">
      <w:pPr>
        <w:jc w:val="both"/>
        <w:rPr>
          <w:rFonts w:ascii="Rotis Sans Serif Std" w:hAnsi="Rotis Sans Serif Std"/>
          <w:color w:val="5E6061"/>
          <w:lang w:eastAsia="es-ES_tradnl"/>
        </w:rPr>
      </w:pPr>
      <w:r>
        <w:rPr>
          <w:rFonts w:ascii="Rotis Sans Serif Std" w:hAnsi="Rotis Sans Serif Std"/>
          <w:color w:val="5E6061"/>
          <w:lang w:eastAsia="es-ES_tradnl"/>
        </w:rPr>
        <w:t xml:space="preserve">L'empresa podria dictar noves instruccions amb l'obligació de compliment per part del treballador, la qual cosa implica que el realment substancial no és el nivell de control que exerceixi l'empresari, sinó si posseeix el poder de control i </w:t>
      </w:r>
      <w:r w:rsidR="00154079">
        <w:rPr>
          <w:rFonts w:ascii="Rotis Sans Serif Std" w:hAnsi="Rotis Sans Serif Std"/>
          <w:color w:val="5E6061"/>
          <w:lang w:eastAsia="es-ES_tradnl"/>
        </w:rPr>
        <w:t>direcció</w:t>
      </w:r>
      <w:r>
        <w:rPr>
          <w:rFonts w:ascii="Rotis Sans Serif Std" w:hAnsi="Rotis Sans Serif Std"/>
          <w:color w:val="5E6061"/>
          <w:lang w:eastAsia="es-ES_tradnl"/>
        </w:rPr>
        <w:t xml:space="preserve"> per poder exercir-ho.</w:t>
      </w:r>
    </w:p>
    <w:p w:rsidR="00940F6E" w:rsidRDefault="00940F6E" w:rsidP="00940F6E">
      <w:pPr>
        <w:jc w:val="both"/>
        <w:rPr>
          <w:rFonts w:ascii="Rotis Sans Serif Std" w:hAnsi="Rotis Sans Serif Std"/>
          <w:color w:val="5E6061"/>
          <w:lang w:eastAsia="es-ES_tradnl"/>
        </w:rPr>
      </w:pPr>
    </w:p>
    <w:p w:rsidR="00940F6E" w:rsidRDefault="00940F6E" w:rsidP="00940F6E">
      <w:pPr>
        <w:jc w:val="both"/>
        <w:rPr>
          <w:rFonts w:ascii="Rotis Sans Serif Std" w:hAnsi="Rotis Sans Serif Std"/>
          <w:color w:val="5E6061"/>
          <w:lang w:eastAsia="es-ES_tradnl"/>
        </w:rPr>
      </w:pPr>
      <w:r>
        <w:rPr>
          <w:rFonts w:ascii="Rotis Sans Serif Std" w:hAnsi="Rotis Sans Serif Std"/>
          <w:color w:val="5E6061"/>
          <w:lang w:eastAsia="es-ES_tradnl"/>
        </w:rPr>
        <w:t>L'Estatut dels Treballadors diferencia dos tipus de treballadors per compte d'altri, en funció de jornada, a temps complet i a temps parcial. És requisit essencial del contracte de treball l'obligació de prestar serveis durant un nombre d'hores determinat. El propi Estatut dels Treballadors estableix que en el cas que el contracte no assenyali expressament un nombre d'hores a la setmana, mes o any, s'entendrà celebrat a temps complet. En conseqüència, és un element essencial del contracte de treball l'obligació de treballar un nombre d'hores cert en un període determinat.</w:t>
      </w:r>
    </w:p>
    <w:p w:rsidR="00733001" w:rsidRDefault="00733001" w:rsidP="00940F6E">
      <w:pPr>
        <w:jc w:val="both"/>
        <w:rPr>
          <w:rFonts w:ascii="Rotis Sans Serif Std" w:hAnsi="Rotis Sans Serif Std"/>
          <w:color w:val="5E6061"/>
          <w:lang w:eastAsia="es-ES_tradnl"/>
        </w:rPr>
      </w:pPr>
    </w:p>
    <w:p w:rsidR="00940F6E" w:rsidRDefault="00940F6E" w:rsidP="00940F6E">
      <w:pPr>
        <w:jc w:val="both"/>
        <w:rPr>
          <w:rFonts w:ascii="Rotis Sans Serif Std" w:hAnsi="Rotis Sans Serif Std"/>
          <w:color w:val="5E6061"/>
          <w:lang w:eastAsia="es-ES_tradnl"/>
        </w:rPr>
      </w:pPr>
      <w:r>
        <w:rPr>
          <w:rFonts w:ascii="Rotis Sans Serif Std" w:hAnsi="Rotis Sans Serif Std"/>
          <w:color w:val="5E6061"/>
          <w:lang w:eastAsia="es-ES_tradnl"/>
        </w:rPr>
        <w:t>No obstant això, abundants plataformes plantegen una total llibertat del prestador per executar la seva prestació els dies i hores que decideixi unilateralment, sense exigència d'obligació de prestació mínima, i, a més amb llibertat per activar-se o desactivar-se de la plataforma. En aquests casos, no haurien de tenir la consideració de treballadors per compte d'altri.</w:t>
      </w:r>
    </w:p>
    <w:p w:rsidR="00940F6E" w:rsidRDefault="00940F6E" w:rsidP="00940F6E">
      <w:pPr>
        <w:jc w:val="both"/>
        <w:rPr>
          <w:rFonts w:ascii="Rotis Sans Serif Std" w:hAnsi="Rotis Sans Serif Std"/>
          <w:color w:val="5E6061"/>
          <w:lang w:eastAsia="es-ES_tradnl"/>
        </w:rPr>
      </w:pPr>
    </w:p>
    <w:p w:rsidR="00940F6E" w:rsidRDefault="00940F6E" w:rsidP="00940F6E">
      <w:pPr>
        <w:jc w:val="both"/>
        <w:rPr>
          <w:rFonts w:ascii="Rotis Sans Serif Std" w:hAnsi="Rotis Sans Serif Std"/>
          <w:color w:val="5E6061"/>
          <w:lang w:eastAsia="es-ES_tradnl"/>
        </w:rPr>
      </w:pPr>
      <w:r>
        <w:rPr>
          <w:rFonts w:ascii="Rotis Sans Serif Std" w:hAnsi="Rotis Sans Serif Std"/>
          <w:color w:val="5E6061"/>
          <w:lang w:eastAsia="es-ES_tradnl"/>
        </w:rPr>
        <w:t>La llibertat total de triar el nombre de dies i hores de treball i, encara més, d'activar-se o desactivar-se de la plataforma, exclou el requisit de la dependència, inherent al treball per compte d'altri.</w:t>
      </w:r>
    </w:p>
    <w:p w:rsidR="00940F6E" w:rsidRDefault="00940F6E" w:rsidP="00940F6E">
      <w:pPr>
        <w:jc w:val="both"/>
        <w:rPr>
          <w:rFonts w:ascii="Rotis Sans Serif Std" w:hAnsi="Rotis Sans Serif Std"/>
          <w:color w:val="5E6061"/>
          <w:lang w:eastAsia="es-ES_tradnl"/>
        </w:rPr>
      </w:pPr>
    </w:p>
    <w:p w:rsidR="00940F6E" w:rsidRDefault="00940F6E" w:rsidP="00940F6E">
      <w:pPr>
        <w:jc w:val="both"/>
        <w:rPr>
          <w:rFonts w:ascii="Rotis Sans Serif Std" w:hAnsi="Rotis Sans Serif Std"/>
          <w:color w:val="5E6061"/>
          <w:lang w:eastAsia="es-ES_tradnl"/>
        </w:rPr>
      </w:pPr>
      <w:r>
        <w:rPr>
          <w:rFonts w:ascii="Rotis Sans Serif Std" w:hAnsi="Rotis Sans Serif Std"/>
          <w:color w:val="5E6061"/>
          <w:lang w:eastAsia="es-ES_tradnl"/>
        </w:rPr>
        <w:t xml:space="preserve">Malgrat això, ha d'insistir-se en les fronteres cada vegada més difuses i qüestionades en aquest tipus de plantejaments taxatius perquè les noves tecnologies i els processos de descentralització productiva flexibilitzen i matisen aquests indicis i factors com la llibertat en la determinació del temps de treball, la utilització de materials propis o la capacitat per fixar preus són clars exemples del desgast i </w:t>
      </w:r>
      <w:proofErr w:type="spellStart"/>
      <w:r>
        <w:rPr>
          <w:rFonts w:ascii="Rotis Sans Serif Std" w:hAnsi="Rotis Sans Serif Std"/>
          <w:color w:val="5E6061"/>
          <w:lang w:eastAsia="es-ES_tradnl"/>
        </w:rPr>
        <w:t>qüestionament</w:t>
      </w:r>
      <w:proofErr w:type="spellEnd"/>
      <w:r>
        <w:rPr>
          <w:rFonts w:ascii="Rotis Sans Serif Std" w:hAnsi="Rotis Sans Serif Std"/>
          <w:color w:val="5E6061"/>
          <w:lang w:eastAsia="es-ES_tradnl"/>
        </w:rPr>
        <w:t xml:space="preserve"> dels indicis clàssics.</w:t>
      </w:r>
    </w:p>
    <w:p w:rsidR="00940F6E" w:rsidRDefault="00940F6E" w:rsidP="00940F6E">
      <w:pPr>
        <w:jc w:val="both"/>
        <w:rPr>
          <w:rFonts w:ascii="Rotis Sans Serif Std" w:hAnsi="Rotis Sans Serif Std"/>
          <w:color w:val="5E6061"/>
          <w:lang w:eastAsia="es-ES_tradnl"/>
        </w:rPr>
      </w:pPr>
    </w:p>
    <w:p w:rsidR="00940F6E" w:rsidRDefault="00940F6E" w:rsidP="00940F6E">
      <w:pPr>
        <w:jc w:val="both"/>
        <w:rPr>
          <w:rFonts w:ascii="Rotis Sans Serif Std" w:hAnsi="Rotis Sans Serif Std"/>
          <w:color w:val="5E6061"/>
          <w:lang w:eastAsia="es-ES_tradnl"/>
        </w:rPr>
      </w:pPr>
      <w:r>
        <w:rPr>
          <w:rFonts w:ascii="Rotis Sans Serif Std" w:hAnsi="Rotis Sans Serif Std"/>
          <w:color w:val="5E6061"/>
          <w:lang w:eastAsia="es-ES_tradnl"/>
        </w:rPr>
        <w:t xml:space="preserve">Cal tenir en compte que les tecnologies impliquen que sigui innecessari obligar als professionals al </w:t>
      </w:r>
      <w:proofErr w:type="spellStart"/>
      <w:r>
        <w:rPr>
          <w:rFonts w:ascii="Rotis Sans Serif Std" w:hAnsi="Rotis Sans Serif Std"/>
          <w:color w:val="5E6061"/>
          <w:lang w:eastAsia="es-ES_tradnl"/>
        </w:rPr>
        <w:t>presencialisme</w:t>
      </w:r>
      <w:proofErr w:type="spellEnd"/>
      <w:r>
        <w:rPr>
          <w:rFonts w:ascii="Rotis Sans Serif Std" w:hAnsi="Rotis Sans Serif Std"/>
          <w:color w:val="5E6061"/>
          <w:lang w:eastAsia="es-ES_tradnl"/>
        </w:rPr>
        <w:t xml:space="preserve"> en un horari determinat, sinó que, algunes d'aquestes plataformes, per exemple, a través de les seves aplicacions remeten una proposta d'execució de prestació d'un servei i els professionals inclosos en la plataforma decideixen si els interessa o no. Ja no és necessari, en aquests casos, que les plataformes fixin horaris, sinó que el volum de professionals participants garantirà sempre la disponibilitat d'algú per prestar el servei, i l'algorisme dictarà atorgar més o menys treballs futurs en funció, com s'ha dit anteriorment, de les disponibilitats i avaluacions històriques.</w:t>
      </w:r>
    </w:p>
    <w:p w:rsidR="00940F6E" w:rsidRDefault="00940F6E" w:rsidP="00940F6E">
      <w:pPr>
        <w:jc w:val="both"/>
        <w:rPr>
          <w:rFonts w:ascii="Rotis Sans Serif Std" w:hAnsi="Rotis Sans Serif Std"/>
          <w:color w:val="5E6061"/>
          <w:lang w:eastAsia="es-ES_tradnl"/>
        </w:rPr>
      </w:pPr>
    </w:p>
    <w:p w:rsidR="00940F6E" w:rsidRPr="00940F6E" w:rsidRDefault="00154079" w:rsidP="00940F6E">
      <w:pPr>
        <w:jc w:val="both"/>
        <w:rPr>
          <w:rFonts w:ascii="Rotis Sans Serif Std" w:hAnsi="Rotis Sans Serif Std"/>
          <w:b/>
          <w:color w:val="C1002B"/>
        </w:rPr>
      </w:pPr>
      <w:r>
        <w:rPr>
          <w:rFonts w:ascii="Rotis Sans Serif Std" w:hAnsi="Rotis Sans Serif Std"/>
          <w:b/>
          <w:color w:val="C1002B"/>
        </w:rPr>
        <w:t xml:space="preserve">Opcions </w:t>
      </w:r>
      <w:proofErr w:type="spellStart"/>
      <w:r>
        <w:rPr>
          <w:rFonts w:ascii="Rotis Sans Serif Std" w:hAnsi="Rotis Sans Serif Std"/>
          <w:b/>
          <w:color w:val="C1002B"/>
        </w:rPr>
        <w:t>regulatòries</w:t>
      </w:r>
      <w:proofErr w:type="spellEnd"/>
      <w:r>
        <w:rPr>
          <w:rFonts w:ascii="Rotis Sans Serif Std" w:hAnsi="Rotis Sans Serif Std"/>
          <w:b/>
          <w:color w:val="C1002B"/>
        </w:rPr>
        <w:t xml:space="preserve"> en el marc de l’economia </w:t>
      </w:r>
      <w:proofErr w:type="spellStart"/>
      <w:r>
        <w:rPr>
          <w:rFonts w:ascii="Rotis Sans Serif Std" w:hAnsi="Rotis Sans Serif Std"/>
          <w:b/>
          <w:color w:val="C1002B"/>
        </w:rPr>
        <w:t>col·laborativa</w:t>
      </w:r>
      <w:proofErr w:type="spellEnd"/>
    </w:p>
    <w:p w:rsidR="00940F6E" w:rsidRDefault="00940F6E" w:rsidP="00940F6E">
      <w:pPr>
        <w:jc w:val="both"/>
        <w:rPr>
          <w:rFonts w:ascii="Rotis Sans Serif Std" w:hAnsi="Rotis Sans Serif Std"/>
          <w:color w:val="5E6061"/>
          <w:lang w:eastAsia="es-ES_tradnl"/>
        </w:rPr>
      </w:pPr>
    </w:p>
    <w:p w:rsidR="00154079" w:rsidRDefault="00154079" w:rsidP="00940F6E">
      <w:pPr>
        <w:jc w:val="both"/>
        <w:rPr>
          <w:rFonts w:ascii="Rotis Sans Serif Std" w:hAnsi="Rotis Sans Serif Std"/>
          <w:color w:val="5E6061"/>
          <w:lang w:eastAsia="es-ES_tradnl"/>
        </w:rPr>
      </w:pPr>
      <w:r>
        <w:rPr>
          <w:rFonts w:ascii="Rotis Sans Serif Std" w:hAnsi="Rotis Sans Serif Std"/>
          <w:color w:val="5E6061"/>
          <w:lang w:eastAsia="es-ES_tradnl"/>
        </w:rPr>
        <w:t xml:space="preserve">Les opcions </w:t>
      </w:r>
      <w:proofErr w:type="spellStart"/>
      <w:r>
        <w:rPr>
          <w:rFonts w:ascii="Rotis Sans Serif Std" w:hAnsi="Rotis Sans Serif Std"/>
          <w:color w:val="5E6061"/>
          <w:lang w:eastAsia="es-ES_tradnl"/>
        </w:rPr>
        <w:t>regulatòries</w:t>
      </w:r>
      <w:proofErr w:type="spellEnd"/>
      <w:r>
        <w:rPr>
          <w:rFonts w:ascii="Rotis Sans Serif Std" w:hAnsi="Rotis Sans Serif Std"/>
          <w:color w:val="5E6061"/>
          <w:lang w:eastAsia="es-ES_tradnl"/>
        </w:rPr>
        <w:t xml:space="preserve"> per adaptar aquestes noves formes de prestació de serveis en el marc de la nova economia des de la perspectiva laboral poden anar des de l’assimilació al treball per compte aliena, a la creació d’una relació laboral de caràcter especial, a la consideració com a treball per compte pròpia, o com a TRADE, fins a l’autoregulació.</w:t>
      </w:r>
    </w:p>
    <w:p w:rsidR="00154079" w:rsidRDefault="00154079" w:rsidP="00940F6E">
      <w:pPr>
        <w:jc w:val="both"/>
        <w:rPr>
          <w:rFonts w:ascii="Rotis Sans Serif Std" w:hAnsi="Rotis Sans Serif Std"/>
          <w:color w:val="5E6061"/>
          <w:lang w:eastAsia="es-ES_tradnl"/>
        </w:rPr>
      </w:pPr>
    </w:p>
    <w:p w:rsidR="00940F6E" w:rsidRDefault="00154079" w:rsidP="00940F6E">
      <w:pPr>
        <w:jc w:val="both"/>
        <w:rPr>
          <w:rFonts w:ascii="Rotis Sans Serif Std" w:hAnsi="Rotis Sans Serif Std"/>
          <w:color w:val="5E6061"/>
          <w:lang w:eastAsia="es-ES_tradnl"/>
        </w:rPr>
      </w:pPr>
      <w:r>
        <w:rPr>
          <w:rFonts w:ascii="Rotis Sans Serif Std" w:hAnsi="Rotis Sans Serif Std"/>
          <w:color w:val="5E6061"/>
          <w:lang w:eastAsia="es-ES_tradnl"/>
        </w:rPr>
        <w:t>L’adopció</w:t>
      </w:r>
      <w:r w:rsidR="00940F6E">
        <w:rPr>
          <w:rFonts w:ascii="Rotis Sans Serif Std" w:hAnsi="Rotis Sans Serif Std"/>
          <w:color w:val="5E6061"/>
          <w:lang w:eastAsia="es-ES_tradnl"/>
        </w:rPr>
        <w:t xml:space="preserve"> </w:t>
      </w:r>
      <w:r>
        <w:rPr>
          <w:rFonts w:ascii="Rotis Sans Serif Std" w:hAnsi="Rotis Sans Serif Std"/>
          <w:color w:val="5E6061"/>
          <w:lang w:eastAsia="es-ES_tradnl"/>
        </w:rPr>
        <w:t>de l’</w:t>
      </w:r>
      <w:r w:rsidR="00940F6E">
        <w:rPr>
          <w:rFonts w:ascii="Rotis Sans Serif Std" w:hAnsi="Rotis Sans Serif Std"/>
          <w:color w:val="5E6061"/>
          <w:lang w:eastAsia="es-ES_tradnl"/>
        </w:rPr>
        <w:t xml:space="preserve">opció </w:t>
      </w:r>
      <w:r>
        <w:rPr>
          <w:rFonts w:ascii="Rotis Sans Serif Std" w:hAnsi="Rotis Sans Serif Std"/>
          <w:color w:val="5E6061"/>
          <w:lang w:eastAsia="es-ES_tradnl"/>
        </w:rPr>
        <w:t xml:space="preserve">de l’assimilació al treball per compte d’altri </w:t>
      </w:r>
      <w:r w:rsidR="00940F6E">
        <w:rPr>
          <w:rFonts w:ascii="Rotis Sans Serif Std" w:hAnsi="Rotis Sans Serif Std"/>
          <w:color w:val="5E6061"/>
          <w:lang w:eastAsia="es-ES_tradnl"/>
        </w:rPr>
        <w:t>suscita problemàtiques derivades de les peculiaritats d'aquestes noves formes de treball que plantegen un difícil encaix en la tradicional conceptualització del contracte laboral. Sembla complexa l'aplicació íntegra de la normativa laboral a situacions en les quals la independència tècnica, la llibertat horària, la llibertat en l'elecció del lloc de treball o fins i tot en la forma d'execució del mateix, són factors consubstancials al desenvolupament de l'activitat i a l'interès dels propis prestadors de serveis, els quals podrien perdre aquestes condicions d'especial flexibilitat davant l'aplicació de les prescripcions clàssiques del Dret del Treball.</w:t>
      </w:r>
    </w:p>
    <w:p w:rsidR="00940F6E" w:rsidRDefault="00940F6E" w:rsidP="00940F6E">
      <w:pPr>
        <w:jc w:val="both"/>
        <w:rPr>
          <w:rFonts w:ascii="Rotis Sans Serif Std" w:hAnsi="Rotis Sans Serif Std"/>
          <w:color w:val="5E6061"/>
          <w:lang w:eastAsia="es-ES_tradnl"/>
        </w:rPr>
      </w:pPr>
    </w:p>
    <w:p w:rsidR="00940F6E" w:rsidRDefault="00940F6E" w:rsidP="00940F6E">
      <w:pPr>
        <w:jc w:val="both"/>
        <w:rPr>
          <w:rFonts w:ascii="Rotis Sans Serif Std" w:hAnsi="Rotis Sans Serif Std"/>
          <w:color w:val="5E6061"/>
          <w:lang w:eastAsia="es-ES_tradnl"/>
        </w:rPr>
      </w:pPr>
      <w:r>
        <w:rPr>
          <w:rFonts w:ascii="Rotis Sans Serif Std" w:hAnsi="Rotis Sans Serif Std"/>
          <w:color w:val="5E6061"/>
          <w:lang w:eastAsia="es-ES_tradnl"/>
        </w:rPr>
        <w:t>Les rígides normes sobre jornada, horaris, descansos, vacances, salaris mínims, contractació indefinida, representació dels treballadors o negociació col·lectiva, en els termes regulats actualment, es compadeixen malament i són de difícil aplicació als nous patrons de negoci.</w:t>
      </w:r>
    </w:p>
    <w:p w:rsidR="00940F6E" w:rsidRDefault="00940F6E" w:rsidP="00940F6E">
      <w:pPr>
        <w:jc w:val="both"/>
        <w:rPr>
          <w:rFonts w:ascii="Rotis Sans Serif Std" w:hAnsi="Rotis Sans Serif Std"/>
          <w:color w:val="5E6061"/>
          <w:lang w:eastAsia="es-ES_tradnl"/>
        </w:rPr>
      </w:pPr>
    </w:p>
    <w:p w:rsidR="00940F6E" w:rsidRDefault="00154079" w:rsidP="00940F6E">
      <w:pPr>
        <w:jc w:val="both"/>
        <w:rPr>
          <w:rFonts w:ascii="Rotis Sans Serif Std" w:hAnsi="Rotis Sans Serif Std"/>
          <w:color w:val="5E6061"/>
          <w:lang w:eastAsia="es-ES_tradnl"/>
        </w:rPr>
      </w:pPr>
      <w:r>
        <w:rPr>
          <w:rFonts w:ascii="Rotis Sans Serif Std" w:hAnsi="Rotis Sans Serif Std"/>
          <w:color w:val="5E6061"/>
          <w:lang w:eastAsia="es-ES_tradnl"/>
        </w:rPr>
        <w:t>H</w:t>
      </w:r>
      <w:r w:rsidR="00940F6E">
        <w:rPr>
          <w:rFonts w:ascii="Rotis Sans Serif Std" w:hAnsi="Rotis Sans Serif Std"/>
          <w:color w:val="5E6061"/>
          <w:lang w:eastAsia="es-ES_tradnl"/>
        </w:rPr>
        <w:t xml:space="preserve">auria d'aprofitar-se aquesta oportunitat per replantejar-se el nostre vigent model laboral per flexibilitzar-ho, eliminant barreres administratives, </w:t>
      </w:r>
      <w:proofErr w:type="spellStart"/>
      <w:r w:rsidR="00940F6E">
        <w:rPr>
          <w:rFonts w:ascii="Rotis Sans Serif Std" w:hAnsi="Rotis Sans Serif Std"/>
          <w:color w:val="5E6061"/>
          <w:lang w:eastAsia="es-ES_tradnl"/>
        </w:rPr>
        <w:t>sobrecostos</w:t>
      </w:r>
      <w:proofErr w:type="spellEnd"/>
      <w:r w:rsidR="00940F6E">
        <w:rPr>
          <w:rFonts w:ascii="Rotis Sans Serif Std" w:hAnsi="Rotis Sans Serif Std"/>
          <w:color w:val="5E6061"/>
          <w:lang w:eastAsia="es-ES_tradnl"/>
        </w:rPr>
        <w:t xml:space="preserve"> laborals injustificats, normes rígides i obsoletes i determinades tuteles desfasades.</w:t>
      </w:r>
    </w:p>
    <w:p w:rsidR="00940F6E" w:rsidRDefault="00940F6E" w:rsidP="00940F6E">
      <w:pPr>
        <w:jc w:val="both"/>
        <w:rPr>
          <w:rFonts w:ascii="Rotis Sans Serif Std" w:hAnsi="Rotis Sans Serif Std"/>
          <w:color w:val="5E6061"/>
          <w:lang w:eastAsia="es-ES_tradnl"/>
        </w:rPr>
      </w:pPr>
    </w:p>
    <w:p w:rsidR="00940F6E" w:rsidRDefault="00940F6E" w:rsidP="00940F6E">
      <w:pPr>
        <w:jc w:val="both"/>
        <w:rPr>
          <w:rFonts w:ascii="Rotis Sans Serif Std" w:hAnsi="Rotis Sans Serif Std"/>
          <w:color w:val="5E6061"/>
          <w:lang w:eastAsia="es-ES_tradnl"/>
        </w:rPr>
      </w:pPr>
      <w:r>
        <w:rPr>
          <w:rFonts w:ascii="Rotis Sans Serif Std" w:hAnsi="Rotis Sans Serif Std"/>
          <w:color w:val="5E6061"/>
          <w:lang w:eastAsia="es-ES_tradnl"/>
        </w:rPr>
        <w:t xml:space="preserve">El repte és conjugar amb encert l'impuls del dinamisme econòmic de l'economia </w:t>
      </w:r>
      <w:proofErr w:type="spellStart"/>
      <w:r>
        <w:rPr>
          <w:rFonts w:ascii="Rotis Sans Serif Std" w:hAnsi="Rotis Sans Serif Std"/>
          <w:color w:val="5E6061"/>
          <w:lang w:eastAsia="es-ES_tradnl"/>
        </w:rPr>
        <w:t>col·laborativa</w:t>
      </w:r>
      <w:proofErr w:type="spellEnd"/>
      <w:r>
        <w:rPr>
          <w:rFonts w:ascii="Rotis Sans Serif Std" w:hAnsi="Rotis Sans Serif Std"/>
          <w:color w:val="5E6061"/>
          <w:lang w:eastAsia="es-ES_tradnl"/>
        </w:rPr>
        <w:t xml:space="preserve">, suprimint restriccions innecessàries d'accés al mercat i potenciant l'avanç tecnològic i els models innovadors de negoci, però evitant al mateix temps, que es derivin situacions de dúmping social i competència deslleial. Sembla bàsica la clarificació de les qüestions exposades per dotar de certesa i seguretat jurídica a totes les </w:t>
      </w:r>
      <w:r w:rsidR="00154079">
        <w:rPr>
          <w:rFonts w:ascii="Rotis Sans Serif Std" w:hAnsi="Rotis Sans Serif Std"/>
          <w:color w:val="5E6061"/>
          <w:lang w:eastAsia="es-ES_tradnl"/>
        </w:rPr>
        <w:t>parts</w:t>
      </w:r>
      <w:r>
        <w:rPr>
          <w:rFonts w:ascii="Rotis Sans Serif Std" w:hAnsi="Rotis Sans Serif Std"/>
          <w:color w:val="5E6061"/>
          <w:lang w:eastAsia="es-ES_tradnl"/>
        </w:rPr>
        <w:t xml:space="preserve"> intervinents en l'economia </w:t>
      </w:r>
      <w:proofErr w:type="spellStart"/>
      <w:r>
        <w:rPr>
          <w:rFonts w:ascii="Rotis Sans Serif Std" w:hAnsi="Rotis Sans Serif Std"/>
          <w:color w:val="5E6061"/>
          <w:lang w:eastAsia="es-ES_tradnl"/>
        </w:rPr>
        <w:t>col·laborativa</w:t>
      </w:r>
      <w:proofErr w:type="spellEnd"/>
      <w:r>
        <w:rPr>
          <w:rFonts w:ascii="Rotis Sans Serif Std" w:hAnsi="Rotis Sans Serif Std"/>
          <w:color w:val="5E6061"/>
          <w:lang w:eastAsia="es-ES_tradnl"/>
        </w:rPr>
        <w:t xml:space="preserve"> i aprofitar l'oportunitat per replantejar determinats aspectes del Dret del Treball que emmalalteixen d'una manifesta rigidesa i obsolescència i requereixen d'una urgent modernització i adaptació a les noves realitats productives i econòmiques.</w:t>
      </w:r>
    </w:p>
    <w:p w:rsidR="00940F6E" w:rsidRDefault="00940F6E" w:rsidP="00940F6E">
      <w:pPr>
        <w:rPr>
          <w:rFonts w:ascii="Calibri" w:hAnsi="Calibri"/>
        </w:rPr>
      </w:pPr>
    </w:p>
    <w:p w:rsidR="00CC2AC5" w:rsidRDefault="00CC2AC5">
      <w:pPr>
        <w:rPr>
          <w:rFonts w:ascii="Rotis Sans Serif Std ExtraBold" w:hAnsi="Rotis Sans Serif Std ExtraBold" w:cs="RotisSansSerifStd-Regular"/>
          <w:color w:val="C1002B"/>
          <w:sz w:val="32"/>
          <w:szCs w:val="40"/>
          <w:u w:val="single"/>
          <w:lang w:eastAsia="es-ES_tradnl"/>
        </w:rPr>
      </w:pPr>
      <w:r>
        <w:rPr>
          <w:rFonts w:ascii="Rotis Sans Serif Std ExtraBold" w:hAnsi="Rotis Sans Serif Std ExtraBold"/>
          <w:b/>
          <w:color w:val="C1002B"/>
          <w:sz w:val="32"/>
          <w:szCs w:val="40"/>
          <w:u w:val="single"/>
        </w:rPr>
        <w:br w:type="page"/>
      </w:r>
    </w:p>
    <w:p w:rsidR="00B43746" w:rsidRPr="003171F9" w:rsidRDefault="00B43746" w:rsidP="008D74D7">
      <w:pPr>
        <w:pStyle w:val="TEXTBOLD"/>
        <w:spacing w:line="276" w:lineRule="auto"/>
        <w:jc w:val="center"/>
        <w:rPr>
          <w:b w:val="0"/>
          <w:sz w:val="24"/>
          <w:szCs w:val="24"/>
          <w:lang w:val="ca-ES"/>
        </w:rPr>
      </w:pPr>
      <w:r w:rsidRPr="003171F9">
        <w:rPr>
          <w:rFonts w:ascii="Rotis Sans Serif Std ExtraBold" w:hAnsi="Rotis Sans Serif Std ExtraBold"/>
          <w:b w:val="0"/>
          <w:color w:val="C1002B"/>
          <w:sz w:val="32"/>
          <w:szCs w:val="40"/>
          <w:u w:val="single"/>
          <w:lang w:val="ca-ES"/>
        </w:rPr>
        <w:t>NOTA METODOLÒGICA</w:t>
      </w:r>
      <w:bookmarkEnd w:id="19"/>
    </w:p>
    <w:p w:rsidR="00B43746" w:rsidRPr="003171F9" w:rsidRDefault="00B43746" w:rsidP="008D74D7">
      <w:pPr>
        <w:pStyle w:val="TEXTBOLD"/>
        <w:spacing w:line="276" w:lineRule="auto"/>
        <w:rPr>
          <w:b w:val="0"/>
          <w:lang w:val="ca-ES"/>
        </w:rPr>
      </w:pPr>
    </w:p>
    <w:p w:rsidR="00B43746" w:rsidRPr="003171F9" w:rsidRDefault="00B43746" w:rsidP="008D74D7">
      <w:pPr>
        <w:pStyle w:val="TEXTBOLD"/>
        <w:spacing w:line="276" w:lineRule="auto"/>
        <w:rPr>
          <w:b w:val="0"/>
          <w:sz w:val="24"/>
          <w:szCs w:val="24"/>
          <w:lang w:val="ca-ES"/>
        </w:rPr>
      </w:pPr>
      <w:r w:rsidRPr="003171F9">
        <w:rPr>
          <w:b w:val="0"/>
          <w:sz w:val="24"/>
          <w:szCs w:val="24"/>
          <w:lang w:val="ca-ES"/>
        </w:rPr>
        <w:t>L'objectiu de la present Nota Metodològica és explicar de quina forma s’obtenen els indicadors  que es mostren a cada apartat i com han de ser interpretats, segons la font utilitzada.</w:t>
      </w:r>
    </w:p>
    <w:p w:rsidR="00B43746" w:rsidRPr="003171F9" w:rsidRDefault="00B43746" w:rsidP="008D74D7">
      <w:pPr>
        <w:pStyle w:val="TEXTBOLD"/>
        <w:spacing w:line="276" w:lineRule="auto"/>
        <w:rPr>
          <w:b w:val="0"/>
          <w:sz w:val="24"/>
          <w:szCs w:val="24"/>
          <w:lang w:val="ca-ES"/>
        </w:rPr>
      </w:pPr>
    </w:p>
    <w:p w:rsidR="00B43746" w:rsidRPr="003171F9" w:rsidRDefault="00B43746" w:rsidP="008D74D7">
      <w:pPr>
        <w:pStyle w:val="TEXTBOLD"/>
        <w:spacing w:line="276" w:lineRule="auto"/>
        <w:rPr>
          <w:b w:val="0"/>
          <w:sz w:val="24"/>
          <w:szCs w:val="24"/>
          <w:lang w:val="ca-ES"/>
        </w:rPr>
      </w:pPr>
      <w:r w:rsidRPr="003171F9">
        <w:rPr>
          <w:b w:val="0"/>
          <w:sz w:val="24"/>
          <w:szCs w:val="24"/>
          <w:lang w:val="ca-ES"/>
        </w:rPr>
        <w:t>Per aquest informe del mes de maig, les dades que s’han treballat són les següents:</w:t>
      </w:r>
    </w:p>
    <w:p w:rsidR="00B43746" w:rsidRPr="003171F9" w:rsidRDefault="00B43746" w:rsidP="008D74D7">
      <w:pPr>
        <w:pStyle w:val="TEXTBOLD"/>
        <w:spacing w:line="276" w:lineRule="auto"/>
        <w:rPr>
          <w:b w:val="0"/>
          <w:sz w:val="24"/>
          <w:szCs w:val="24"/>
          <w:lang w:val="ca-ES"/>
        </w:rPr>
      </w:pPr>
    </w:p>
    <w:p w:rsidR="008457D7" w:rsidRDefault="00B43746" w:rsidP="002678DA">
      <w:pPr>
        <w:pStyle w:val="TEXTBOLD"/>
        <w:numPr>
          <w:ilvl w:val="0"/>
          <w:numId w:val="2"/>
        </w:numPr>
        <w:spacing w:after="240" w:line="276" w:lineRule="auto"/>
        <w:rPr>
          <w:b w:val="0"/>
          <w:sz w:val="24"/>
          <w:szCs w:val="24"/>
          <w:lang w:val="ca-ES"/>
        </w:rPr>
      </w:pPr>
      <w:r w:rsidRPr="008457D7">
        <w:rPr>
          <w:sz w:val="24"/>
          <w:szCs w:val="24"/>
          <w:lang w:val="ca-ES"/>
        </w:rPr>
        <w:t>Ocupació (Atur, Afiliació i EPA):</w:t>
      </w:r>
      <w:r w:rsidRPr="008457D7">
        <w:rPr>
          <w:b w:val="0"/>
          <w:sz w:val="24"/>
          <w:szCs w:val="24"/>
          <w:lang w:val="ca-ES"/>
        </w:rPr>
        <w:t xml:space="preserve"> Les dades generals d’ocupació es fan publiques el segon dia hàbil de cada mes, pel</w:t>
      </w:r>
      <w:r w:rsidR="003577BF" w:rsidRPr="003577BF">
        <w:rPr>
          <w:b w:val="0"/>
          <w:color w:val="404040"/>
          <w:sz w:val="18"/>
          <w:lang w:val="ca-ES"/>
        </w:rPr>
        <w:t xml:space="preserve"> </w:t>
      </w:r>
      <w:proofErr w:type="spellStart"/>
      <w:r w:rsidR="003577BF" w:rsidRPr="003577BF">
        <w:rPr>
          <w:b w:val="0"/>
          <w:sz w:val="24"/>
          <w:szCs w:val="24"/>
          <w:lang w:val="ca-ES"/>
        </w:rPr>
        <w:t>Ministerio</w:t>
      </w:r>
      <w:proofErr w:type="spellEnd"/>
      <w:r w:rsidR="003577BF" w:rsidRPr="003577BF">
        <w:rPr>
          <w:b w:val="0"/>
          <w:sz w:val="24"/>
          <w:szCs w:val="24"/>
          <w:lang w:val="ca-ES"/>
        </w:rPr>
        <w:t xml:space="preserve"> de Trabajo, </w:t>
      </w:r>
      <w:proofErr w:type="spellStart"/>
      <w:r w:rsidR="003577BF" w:rsidRPr="003577BF">
        <w:rPr>
          <w:b w:val="0"/>
          <w:sz w:val="24"/>
          <w:szCs w:val="24"/>
          <w:lang w:val="ca-ES"/>
        </w:rPr>
        <w:t>Migraciones</w:t>
      </w:r>
      <w:proofErr w:type="spellEnd"/>
      <w:r w:rsidR="003577BF" w:rsidRPr="003577BF">
        <w:rPr>
          <w:b w:val="0"/>
          <w:sz w:val="24"/>
          <w:szCs w:val="24"/>
          <w:lang w:val="ca-ES"/>
        </w:rPr>
        <w:t xml:space="preserve"> y Seguridad Social</w:t>
      </w:r>
      <w:r w:rsidR="008457D7">
        <w:rPr>
          <w:b w:val="0"/>
          <w:sz w:val="24"/>
          <w:szCs w:val="24"/>
          <w:lang w:val="ca-ES"/>
        </w:rPr>
        <w:t xml:space="preserve">. </w:t>
      </w:r>
    </w:p>
    <w:p w:rsidR="00B43746" w:rsidRPr="008457D7" w:rsidRDefault="00B43746" w:rsidP="008457D7">
      <w:pPr>
        <w:pStyle w:val="TEXTBOLD"/>
        <w:spacing w:after="240" w:line="276" w:lineRule="auto"/>
        <w:ind w:left="720"/>
        <w:rPr>
          <w:b w:val="0"/>
          <w:sz w:val="24"/>
          <w:szCs w:val="24"/>
          <w:lang w:val="ca-ES"/>
        </w:rPr>
      </w:pPr>
      <w:r w:rsidRPr="008457D7">
        <w:rPr>
          <w:b w:val="0"/>
          <w:sz w:val="24"/>
          <w:szCs w:val="24"/>
          <w:lang w:val="ca-ES"/>
        </w:rPr>
        <w:t xml:space="preserve">Per altra banda, les dades de l’Enquesta de Població Activa, s’obtenen de l’Observatori </w:t>
      </w:r>
      <w:r w:rsidR="00C977D6">
        <w:rPr>
          <w:b w:val="0"/>
          <w:sz w:val="24"/>
          <w:szCs w:val="24"/>
          <w:lang w:val="ca-ES"/>
        </w:rPr>
        <w:t xml:space="preserve">del Treball i Model </w:t>
      </w:r>
      <w:r w:rsidR="00C257C9">
        <w:rPr>
          <w:b w:val="0"/>
          <w:sz w:val="24"/>
          <w:szCs w:val="24"/>
          <w:lang w:val="ca-ES"/>
        </w:rPr>
        <w:t>Productiu</w:t>
      </w:r>
      <w:r w:rsidRPr="008457D7">
        <w:rPr>
          <w:b w:val="0"/>
          <w:sz w:val="24"/>
          <w:szCs w:val="24"/>
          <w:lang w:val="ca-ES"/>
        </w:rPr>
        <w:t>, a partir de les dades de l’Institut Nacional d’Estadística, i segons el calendari de publicacions de l’INE.</w:t>
      </w:r>
    </w:p>
    <w:p w:rsidR="00B43746" w:rsidRPr="003171F9" w:rsidRDefault="00B43746" w:rsidP="002678DA">
      <w:pPr>
        <w:pStyle w:val="TEXTBOLD"/>
        <w:numPr>
          <w:ilvl w:val="0"/>
          <w:numId w:val="2"/>
        </w:numPr>
        <w:spacing w:after="240" w:line="276" w:lineRule="auto"/>
        <w:rPr>
          <w:b w:val="0"/>
          <w:sz w:val="24"/>
          <w:szCs w:val="24"/>
          <w:lang w:val="ca-ES"/>
        </w:rPr>
      </w:pPr>
      <w:r w:rsidRPr="003171F9">
        <w:rPr>
          <w:sz w:val="24"/>
          <w:szCs w:val="24"/>
          <w:lang w:val="ca-ES"/>
        </w:rPr>
        <w:t xml:space="preserve">Contractació: </w:t>
      </w:r>
      <w:r w:rsidRPr="003171F9">
        <w:rPr>
          <w:b w:val="0"/>
          <w:sz w:val="24"/>
          <w:szCs w:val="24"/>
          <w:lang w:val="ca-ES"/>
        </w:rPr>
        <w:t>Les dades detallades de Catalunya i províncies sobre contractació laboral que s’obtenen de</w:t>
      </w:r>
      <w:r w:rsidR="00C257C9">
        <w:rPr>
          <w:b w:val="0"/>
          <w:sz w:val="24"/>
          <w:szCs w:val="24"/>
          <w:lang w:val="ca-ES"/>
        </w:rPr>
        <w:t>l</w:t>
      </w:r>
      <w:r w:rsidR="003577BF" w:rsidRPr="003577BF">
        <w:rPr>
          <w:b w:val="0"/>
          <w:sz w:val="24"/>
          <w:szCs w:val="24"/>
          <w:lang w:val="ca-ES"/>
        </w:rPr>
        <w:t xml:space="preserve"> </w:t>
      </w:r>
      <w:proofErr w:type="spellStart"/>
      <w:r w:rsidR="003577BF" w:rsidRPr="003577BF">
        <w:rPr>
          <w:b w:val="0"/>
          <w:sz w:val="24"/>
          <w:szCs w:val="24"/>
          <w:lang w:val="ca-ES"/>
        </w:rPr>
        <w:t>Ministerio</w:t>
      </w:r>
      <w:proofErr w:type="spellEnd"/>
      <w:r w:rsidR="003577BF" w:rsidRPr="003577BF">
        <w:rPr>
          <w:b w:val="0"/>
          <w:sz w:val="24"/>
          <w:szCs w:val="24"/>
          <w:lang w:val="ca-ES"/>
        </w:rPr>
        <w:t xml:space="preserve"> de Trabajo, </w:t>
      </w:r>
      <w:proofErr w:type="spellStart"/>
      <w:r w:rsidR="003577BF" w:rsidRPr="003577BF">
        <w:rPr>
          <w:b w:val="0"/>
          <w:sz w:val="24"/>
          <w:szCs w:val="24"/>
          <w:lang w:val="ca-ES"/>
        </w:rPr>
        <w:t>Migraciones</w:t>
      </w:r>
      <w:proofErr w:type="spellEnd"/>
      <w:r w:rsidR="003577BF" w:rsidRPr="003577BF">
        <w:rPr>
          <w:b w:val="0"/>
          <w:sz w:val="24"/>
          <w:szCs w:val="24"/>
          <w:lang w:val="ca-ES"/>
        </w:rPr>
        <w:t xml:space="preserve"> y Seguridad Social</w:t>
      </w:r>
      <w:r w:rsidRPr="003171F9">
        <w:rPr>
          <w:b w:val="0"/>
          <w:sz w:val="24"/>
          <w:szCs w:val="24"/>
          <w:lang w:val="ca-ES"/>
        </w:rPr>
        <w:t xml:space="preserve">, es fan públiques durant la primera setmana del mes. </w:t>
      </w:r>
    </w:p>
    <w:p w:rsidR="00C257C9" w:rsidRDefault="00B43746" w:rsidP="002678DA">
      <w:pPr>
        <w:pStyle w:val="TEXTBOLD"/>
        <w:numPr>
          <w:ilvl w:val="0"/>
          <w:numId w:val="2"/>
        </w:numPr>
        <w:spacing w:after="240" w:line="276" w:lineRule="auto"/>
        <w:rPr>
          <w:b w:val="0"/>
          <w:sz w:val="24"/>
          <w:szCs w:val="24"/>
          <w:lang w:val="ca-ES"/>
        </w:rPr>
      </w:pPr>
      <w:r w:rsidRPr="00C257C9">
        <w:rPr>
          <w:sz w:val="24"/>
          <w:szCs w:val="24"/>
          <w:lang w:val="ca-ES"/>
        </w:rPr>
        <w:t xml:space="preserve">Negociació Col·lectiva: </w:t>
      </w:r>
      <w:r w:rsidRPr="00C257C9">
        <w:rPr>
          <w:b w:val="0"/>
          <w:sz w:val="24"/>
          <w:szCs w:val="24"/>
          <w:lang w:val="ca-ES"/>
        </w:rPr>
        <w:t>Les dades sobre la Negociació Col·lectiva a Catalunya, s’obtenen del</w:t>
      </w:r>
      <w:r w:rsidR="003577BF" w:rsidRPr="003577BF">
        <w:rPr>
          <w:b w:val="0"/>
          <w:sz w:val="24"/>
          <w:szCs w:val="24"/>
          <w:lang w:val="ca-ES"/>
        </w:rPr>
        <w:t xml:space="preserve"> </w:t>
      </w:r>
      <w:proofErr w:type="spellStart"/>
      <w:r w:rsidR="003577BF" w:rsidRPr="003577BF">
        <w:rPr>
          <w:b w:val="0"/>
          <w:sz w:val="24"/>
          <w:szCs w:val="24"/>
          <w:lang w:val="ca-ES"/>
        </w:rPr>
        <w:t>Ministerio</w:t>
      </w:r>
      <w:proofErr w:type="spellEnd"/>
      <w:r w:rsidR="003577BF" w:rsidRPr="003577BF">
        <w:rPr>
          <w:b w:val="0"/>
          <w:sz w:val="24"/>
          <w:szCs w:val="24"/>
          <w:lang w:val="ca-ES"/>
        </w:rPr>
        <w:t xml:space="preserve"> de Trabajo, </w:t>
      </w:r>
      <w:proofErr w:type="spellStart"/>
      <w:r w:rsidR="003577BF" w:rsidRPr="003577BF">
        <w:rPr>
          <w:b w:val="0"/>
          <w:sz w:val="24"/>
          <w:szCs w:val="24"/>
          <w:lang w:val="ca-ES"/>
        </w:rPr>
        <w:t>Migraciones</w:t>
      </w:r>
      <w:proofErr w:type="spellEnd"/>
      <w:r w:rsidR="003577BF" w:rsidRPr="003577BF">
        <w:rPr>
          <w:b w:val="0"/>
          <w:sz w:val="24"/>
          <w:szCs w:val="24"/>
          <w:lang w:val="ca-ES"/>
        </w:rPr>
        <w:t xml:space="preserve"> y Seguridad Social</w:t>
      </w:r>
      <w:r w:rsidRPr="00C257C9">
        <w:rPr>
          <w:b w:val="0"/>
          <w:sz w:val="24"/>
          <w:szCs w:val="24"/>
          <w:lang w:val="ca-ES"/>
        </w:rPr>
        <w:t xml:space="preserve">. </w:t>
      </w:r>
    </w:p>
    <w:p w:rsidR="00B43746" w:rsidRPr="00C257C9" w:rsidRDefault="00B43746" w:rsidP="002678DA">
      <w:pPr>
        <w:pStyle w:val="TEXTBOLD"/>
        <w:numPr>
          <w:ilvl w:val="0"/>
          <w:numId w:val="2"/>
        </w:numPr>
        <w:spacing w:after="240" w:line="276" w:lineRule="auto"/>
        <w:rPr>
          <w:b w:val="0"/>
          <w:sz w:val="24"/>
          <w:szCs w:val="24"/>
          <w:lang w:val="ca-ES"/>
        </w:rPr>
      </w:pPr>
      <w:r w:rsidRPr="00C257C9">
        <w:rPr>
          <w:sz w:val="24"/>
          <w:szCs w:val="24"/>
          <w:lang w:val="ca-ES"/>
        </w:rPr>
        <w:t>Expedients de Regulació d’Ocupació:</w:t>
      </w:r>
      <w:r w:rsidRPr="00C257C9">
        <w:rPr>
          <w:b w:val="0"/>
          <w:sz w:val="24"/>
          <w:szCs w:val="24"/>
          <w:lang w:val="ca-ES"/>
        </w:rPr>
        <w:t xml:space="preserve"> Les dades sobre Expedients de Regulació d’Ocupació, s’obtenen de l’Observatori</w:t>
      </w:r>
      <w:r w:rsidR="00C257C9" w:rsidRPr="00C257C9">
        <w:rPr>
          <w:b w:val="0"/>
          <w:sz w:val="24"/>
          <w:szCs w:val="24"/>
          <w:lang w:val="ca-ES"/>
        </w:rPr>
        <w:t xml:space="preserve"> </w:t>
      </w:r>
      <w:r w:rsidR="00C257C9">
        <w:rPr>
          <w:b w:val="0"/>
          <w:sz w:val="24"/>
          <w:szCs w:val="24"/>
          <w:lang w:val="ca-ES"/>
        </w:rPr>
        <w:t>del Treball i Model Productiu</w:t>
      </w:r>
      <w:r w:rsidRPr="00C257C9">
        <w:rPr>
          <w:b w:val="0"/>
          <w:sz w:val="24"/>
          <w:szCs w:val="24"/>
          <w:lang w:val="ca-ES"/>
        </w:rPr>
        <w:t xml:space="preserve">, que es publiquen entre el dia 15 i 20 de cada mes. </w:t>
      </w:r>
    </w:p>
    <w:p w:rsidR="00B43746" w:rsidRPr="003171F9" w:rsidRDefault="00B43746" w:rsidP="002678DA">
      <w:pPr>
        <w:pStyle w:val="TEXTBOLD"/>
        <w:numPr>
          <w:ilvl w:val="0"/>
          <w:numId w:val="2"/>
        </w:numPr>
        <w:spacing w:after="240" w:line="276" w:lineRule="auto"/>
        <w:rPr>
          <w:b w:val="0"/>
          <w:sz w:val="24"/>
          <w:szCs w:val="24"/>
          <w:lang w:val="ca-ES"/>
        </w:rPr>
      </w:pPr>
      <w:r w:rsidRPr="003171F9">
        <w:rPr>
          <w:sz w:val="24"/>
          <w:szCs w:val="24"/>
          <w:lang w:val="ca-ES"/>
        </w:rPr>
        <w:t>Solució Extrajudicial de Conflictes:</w:t>
      </w:r>
      <w:r w:rsidRPr="003171F9">
        <w:rPr>
          <w:b w:val="0"/>
          <w:sz w:val="24"/>
          <w:szCs w:val="24"/>
          <w:lang w:val="ca-ES"/>
        </w:rPr>
        <w:t xml:space="preserve"> Les dades sobre Solució Extrajudicial de Conflictes, s’obtenen de dues fonts diferents; les corresponents al Servei de Mediació, Arbitratge i Conciliació (SMAC), s’obtenen de </w:t>
      </w:r>
      <w:r w:rsidR="00C257C9" w:rsidRPr="008457D7">
        <w:rPr>
          <w:b w:val="0"/>
          <w:sz w:val="24"/>
          <w:szCs w:val="24"/>
          <w:lang w:val="ca-ES"/>
        </w:rPr>
        <w:t xml:space="preserve">l’Observatori </w:t>
      </w:r>
      <w:r w:rsidR="00C257C9">
        <w:rPr>
          <w:b w:val="0"/>
          <w:sz w:val="24"/>
          <w:szCs w:val="24"/>
          <w:lang w:val="ca-ES"/>
        </w:rPr>
        <w:t>del Treball i Model Productiu</w:t>
      </w:r>
      <w:r w:rsidR="00C257C9" w:rsidRPr="003171F9">
        <w:rPr>
          <w:b w:val="0"/>
          <w:sz w:val="24"/>
          <w:szCs w:val="24"/>
          <w:lang w:val="ca-ES"/>
        </w:rPr>
        <w:t xml:space="preserve"> </w:t>
      </w:r>
      <w:r w:rsidRPr="003171F9">
        <w:rPr>
          <w:b w:val="0"/>
          <w:sz w:val="24"/>
          <w:szCs w:val="24"/>
          <w:lang w:val="ca-ES"/>
        </w:rPr>
        <w:t>i les relatives als  procediments  del Tribunal Laboral de Catalunya, s’obtenen del mateix organisme.  En quant a les primeres, es publiquen cada mes. En quant a les dades del TLC, ens les fan arribar des del propi organisme entre el dia 1 i 2 de cada mes.</w:t>
      </w:r>
    </w:p>
    <w:p w:rsidR="00B43746" w:rsidRPr="003171F9" w:rsidRDefault="00B43746" w:rsidP="002678DA">
      <w:pPr>
        <w:pStyle w:val="TEXTBOLD"/>
        <w:numPr>
          <w:ilvl w:val="0"/>
          <w:numId w:val="2"/>
        </w:numPr>
        <w:spacing w:after="240" w:line="276" w:lineRule="auto"/>
        <w:rPr>
          <w:rFonts w:cs="Arial"/>
          <w:b w:val="0"/>
          <w:sz w:val="24"/>
          <w:lang w:val="ca-ES"/>
        </w:rPr>
      </w:pPr>
      <w:r w:rsidRPr="003171F9">
        <w:rPr>
          <w:sz w:val="24"/>
          <w:szCs w:val="24"/>
          <w:lang w:val="ca-ES"/>
        </w:rPr>
        <w:t xml:space="preserve">Conflictivitat laboral: </w:t>
      </w:r>
      <w:r w:rsidRPr="003171F9">
        <w:rPr>
          <w:rFonts w:cs="Arial"/>
          <w:b w:val="0"/>
          <w:sz w:val="24"/>
          <w:lang w:val="ca-ES"/>
        </w:rPr>
        <w:t>Les dades sobre Conflictivitat Laboral, s’obtenen</w:t>
      </w:r>
      <w:r w:rsidR="00C257C9">
        <w:rPr>
          <w:rFonts w:cs="Arial"/>
          <w:b w:val="0"/>
          <w:sz w:val="24"/>
          <w:lang w:val="ca-ES"/>
        </w:rPr>
        <w:t xml:space="preserve"> de </w:t>
      </w:r>
      <w:r w:rsidR="00C257C9" w:rsidRPr="008457D7">
        <w:rPr>
          <w:b w:val="0"/>
          <w:sz w:val="24"/>
          <w:szCs w:val="24"/>
          <w:lang w:val="ca-ES"/>
        </w:rPr>
        <w:t xml:space="preserve">l’Observatori </w:t>
      </w:r>
      <w:r w:rsidR="00C257C9">
        <w:rPr>
          <w:b w:val="0"/>
          <w:sz w:val="24"/>
          <w:szCs w:val="24"/>
          <w:lang w:val="ca-ES"/>
        </w:rPr>
        <w:t>del Treball i Model Productiu</w:t>
      </w:r>
      <w:r w:rsidR="007C1D89">
        <w:rPr>
          <w:rFonts w:cs="Arial"/>
          <w:b w:val="0"/>
          <w:sz w:val="24"/>
          <w:lang w:val="ca-ES"/>
        </w:rPr>
        <w:t>, així com del</w:t>
      </w:r>
      <w:r w:rsidR="003577BF" w:rsidRPr="003577BF">
        <w:rPr>
          <w:b w:val="0"/>
          <w:sz w:val="24"/>
          <w:szCs w:val="24"/>
          <w:lang w:val="ca-ES"/>
        </w:rPr>
        <w:t xml:space="preserve"> </w:t>
      </w:r>
      <w:proofErr w:type="spellStart"/>
      <w:r w:rsidR="003577BF" w:rsidRPr="003577BF">
        <w:rPr>
          <w:b w:val="0"/>
          <w:sz w:val="24"/>
          <w:szCs w:val="24"/>
          <w:lang w:val="ca-ES"/>
        </w:rPr>
        <w:t>Ministerio</w:t>
      </w:r>
      <w:proofErr w:type="spellEnd"/>
      <w:r w:rsidR="003577BF" w:rsidRPr="003577BF">
        <w:rPr>
          <w:b w:val="0"/>
          <w:sz w:val="24"/>
          <w:szCs w:val="24"/>
          <w:lang w:val="ca-ES"/>
        </w:rPr>
        <w:t xml:space="preserve"> de Trabajo, </w:t>
      </w:r>
      <w:proofErr w:type="spellStart"/>
      <w:r w:rsidR="003577BF" w:rsidRPr="003577BF">
        <w:rPr>
          <w:b w:val="0"/>
          <w:sz w:val="24"/>
          <w:szCs w:val="24"/>
          <w:lang w:val="ca-ES"/>
        </w:rPr>
        <w:t>Migraciones</w:t>
      </w:r>
      <w:proofErr w:type="spellEnd"/>
      <w:r w:rsidR="003577BF" w:rsidRPr="003577BF">
        <w:rPr>
          <w:b w:val="0"/>
          <w:sz w:val="24"/>
          <w:szCs w:val="24"/>
          <w:lang w:val="ca-ES"/>
        </w:rPr>
        <w:t xml:space="preserve"> y Seguridad Social</w:t>
      </w:r>
      <w:r w:rsidR="007C1D89">
        <w:rPr>
          <w:rFonts w:cs="Arial"/>
          <w:b w:val="0"/>
          <w:sz w:val="24"/>
          <w:lang w:val="ca-ES"/>
        </w:rPr>
        <w:t xml:space="preserve">. </w:t>
      </w:r>
    </w:p>
    <w:sectPr w:rsidR="00B43746" w:rsidRPr="003171F9" w:rsidSect="00A651F8">
      <w:headerReference w:type="default" r:id="rId69"/>
      <w:footerReference w:type="first" r:id="rId70"/>
      <w:pgSz w:w="11900" w:h="16840"/>
      <w:pgMar w:top="1985" w:right="985" w:bottom="851" w:left="1276" w:header="708" w:footer="708" w:gutter="0"/>
      <w:cols w:space="28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C96" w:rsidRDefault="00705C96">
      <w:r>
        <w:separator/>
      </w:r>
    </w:p>
  </w:endnote>
  <w:endnote w:type="continuationSeparator" w:id="0">
    <w:p w:rsidR="00705C96" w:rsidRDefault="0070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 Sans Serif Std">
    <w:panose1 w:val="020B0503030202020304"/>
    <w:charset w:val="00"/>
    <w:family w:val="swiss"/>
    <w:notTrueType/>
    <w:pitch w:val="variable"/>
    <w:sig w:usb0="00000003" w:usb1="00000001"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Rotis Sans Serif Std Bold">
    <w:altName w:val="Tw Cen MT Condensed Extra Bold"/>
    <w:charset w:val="00"/>
    <w:family w:val="auto"/>
    <w:pitch w:val="variable"/>
    <w:sig w:usb0="00000003" w:usb1="00000001" w:usb2="00000000" w:usb3="00000000" w:csb0="00000001" w:csb1="00000000"/>
  </w:font>
  <w:font w:name="Calibri">
    <w:panose1 w:val="020F0502020204030204"/>
    <w:charset w:val="00"/>
    <w:family w:val="swiss"/>
    <w:pitch w:val="variable"/>
    <w:sig w:usb0="E00002FF" w:usb1="4000ACFF" w:usb2="00000001" w:usb3="00000000" w:csb0="0000019F" w:csb1="00000000"/>
  </w:font>
  <w:font w:name="Rotis SemiSans Std">
    <w:altName w:val="Candara"/>
    <w:charset w:val="00"/>
    <w:family w:val="auto"/>
    <w:pitch w:val="variable"/>
    <w:sig w:usb0="00000003" w:usb1="00000001" w:usb2="00000000" w:usb3="00000000" w:csb0="00000001" w:csb1="00000000"/>
  </w:font>
  <w:font w:name="RotisSansSerifStd-Regular">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Rotis Sans Serif Std ExtraBold">
    <w:panose1 w:val="020B0903030202020304"/>
    <w:charset w:val="00"/>
    <w:family w:val="swiss"/>
    <w:notTrueType/>
    <w:pitch w:val="variable"/>
    <w:sig w:usb0="00000003" w:usb1="00000001"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Rotis SemiSerif Std">
    <w:altName w:val="Bell MT"/>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C4" w:rsidRDefault="00972EC4">
    <w:pPr>
      <w:pStyle w:val="Piedepgina"/>
    </w:pPr>
    <w:r>
      <w:rPr>
        <w:noProof/>
        <w:lang w:val="es-ES" w:eastAsia="es-ES"/>
      </w:rPr>
      <mc:AlternateContent>
        <mc:Choice Requires="wps">
          <w:drawing>
            <wp:anchor distT="0" distB="0" distL="114300" distR="114300" simplePos="0" relativeHeight="251660800" behindDoc="0" locked="0" layoutInCell="1" allowOverlap="1" wp14:anchorId="50E4C441" wp14:editId="7349E05B">
              <wp:simplePos x="0" y="0"/>
              <wp:positionH relativeFrom="column">
                <wp:posOffset>4838065</wp:posOffset>
              </wp:positionH>
              <wp:positionV relativeFrom="paragraph">
                <wp:posOffset>-295910</wp:posOffset>
              </wp:positionV>
              <wp:extent cx="1485900" cy="685800"/>
              <wp:effectExtent l="0" t="0" r="0" b="0"/>
              <wp:wrapThrough wrapText="bothSides">
                <wp:wrapPolygon edited="0">
                  <wp:start x="0" y="0"/>
                  <wp:lineTo x="0" y="21000"/>
                  <wp:lineTo x="21323" y="21000"/>
                  <wp:lineTo x="21323" y="0"/>
                  <wp:lineTo x="0" y="0"/>
                </wp:wrapPolygon>
              </wp:wrapThrough>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EC4" w:rsidRPr="003F3B71" w:rsidRDefault="00972EC4" w:rsidP="003F3B71">
                          <w:pPr>
                            <w:pStyle w:val="TEXT"/>
                            <w:jc w:val="left"/>
                            <w:rPr>
                              <w:rFonts w:ascii="Rotis Sans Serif Std" w:hAnsi="Rotis Sans Serif Std"/>
                              <w:color w:val="C00000"/>
                              <w:sz w:val="20"/>
                              <w:szCs w:val="20"/>
                              <w:lang w:val="ca-ES"/>
                            </w:rPr>
                          </w:pPr>
                          <w:r w:rsidRPr="005E070C">
                            <w:rPr>
                              <w:rFonts w:ascii="Rotis Sans Serif Std" w:hAnsi="Rotis Sans Serif Std"/>
                              <w:color w:val="C00000"/>
                              <w:sz w:val="20"/>
                              <w:szCs w:val="20"/>
                              <w:lang w:val="ca-ES"/>
                            </w:rPr>
                            <w:t>M</w:t>
                          </w:r>
                          <w:r>
                            <w:rPr>
                              <w:rFonts w:ascii="Rotis Sans Serif Std" w:hAnsi="Rotis Sans Serif Std"/>
                              <w:color w:val="C00000"/>
                              <w:sz w:val="20"/>
                              <w:szCs w:val="20"/>
                              <w:lang w:val="ca-ES"/>
                            </w:rPr>
                            <w:t>és</w:t>
                          </w:r>
                          <w:r w:rsidRPr="005E070C">
                            <w:rPr>
                              <w:rFonts w:ascii="Rotis Sans Serif Std" w:hAnsi="Rotis Sans Serif Std"/>
                              <w:color w:val="C00000"/>
                              <w:sz w:val="20"/>
                              <w:szCs w:val="20"/>
                              <w:lang w:val="ca-ES"/>
                            </w:rPr>
                            <w:t xml:space="preserve"> informació:</w:t>
                          </w:r>
                        </w:p>
                        <w:p w:rsidR="00972EC4" w:rsidRDefault="00972EC4" w:rsidP="003F3B71">
                          <w:pPr>
                            <w:pStyle w:val="TEXT"/>
                            <w:jc w:val="left"/>
                            <w:rPr>
                              <w:rFonts w:ascii="Rotis Sans Serif Std" w:hAnsi="Rotis Sans Serif Std"/>
                              <w:color w:val="auto"/>
                              <w:sz w:val="20"/>
                              <w:szCs w:val="20"/>
                              <w:lang w:val="ca-ES"/>
                            </w:rPr>
                          </w:pPr>
                          <w:proofErr w:type="spellStart"/>
                          <w:r>
                            <w:rPr>
                              <w:rFonts w:ascii="Rotis Sans Serif Std" w:hAnsi="Rotis Sans Serif Std"/>
                              <w:color w:val="auto"/>
                              <w:sz w:val="20"/>
                              <w:szCs w:val="20"/>
                              <w:lang w:val="ca-ES"/>
                            </w:rPr>
                            <w:t>Dp</w:t>
                          </w:r>
                          <w:proofErr w:type="spellEnd"/>
                          <w:r>
                            <w:rPr>
                              <w:rFonts w:ascii="Rotis Sans Serif Std" w:hAnsi="Rotis Sans Serif Std"/>
                              <w:color w:val="auto"/>
                              <w:sz w:val="20"/>
                              <w:szCs w:val="20"/>
                              <w:lang w:val="ca-ES"/>
                            </w:rPr>
                            <w:t xml:space="preserve">. de Relacions Laborals </w:t>
                          </w:r>
                        </w:p>
                        <w:p w:rsidR="00972EC4" w:rsidRPr="00640BAA" w:rsidRDefault="00972EC4" w:rsidP="003F3B71">
                          <w:pPr>
                            <w:pStyle w:val="TEXT"/>
                            <w:jc w:val="left"/>
                            <w:rPr>
                              <w:rFonts w:ascii="Rotis Sans Serif Std" w:hAnsi="Rotis Sans Serif Std"/>
                              <w:color w:val="auto"/>
                              <w:sz w:val="20"/>
                              <w:szCs w:val="20"/>
                              <w:lang w:val="ca-ES"/>
                            </w:rPr>
                          </w:pPr>
                          <w:r>
                            <w:rPr>
                              <w:rFonts w:ascii="Rotis Sans Serif Std" w:hAnsi="Rotis Sans Serif Std"/>
                              <w:color w:val="auto"/>
                              <w:sz w:val="20"/>
                              <w:szCs w:val="20"/>
                              <w:lang w:val="ca-ES"/>
                            </w:rPr>
                            <w:t xml:space="preserve">i Afers Socials </w:t>
                          </w:r>
                        </w:p>
                        <w:p w:rsidR="00972EC4" w:rsidRPr="00536F2B" w:rsidRDefault="00972EC4" w:rsidP="003F3B71">
                          <w:pPr>
                            <w:rPr>
                              <w:rFonts w:ascii="Rotis Sans Serif Std" w:hAnsi="Rotis Sans Serif Std"/>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380.95pt;margin-top:-23.3pt;width:117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ttsA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" filled="f" stroked="f">
              <v:textbox inset="0,0,0,0">
                <w:txbxContent>
                  <w:p w:rsidR="00972EC4" w:rsidRPr="003F3B71" w:rsidRDefault="00972EC4" w:rsidP="003F3B71">
                    <w:pPr>
                      <w:pStyle w:val="TEXT"/>
                      <w:jc w:val="left"/>
                      <w:rPr>
                        <w:rFonts w:ascii="Rotis Sans Serif Std" w:hAnsi="Rotis Sans Serif Std"/>
                        <w:color w:val="C00000"/>
                        <w:sz w:val="20"/>
                        <w:szCs w:val="20"/>
                        <w:lang w:val="ca-ES"/>
                      </w:rPr>
                    </w:pPr>
                    <w:r w:rsidRPr="005E070C">
                      <w:rPr>
                        <w:rFonts w:ascii="Rotis Sans Serif Std" w:hAnsi="Rotis Sans Serif Std"/>
                        <w:color w:val="C00000"/>
                        <w:sz w:val="20"/>
                        <w:szCs w:val="20"/>
                        <w:lang w:val="ca-ES"/>
                      </w:rPr>
                      <w:t>M</w:t>
                    </w:r>
                    <w:r>
                      <w:rPr>
                        <w:rFonts w:ascii="Rotis Sans Serif Std" w:hAnsi="Rotis Sans Serif Std"/>
                        <w:color w:val="C00000"/>
                        <w:sz w:val="20"/>
                        <w:szCs w:val="20"/>
                        <w:lang w:val="ca-ES"/>
                      </w:rPr>
                      <w:t>és</w:t>
                    </w:r>
                    <w:r w:rsidRPr="005E070C">
                      <w:rPr>
                        <w:rFonts w:ascii="Rotis Sans Serif Std" w:hAnsi="Rotis Sans Serif Std"/>
                        <w:color w:val="C00000"/>
                        <w:sz w:val="20"/>
                        <w:szCs w:val="20"/>
                        <w:lang w:val="ca-ES"/>
                      </w:rPr>
                      <w:t xml:space="preserve"> informació:</w:t>
                    </w:r>
                  </w:p>
                  <w:p w:rsidR="00972EC4" w:rsidRDefault="00972EC4" w:rsidP="003F3B71">
                    <w:pPr>
                      <w:pStyle w:val="TEXT"/>
                      <w:jc w:val="left"/>
                      <w:rPr>
                        <w:rFonts w:ascii="Rotis Sans Serif Std" w:hAnsi="Rotis Sans Serif Std"/>
                        <w:color w:val="auto"/>
                        <w:sz w:val="20"/>
                        <w:szCs w:val="20"/>
                        <w:lang w:val="ca-ES"/>
                      </w:rPr>
                    </w:pPr>
                    <w:proofErr w:type="spellStart"/>
                    <w:r>
                      <w:rPr>
                        <w:rFonts w:ascii="Rotis Sans Serif Std" w:hAnsi="Rotis Sans Serif Std"/>
                        <w:color w:val="auto"/>
                        <w:sz w:val="20"/>
                        <w:szCs w:val="20"/>
                        <w:lang w:val="ca-ES"/>
                      </w:rPr>
                      <w:t>Dp</w:t>
                    </w:r>
                    <w:proofErr w:type="spellEnd"/>
                    <w:r>
                      <w:rPr>
                        <w:rFonts w:ascii="Rotis Sans Serif Std" w:hAnsi="Rotis Sans Serif Std"/>
                        <w:color w:val="auto"/>
                        <w:sz w:val="20"/>
                        <w:szCs w:val="20"/>
                        <w:lang w:val="ca-ES"/>
                      </w:rPr>
                      <w:t xml:space="preserve">. de Relacions Laborals </w:t>
                    </w:r>
                  </w:p>
                  <w:p w:rsidR="00972EC4" w:rsidRPr="00640BAA" w:rsidRDefault="00972EC4" w:rsidP="003F3B71">
                    <w:pPr>
                      <w:pStyle w:val="TEXT"/>
                      <w:jc w:val="left"/>
                      <w:rPr>
                        <w:rFonts w:ascii="Rotis Sans Serif Std" w:hAnsi="Rotis Sans Serif Std"/>
                        <w:color w:val="auto"/>
                        <w:sz w:val="20"/>
                        <w:szCs w:val="20"/>
                        <w:lang w:val="ca-ES"/>
                      </w:rPr>
                    </w:pPr>
                    <w:r>
                      <w:rPr>
                        <w:rFonts w:ascii="Rotis Sans Serif Std" w:hAnsi="Rotis Sans Serif Std"/>
                        <w:color w:val="auto"/>
                        <w:sz w:val="20"/>
                        <w:szCs w:val="20"/>
                        <w:lang w:val="ca-ES"/>
                      </w:rPr>
                      <w:t xml:space="preserve">i Afers Socials </w:t>
                    </w:r>
                  </w:p>
                  <w:p w:rsidR="00972EC4" w:rsidRPr="00536F2B" w:rsidRDefault="00972EC4" w:rsidP="003F3B71">
                    <w:pPr>
                      <w:rPr>
                        <w:rFonts w:ascii="Rotis Sans Serif Std" w:hAnsi="Rotis Sans Serif Std"/>
                        <w:sz w:val="20"/>
                        <w:szCs w:val="20"/>
                      </w:rPr>
                    </w:pPr>
                  </w:p>
                </w:txbxContent>
              </v:textbox>
              <w10:wrap type="through"/>
            </v:shape>
          </w:pict>
        </mc:Fallback>
      </mc:AlternateContent>
    </w:r>
    <w:r>
      <w:rPr>
        <w:noProof/>
        <w:lang w:val="es-ES" w:eastAsia="es-ES"/>
      </w:rPr>
      <mc:AlternateContent>
        <mc:Choice Requires="wps">
          <w:drawing>
            <wp:anchor distT="0" distB="0" distL="114300" distR="114300" simplePos="0" relativeHeight="251659776" behindDoc="0" locked="0" layoutInCell="1" allowOverlap="1" wp14:anchorId="7430EEBA" wp14:editId="14435686">
              <wp:simplePos x="0" y="0"/>
              <wp:positionH relativeFrom="column">
                <wp:posOffset>-210185</wp:posOffset>
              </wp:positionH>
              <wp:positionV relativeFrom="paragraph">
                <wp:posOffset>-372110</wp:posOffset>
              </wp:positionV>
              <wp:extent cx="3035935" cy="685800"/>
              <wp:effectExtent l="0" t="0" r="12065" b="0"/>
              <wp:wrapThrough wrapText="bothSides">
                <wp:wrapPolygon edited="0">
                  <wp:start x="0" y="0"/>
                  <wp:lineTo x="0" y="21000"/>
                  <wp:lineTo x="21550" y="21000"/>
                  <wp:lineTo x="21550" y="0"/>
                  <wp:lineTo x="0" y="0"/>
                </wp:wrapPolygon>
              </wp:wrapThrough>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EC4" w:rsidRDefault="00972EC4" w:rsidP="003F3B71">
                          <w:pPr>
                            <w:rPr>
                              <w:rFonts w:ascii="Rotis Sans Serif Std" w:hAnsi="Rotis Sans Serif Std"/>
                              <w:sz w:val="20"/>
                              <w:szCs w:val="20"/>
                            </w:rPr>
                          </w:pPr>
                        </w:p>
                        <w:p w:rsidR="00972EC4" w:rsidRPr="001D339B" w:rsidRDefault="00972EC4" w:rsidP="003F3B71">
                          <w:pPr>
                            <w:rPr>
                              <w:rFonts w:ascii="Rotis Sans Serif Std" w:hAnsi="Rotis Sans Serif Std"/>
                              <w:sz w:val="20"/>
                              <w:szCs w:val="20"/>
                            </w:rPr>
                          </w:pPr>
                          <w:r w:rsidRPr="001D339B">
                            <w:rPr>
                              <w:rFonts w:ascii="Rotis Sans Serif Std" w:hAnsi="Rotis Sans Serif Std"/>
                              <w:sz w:val="20"/>
                              <w:szCs w:val="20"/>
                            </w:rPr>
                            <w:t>V</w:t>
                          </w:r>
                          <w:r>
                            <w:rPr>
                              <w:rFonts w:ascii="Rotis Sans Serif Std" w:hAnsi="Rotis Sans Serif Std"/>
                              <w:sz w:val="20"/>
                              <w:szCs w:val="20"/>
                            </w:rPr>
                            <w:t>i</w:t>
                          </w:r>
                          <w:r w:rsidRPr="001D339B">
                            <w:rPr>
                              <w:rFonts w:ascii="Rotis Sans Serif Std" w:hAnsi="Rotis Sans Serif Std"/>
                              <w:sz w:val="20"/>
                              <w:szCs w:val="20"/>
                            </w:rPr>
                            <w:t>a Laietana, 32 · 08003 Barcelona</w:t>
                          </w:r>
                        </w:p>
                        <w:p w:rsidR="00972EC4" w:rsidRPr="001D339B" w:rsidRDefault="00972EC4" w:rsidP="003F3B71">
                          <w:pPr>
                            <w:rPr>
                              <w:rFonts w:ascii="Rotis Sans Serif Std" w:hAnsi="Rotis Sans Serif Std"/>
                              <w:sz w:val="20"/>
                              <w:szCs w:val="20"/>
                            </w:rPr>
                          </w:pPr>
                          <w:r w:rsidRPr="001D339B">
                            <w:rPr>
                              <w:rFonts w:ascii="Rotis Sans Serif Std" w:hAnsi="Rotis Sans Serif Std"/>
                              <w:sz w:val="20"/>
                              <w:szCs w:val="20"/>
                            </w:rPr>
                            <w:t xml:space="preserve">T. 934 841 200 · F. 934 841 230  </w:t>
                          </w:r>
                        </w:p>
                        <w:p w:rsidR="00972EC4" w:rsidRPr="00640BAA" w:rsidRDefault="004213C1" w:rsidP="003F3B71">
                          <w:pPr>
                            <w:rPr>
                              <w:rFonts w:ascii="Rotis Sans Serif Std" w:hAnsi="Rotis Sans Serif Std"/>
                              <w:sz w:val="20"/>
                              <w:szCs w:val="20"/>
                            </w:rPr>
                          </w:pPr>
                          <w:hyperlink r:id="rId1" w:history="1">
                            <w:r w:rsidR="00972EC4" w:rsidRPr="00640BAA">
                              <w:rPr>
                                <w:rStyle w:val="Hipervnculo"/>
                                <w:rFonts w:ascii="Rotis Sans Serif Std" w:hAnsi="Rotis Sans Serif Std"/>
                                <w:color w:val="auto"/>
                                <w:sz w:val="20"/>
                                <w:szCs w:val="20"/>
                              </w:rPr>
                              <w:t>foment@foment.com</w:t>
                            </w:r>
                          </w:hyperlink>
                          <w:r w:rsidR="00972EC4" w:rsidRPr="00640BAA">
                            <w:rPr>
                              <w:rFonts w:ascii="Rotis Sans Serif Std" w:hAnsi="Rotis Sans Serif Std"/>
                              <w:sz w:val="20"/>
                              <w:szCs w:val="20"/>
                            </w:rPr>
                            <w:t xml:space="preserve"> · </w:t>
                          </w:r>
                          <w:hyperlink r:id="rId2" w:history="1">
                            <w:r w:rsidR="00972EC4" w:rsidRPr="00640BAA">
                              <w:rPr>
                                <w:rStyle w:val="Hipervnculo"/>
                                <w:rFonts w:ascii="Rotis Sans Serif Std" w:hAnsi="Rotis Sans Serif Std"/>
                                <w:color w:val="auto"/>
                                <w:sz w:val="20"/>
                                <w:szCs w:val="20"/>
                              </w:rPr>
                              <w:t>www.foment.com</w:t>
                            </w:r>
                          </w:hyperlink>
                          <w:r w:rsidR="00972EC4" w:rsidRPr="00640BAA">
                            <w:rPr>
                              <w:rFonts w:ascii="Rotis Sans Serif Std" w:hAnsi="Rotis Sans Serif Std"/>
                              <w:sz w:val="20"/>
                              <w:szCs w:val="20"/>
                            </w:rPr>
                            <w:t xml:space="preserve"> </w:t>
                          </w:r>
                        </w:p>
                        <w:p w:rsidR="00972EC4" w:rsidRPr="00AA32F6" w:rsidRDefault="00972EC4" w:rsidP="003F3B71">
                          <w:pPr>
                            <w:rPr>
                              <w:rFonts w:ascii="Rotis Sans Serif Std" w:hAnsi="Rotis Sans Serif Std"/>
                              <w:sz w:val="20"/>
                              <w:szCs w:val="20"/>
                            </w:rPr>
                          </w:pPr>
                        </w:p>
                        <w:p w:rsidR="00972EC4" w:rsidRPr="00AA32F6" w:rsidRDefault="00972EC4" w:rsidP="003F3B71">
                          <w:pPr>
                            <w:rPr>
                              <w:rFonts w:ascii="Rotis Sans Serif Std" w:hAnsi="Rotis Sans Serif Std"/>
                              <w:sz w:val="20"/>
                              <w:szCs w:val="20"/>
                            </w:rPr>
                          </w:pPr>
                        </w:p>
                        <w:p w:rsidR="00972EC4" w:rsidRPr="00AA32F6" w:rsidRDefault="00972EC4" w:rsidP="003F3B71">
                          <w:pPr>
                            <w:rPr>
                              <w:rFonts w:ascii="Rotis Sans Serif Std" w:hAnsi="Rotis Sans Serif Std"/>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6.55pt;margin-top:-29.3pt;width:239.0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" filled="f" stroked="f">
              <v:textbox inset="0,0,0,0">
                <w:txbxContent>
                  <w:p w:rsidR="00972EC4" w:rsidRDefault="00972EC4" w:rsidP="003F3B71">
                    <w:pPr>
                      <w:rPr>
                        <w:rFonts w:ascii="Rotis Sans Serif Std" w:hAnsi="Rotis Sans Serif Std"/>
                        <w:sz w:val="20"/>
                        <w:szCs w:val="20"/>
                      </w:rPr>
                    </w:pPr>
                  </w:p>
                  <w:p w:rsidR="00972EC4" w:rsidRPr="001D339B" w:rsidRDefault="00972EC4" w:rsidP="003F3B71">
                    <w:pPr>
                      <w:rPr>
                        <w:rFonts w:ascii="Rotis Sans Serif Std" w:hAnsi="Rotis Sans Serif Std"/>
                        <w:sz w:val="20"/>
                        <w:szCs w:val="20"/>
                      </w:rPr>
                    </w:pPr>
                    <w:r w:rsidRPr="001D339B">
                      <w:rPr>
                        <w:rFonts w:ascii="Rotis Sans Serif Std" w:hAnsi="Rotis Sans Serif Std"/>
                        <w:sz w:val="20"/>
                        <w:szCs w:val="20"/>
                      </w:rPr>
                      <w:t>V</w:t>
                    </w:r>
                    <w:r>
                      <w:rPr>
                        <w:rFonts w:ascii="Rotis Sans Serif Std" w:hAnsi="Rotis Sans Serif Std"/>
                        <w:sz w:val="20"/>
                        <w:szCs w:val="20"/>
                      </w:rPr>
                      <w:t>i</w:t>
                    </w:r>
                    <w:r w:rsidRPr="001D339B">
                      <w:rPr>
                        <w:rFonts w:ascii="Rotis Sans Serif Std" w:hAnsi="Rotis Sans Serif Std"/>
                        <w:sz w:val="20"/>
                        <w:szCs w:val="20"/>
                      </w:rPr>
                      <w:t>a Laietana, 32 · 08003 Barcelona</w:t>
                    </w:r>
                  </w:p>
                  <w:p w:rsidR="00972EC4" w:rsidRPr="001D339B" w:rsidRDefault="00972EC4" w:rsidP="003F3B71">
                    <w:pPr>
                      <w:rPr>
                        <w:rFonts w:ascii="Rotis Sans Serif Std" w:hAnsi="Rotis Sans Serif Std"/>
                        <w:sz w:val="20"/>
                        <w:szCs w:val="20"/>
                      </w:rPr>
                    </w:pPr>
                    <w:r w:rsidRPr="001D339B">
                      <w:rPr>
                        <w:rFonts w:ascii="Rotis Sans Serif Std" w:hAnsi="Rotis Sans Serif Std"/>
                        <w:sz w:val="20"/>
                        <w:szCs w:val="20"/>
                      </w:rPr>
                      <w:t xml:space="preserve">T. 934 841 200 · F. 934 841 230  </w:t>
                    </w:r>
                  </w:p>
                  <w:p w:rsidR="00972EC4" w:rsidRPr="00640BAA" w:rsidRDefault="00705C96" w:rsidP="003F3B71">
                    <w:pPr>
                      <w:rPr>
                        <w:rFonts w:ascii="Rotis Sans Serif Std" w:hAnsi="Rotis Sans Serif Std"/>
                        <w:sz w:val="20"/>
                        <w:szCs w:val="20"/>
                      </w:rPr>
                    </w:pPr>
                    <w:hyperlink r:id="rId3" w:history="1">
                      <w:r w:rsidR="00972EC4" w:rsidRPr="00640BAA">
                        <w:rPr>
                          <w:rStyle w:val="Hipervnculo"/>
                          <w:rFonts w:ascii="Rotis Sans Serif Std" w:hAnsi="Rotis Sans Serif Std"/>
                          <w:color w:val="auto"/>
                          <w:sz w:val="20"/>
                          <w:szCs w:val="20"/>
                        </w:rPr>
                        <w:t>foment@foment.com</w:t>
                      </w:r>
                    </w:hyperlink>
                    <w:r w:rsidR="00972EC4" w:rsidRPr="00640BAA">
                      <w:rPr>
                        <w:rFonts w:ascii="Rotis Sans Serif Std" w:hAnsi="Rotis Sans Serif Std"/>
                        <w:sz w:val="20"/>
                        <w:szCs w:val="20"/>
                      </w:rPr>
                      <w:t xml:space="preserve"> · </w:t>
                    </w:r>
                    <w:hyperlink r:id="rId4" w:history="1">
                      <w:r w:rsidR="00972EC4" w:rsidRPr="00640BAA">
                        <w:rPr>
                          <w:rStyle w:val="Hipervnculo"/>
                          <w:rFonts w:ascii="Rotis Sans Serif Std" w:hAnsi="Rotis Sans Serif Std"/>
                          <w:color w:val="auto"/>
                          <w:sz w:val="20"/>
                          <w:szCs w:val="20"/>
                        </w:rPr>
                        <w:t>www.foment.com</w:t>
                      </w:r>
                    </w:hyperlink>
                    <w:r w:rsidR="00972EC4" w:rsidRPr="00640BAA">
                      <w:rPr>
                        <w:rFonts w:ascii="Rotis Sans Serif Std" w:hAnsi="Rotis Sans Serif Std"/>
                        <w:sz w:val="20"/>
                        <w:szCs w:val="20"/>
                      </w:rPr>
                      <w:t xml:space="preserve"> </w:t>
                    </w:r>
                  </w:p>
                  <w:p w:rsidR="00972EC4" w:rsidRPr="00AA32F6" w:rsidRDefault="00972EC4" w:rsidP="003F3B71">
                    <w:pPr>
                      <w:rPr>
                        <w:rFonts w:ascii="Rotis Sans Serif Std" w:hAnsi="Rotis Sans Serif Std"/>
                        <w:sz w:val="20"/>
                        <w:szCs w:val="20"/>
                      </w:rPr>
                    </w:pPr>
                  </w:p>
                  <w:p w:rsidR="00972EC4" w:rsidRPr="00AA32F6" w:rsidRDefault="00972EC4" w:rsidP="003F3B71">
                    <w:pPr>
                      <w:rPr>
                        <w:rFonts w:ascii="Rotis Sans Serif Std" w:hAnsi="Rotis Sans Serif Std"/>
                        <w:sz w:val="20"/>
                        <w:szCs w:val="20"/>
                      </w:rPr>
                    </w:pPr>
                  </w:p>
                  <w:p w:rsidR="00972EC4" w:rsidRPr="00AA32F6" w:rsidRDefault="00972EC4" w:rsidP="003F3B71">
                    <w:pPr>
                      <w:rPr>
                        <w:rFonts w:ascii="Rotis Sans Serif Std" w:hAnsi="Rotis Sans Serif Std"/>
                        <w:sz w:val="20"/>
                        <w:szCs w:val="20"/>
                      </w:rPr>
                    </w:pP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C96" w:rsidRDefault="00705C96">
      <w:r>
        <w:separator/>
      </w:r>
    </w:p>
  </w:footnote>
  <w:footnote w:type="continuationSeparator" w:id="0">
    <w:p w:rsidR="00705C96" w:rsidRDefault="00705C96">
      <w:r>
        <w:continuationSeparator/>
      </w:r>
    </w:p>
  </w:footnote>
  <w:footnote w:id="1">
    <w:p w:rsidR="00972EC4" w:rsidRDefault="00972EC4" w:rsidP="00150F9C">
      <w:pPr>
        <w:pStyle w:val="Textonotapie"/>
        <w:jc w:val="both"/>
      </w:pPr>
      <w:r w:rsidRPr="00C10185">
        <w:rPr>
          <w:rStyle w:val="Refdenotaalpie"/>
          <w:rFonts w:ascii="Rotis Sans Serif Std" w:hAnsi="Rotis Sans Serif Std"/>
          <w:sz w:val="18"/>
          <w:szCs w:val="18"/>
        </w:rPr>
        <w:footnoteRef/>
      </w:r>
      <w:r w:rsidRPr="00C10185">
        <w:rPr>
          <w:rFonts w:ascii="Rotis Sans Serif Std" w:hAnsi="Rotis Sans Serif Std"/>
          <w:sz w:val="18"/>
          <w:szCs w:val="18"/>
        </w:rPr>
        <w:t xml:space="preserve"> </w:t>
      </w:r>
      <w:r>
        <w:rPr>
          <w:rFonts w:ascii="Rotis Sans Serif Std" w:hAnsi="Rotis Sans Serif Std"/>
          <w:sz w:val="18"/>
          <w:szCs w:val="18"/>
        </w:rPr>
        <w:t>Cost salarial per hora, per Comunitat Autònoma. INE</w:t>
      </w:r>
    </w:p>
  </w:footnote>
  <w:footnote w:id="2">
    <w:p w:rsidR="00972EC4" w:rsidRPr="00720D4F" w:rsidRDefault="00972EC4" w:rsidP="00473F1E">
      <w:pPr>
        <w:pStyle w:val="Textonotapie"/>
        <w:jc w:val="both"/>
        <w:rPr>
          <w:rFonts w:ascii="Rotis Sans Serif Std" w:hAnsi="Rotis Sans Serif Std" w:cs="RotisSansSerifStd-Regular"/>
          <w:color w:val="5E6061"/>
          <w:lang w:eastAsia="es-ES_tradnl"/>
        </w:rPr>
      </w:pPr>
      <w:r>
        <w:rPr>
          <w:rStyle w:val="Refdenotaalpie"/>
        </w:rPr>
        <w:footnoteRef/>
      </w:r>
      <w:r>
        <w:t xml:space="preserve"> </w:t>
      </w:r>
      <w:r w:rsidRPr="00720D4F">
        <w:rPr>
          <w:rFonts w:ascii="Rotis Sans Serif Std" w:hAnsi="Rotis Sans Serif Std" w:cs="RotisSansSerifStd-Regular"/>
          <w:color w:val="5E6061"/>
          <w:lang w:eastAsia="es-ES_tradnl"/>
        </w:rPr>
        <w:t xml:space="preserve">En l’estudi s’han analitzat Convenis anterior a l’entrada en vigor a la Reforma Laboral, moment a partir del qual s’estableix un període de preavís  de 5 dies. </w:t>
      </w:r>
    </w:p>
  </w:footnote>
  <w:footnote w:id="3">
    <w:p w:rsidR="00972EC4" w:rsidRPr="00201F4C" w:rsidRDefault="00972EC4" w:rsidP="00767D0B">
      <w:pPr>
        <w:pStyle w:val="Textonotapie"/>
      </w:pPr>
      <w:r w:rsidRPr="00201F4C">
        <w:rPr>
          <w:rStyle w:val="Refdenotaalpie"/>
          <w:rFonts w:ascii="Rotis Sans Serif Std" w:hAnsi="Rotis Sans Serif Std"/>
        </w:rPr>
        <w:footnoteRef/>
      </w:r>
      <w:r w:rsidRPr="00201F4C">
        <w:rPr>
          <w:rFonts w:ascii="Rotis Sans Serif Std" w:hAnsi="Rotis Sans Serif Std"/>
        </w:rPr>
        <w:t xml:space="preserve"> Persones desocupades que fa més d’un any que han deixat la darrera ocupació.</w:t>
      </w:r>
    </w:p>
  </w:footnote>
  <w:footnote w:id="4">
    <w:p w:rsidR="00972EC4" w:rsidRPr="000508F1" w:rsidRDefault="00972EC4" w:rsidP="00EF09E4">
      <w:pPr>
        <w:pStyle w:val="Textonotapie"/>
      </w:pPr>
      <w:r>
        <w:rPr>
          <w:rStyle w:val="Refdenotaalpie"/>
        </w:rPr>
        <w:footnoteRef/>
      </w:r>
      <w:r>
        <w:t xml:space="preserve"> </w:t>
      </w:r>
      <w:r w:rsidRPr="000508F1">
        <w:rPr>
          <w:rFonts w:ascii="Rotis Sans Serif Std" w:hAnsi="Rotis Sans Serif Std" w:cs="RotisSansSerifStd-Regular"/>
          <w:bCs/>
          <w:color w:val="5E6061"/>
          <w:sz w:val="18"/>
          <w:szCs w:val="18"/>
          <w:lang w:eastAsia="es-ES_tradnl"/>
        </w:rPr>
        <w:t>A nivell autonòmic no es disposen d’aquestes dades.</w:t>
      </w:r>
      <w:r>
        <w:t xml:space="preserve"> </w:t>
      </w:r>
    </w:p>
  </w:footnote>
  <w:footnote w:id="5">
    <w:p w:rsidR="00972EC4" w:rsidRDefault="00972EC4" w:rsidP="00767611">
      <w:pPr>
        <w:pStyle w:val="Textonotapie"/>
        <w:jc w:val="both"/>
      </w:pPr>
      <w:r>
        <w:rPr>
          <w:rStyle w:val="Refdenotaalpie"/>
        </w:rPr>
        <w:footnoteRef/>
      </w:r>
      <w:r>
        <w:t xml:space="preserve"> </w:t>
      </w:r>
      <w:r w:rsidRPr="0088421F">
        <w:rPr>
          <w:rFonts w:ascii="Rotis Sans Serif Std" w:hAnsi="Rotis Sans Serif Std" w:cs="RotisSansSerifStd-Regular"/>
          <w:bCs/>
          <w:color w:val="5E6061"/>
          <w:sz w:val="18"/>
          <w:szCs w:val="18"/>
          <w:lang w:eastAsia="es-ES_tradnl"/>
        </w:rPr>
        <w:t>En matèria d’inaplicació de convenis no es disposen de dades autonòmiques. En aquest informe es faciliten les dades generals a nive</w:t>
      </w:r>
      <w:r>
        <w:rPr>
          <w:rFonts w:ascii="Rotis Sans Serif Std" w:hAnsi="Rotis Sans Serif Std" w:cs="RotisSansSerifStd-Regular"/>
          <w:bCs/>
          <w:color w:val="5E6061"/>
          <w:sz w:val="18"/>
          <w:szCs w:val="18"/>
          <w:lang w:eastAsia="es-ES_tradnl"/>
        </w:rPr>
        <w:t>ll estatal, les quals fan referè</w:t>
      </w:r>
      <w:r w:rsidRPr="0088421F">
        <w:rPr>
          <w:rFonts w:ascii="Rotis Sans Serif Std" w:hAnsi="Rotis Sans Serif Std" w:cs="RotisSansSerifStd-Regular"/>
          <w:bCs/>
          <w:color w:val="5E6061"/>
          <w:sz w:val="18"/>
          <w:szCs w:val="18"/>
          <w:lang w:eastAsia="es-ES_tradnl"/>
        </w:rPr>
        <w:t>ncia als acord</w:t>
      </w:r>
      <w:r>
        <w:rPr>
          <w:rFonts w:ascii="Rotis Sans Serif Std" w:hAnsi="Rotis Sans Serif Std" w:cs="RotisSansSerifStd-Regular"/>
          <w:bCs/>
          <w:color w:val="5E6061"/>
          <w:sz w:val="18"/>
          <w:szCs w:val="18"/>
          <w:lang w:eastAsia="es-ES_tradnl"/>
        </w:rPr>
        <w:t>s</w:t>
      </w:r>
      <w:r w:rsidRPr="0088421F">
        <w:rPr>
          <w:rFonts w:ascii="Rotis Sans Serif Std" w:hAnsi="Rotis Sans Serif Std" w:cs="RotisSansSerifStd-Regular"/>
          <w:bCs/>
          <w:color w:val="5E6061"/>
          <w:sz w:val="18"/>
          <w:szCs w:val="18"/>
          <w:lang w:eastAsia="es-ES_tradnl"/>
        </w:rPr>
        <w:t xml:space="preserve"> d’inaplicació de convenis entre empreses i treballadors, així com, les que deriven de decisions arbitrals</w:t>
      </w:r>
    </w:p>
  </w:footnote>
  <w:footnote w:id="6">
    <w:p w:rsidR="00972EC4" w:rsidRDefault="00972EC4" w:rsidP="00767611">
      <w:pPr>
        <w:pStyle w:val="Textonotapie"/>
      </w:pPr>
      <w:r>
        <w:rPr>
          <w:rStyle w:val="Refdenotaalpie"/>
        </w:rPr>
        <w:footnoteRef/>
      </w:r>
      <w:r>
        <w:t xml:space="preserve"> </w:t>
      </w:r>
      <w:r w:rsidRPr="003D45D8">
        <w:rPr>
          <w:rFonts w:ascii="Rotis Sans Serif Std" w:hAnsi="Rotis Sans Serif Std"/>
        </w:rPr>
        <w:t>En relació als expedients presentats abans de l’entrada en vigor de la Reforma Laboral, únicament s’han tingut en compte els autoritzats per l’Administració Laboral.</w:t>
      </w:r>
    </w:p>
  </w:footnote>
  <w:footnote w:id="7">
    <w:p w:rsidR="00972EC4" w:rsidRDefault="00972EC4" w:rsidP="00767611">
      <w:pPr>
        <w:pStyle w:val="Textonotapie"/>
        <w:rPr>
          <w:rFonts w:ascii="Rotis Sans Serif Std" w:hAnsi="Rotis Sans Serif Std"/>
        </w:rPr>
      </w:pPr>
      <w:r>
        <w:rPr>
          <w:rStyle w:val="Refdenotaalpie"/>
        </w:rPr>
        <w:footnoteRef/>
      </w:r>
      <w:r>
        <w:t xml:space="preserve"> </w:t>
      </w:r>
      <w:r w:rsidRPr="00F02969">
        <w:rPr>
          <w:rFonts w:ascii="Rotis Sans Serif Std" w:hAnsi="Rotis Sans Serif Std"/>
        </w:rPr>
        <w:t>Els treballadors afectats de Terres de l’Ebre estan sumats a la demarcació de Tarragona. No es disposen de dades diferenciades entre amb</w:t>
      </w:r>
      <w:r>
        <w:rPr>
          <w:rFonts w:ascii="Rotis Sans Serif Std" w:hAnsi="Rotis Sans Serif Std"/>
        </w:rPr>
        <w:t>d</w:t>
      </w:r>
      <w:r w:rsidRPr="00F02969">
        <w:rPr>
          <w:rFonts w:ascii="Rotis Sans Serif Std" w:hAnsi="Rotis Sans Serif Std"/>
        </w:rPr>
        <w:t>ós  territoris.</w:t>
      </w:r>
    </w:p>
    <w:p w:rsidR="00972EC4" w:rsidRPr="003435AB" w:rsidRDefault="00972EC4" w:rsidP="00767611">
      <w:pPr>
        <w:pStyle w:val="Textonotapie"/>
        <w:rPr>
          <w:rFonts w:ascii="Rotis Sans Serif Std" w:hAnsi="Rotis Sans Serif Std"/>
        </w:rPr>
      </w:pPr>
    </w:p>
  </w:footnote>
  <w:footnote w:id="8">
    <w:p w:rsidR="00972EC4" w:rsidRPr="00773FAC" w:rsidRDefault="00972EC4" w:rsidP="00767611">
      <w:pPr>
        <w:pStyle w:val="Textonotapie"/>
        <w:rPr>
          <w:rFonts w:ascii="Rotis Sans Serif Std" w:hAnsi="Rotis Sans Serif Std"/>
        </w:rPr>
      </w:pPr>
      <w:r>
        <w:rPr>
          <w:rStyle w:val="Refdenotaalpie"/>
        </w:rPr>
        <w:footnoteRef/>
      </w:r>
      <w:r>
        <w:t xml:space="preserve"> </w:t>
      </w:r>
      <w:r w:rsidRPr="00DE4780">
        <w:rPr>
          <w:rFonts w:ascii="Rotis Sans Serif Std" w:hAnsi="Rotis Sans Serif Std"/>
        </w:rPr>
        <w:t>No</w:t>
      </w:r>
      <w:r w:rsidRPr="00773FAC">
        <w:rPr>
          <w:rFonts w:ascii="Rotis Sans Serif Std" w:hAnsi="Rotis Sans Serif Std"/>
        </w:rPr>
        <w:t xml:space="preserve"> es disposen de les dades de treballadors afectats</w:t>
      </w:r>
      <w:r>
        <w:t>.</w:t>
      </w:r>
    </w:p>
    <w:p w:rsidR="00972EC4" w:rsidRDefault="00972EC4" w:rsidP="00767611">
      <w:pPr>
        <w:pStyle w:val="Textonotapie"/>
      </w:pPr>
    </w:p>
    <w:p w:rsidR="00972EC4" w:rsidRPr="003435AB" w:rsidRDefault="00972EC4" w:rsidP="00767611">
      <w:pPr>
        <w:pStyle w:val="Textonotapie"/>
      </w:pPr>
    </w:p>
  </w:footnote>
  <w:footnote w:id="9">
    <w:p w:rsidR="00972EC4" w:rsidRPr="00C9238B" w:rsidRDefault="00972EC4" w:rsidP="004C1F59">
      <w:pPr>
        <w:pStyle w:val="Textonotapie"/>
      </w:pPr>
      <w:r>
        <w:rPr>
          <w:rStyle w:val="Refdenotaalpie"/>
        </w:rPr>
        <w:footnoteRef/>
      </w:r>
      <w:r>
        <w:t xml:space="preserve"> </w:t>
      </w:r>
      <w:r w:rsidRPr="007E61D8">
        <w:rPr>
          <w:rFonts w:ascii="Rotis Sans Serif Std" w:hAnsi="Rotis Sans Serif Std"/>
          <w:sz w:val="18"/>
          <w:szCs w:val="18"/>
        </w:rPr>
        <w:t xml:space="preserve">La suma de la totalitat </w:t>
      </w:r>
      <w:r>
        <w:rPr>
          <w:rFonts w:ascii="Rotis Sans Serif Std" w:hAnsi="Rotis Sans Serif Std"/>
          <w:sz w:val="18"/>
          <w:szCs w:val="18"/>
        </w:rPr>
        <w:t>de les vagues segons àmbit territorial és s</w:t>
      </w:r>
      <w:r w:rsidRPr="007E61D8">
        <w:rPr>
          <w:rFonts w:ascii="Rotis Sans Serif Std" w:hAnsi="Rotis Sans Serif Std"/>
          <w:sz w:val="18"/>
          <w:szCs w:val="18"/>
        </w:rPr>
        <w:t xml:space="preserve">uperior al nombre </w:t>
      </w:r>
      <w:r>
        <w:rPr>
          <w:rFonts w:ascii="Rotis Sans Serif Std" w:hAnsi="Rotis Sans Serif Std"/>
          <w:sz w:val="18"/>
          <w:szCs w:val="18"/>
        </w:rPr>
        <w:t xml:space="preserve">total de vagues </w:t>
      </w:r>
      <w:r w:rsidRPr="007E61D8">
        <w:rPr>
          <w:rFonts w:ascii="Rotis Sans Serif Std" w:hAnsi="Rotis Sans Serif Std"/>
          <w:sz w:val="18"/>
          <w:szCs w:val="18"/>
        </w:rPr>
        <w:t xml:space="preserve"> del </w:t>
      </w:r>
      <w:r>
        <w:rPr>
          <w:rFonts w:ascii="Rotis Sans Serif Std" w:hAnsi="Rotis Sans Serif Std"/>
          <w:sz w:val="18"/>
          <w:szCs w:val="18"/>
        </w:rPr>
        <w:t>període referenciat</w:t>
      </w:r>
      <w:r w:rsidRPr="007E61D8">
        <w:rPr>
          <w:rFonts w:ascii="Rotis Sans Serif Std" w:hAnsi="Rotis Sans Serif Std"/>
          <w:sz w:val="18"/>
          <w:szCs w:val="18"/>
        </w:rPr>
        <w:t xml:space="preserve"> degut </w:t>
      </w:r>
      <w:r>
        <w:rPr>
          <w:rFonts w:ascii="Rotis Sans Serif Std" w:hAnsi="Rotis Sans Serif Std"/>
          <w:sz w:val="18"/>
          <w:szCs w:val="18"/>
        </w:rPr>
        <w:t xml:space="preserve">a </w:t>
      </w:r>
      <w:r w:rsidRPr="007E61D8">
        <w:rPr>
          <w:rFonts w:ascii="Rotis Sans Serif Std" w:hAnsi="Rotis Sans Serif Std"/>
          <w:sz w:val="18"/>
          <w:szCs w:val="18"/>
        </w:rPr>
        <w:t xml:space="preserve">que un mateix </w:t>
      </w:r>
      <w:r>
        <w:rPr>
          <w:rFonts w:ascii="Rotis Sans Serif Std" w:hAnsi="Rotis Sans Serif Std"/>
          <w:sz w:val="18"/>
          <w:szCs w:val="18"/>
        </w:rPr>
        <w:t>conflicte</w:t>
      </w:r>
      <w:r w:rsidRPr="007E61D8">
        <w:rPr>
          <w:rFonts w:ascii="Rotis Sans Serif Std" w:hAnsi="Rotis Sans Serif Std"/>
          <w:sz w:val="18"/>
          <w:szCs w:val="18"/>
        </w:rPr>
        <w:t xml:space="preserve"> pot haver </w:t>
      </w:r>
      <w:r>
        <w:rPr>
          <w:rFonts w:ascii="Rotis Sans Serif Std" w:hAnsi="Rotis Sans Serif Std"/>
          <w:sz w:val="18"/>
          <w:szCs w:val="18"/>
        </w:rPr>
        <w:t xml:space="preserve">afectat a més d’una província. </w:t>
      </w:r>
    </w:p>
  </w:footnote>
  <w:footnote w:id="10">
    <w:p w:rsidR="00972EC4" w:rsidRDefault="00972EC4" w:rsidP="00151CBE">
      <w:pPr>
        <w:pStyle w:val="Textonotapie"/>
        <w:jc w:val="both"/>
      </w:pPr>
      <w:r w:rsidRPr="007E61D8">
        <w:rPr>
          <w:rStyle w:val="Refdenotaalpie"/>
        </w:rPr>
        <w:footnoteRef/>
      </w:r>
      <w:r w:rsidRPr="007E61D8">
        <w:t xml:space="preserve"> </w:t>
      </w:r>
      <w:r w:rsidRPr="007E61D8">
        <w:rPr>
          <w:rFonts w:ascii="Rotis Sans Serif Std" w:hAnsi="Rotis Sans Serif Std"/>
          <w:sz w:val="18"/>
          <w:szCs w:val="18"/>
        </w:rPr>
        <w:t xml:space="preserve">La suma de la totalitat dels expedients per raó de la causa és superior al nombre d’expedients total del </w:t>
      </w:r>
      <w:r>
        <w:rPr>
          <w:rFonts w:ascii="Rotis Sans Serif Std" w:hAnsi="Rotis Sans Serif Std"/>
          <w:sz w:val="18"/>
          <w:szCs w:val="18"/>
        </w:rPr>
        <w:t>període referenciat</w:t>
      </w:r>
      <w:r w:rsidRPr="007E61D8">
        <w:rPr>
          <w:rFonts w:ascii="Rotis Sans Serif Std" w:hAnsi="Rotis Sans Serif Std"/>
          <w:sz w:val="18"/>
          <w:szCs w:val="18"/>
        </w:rPr>
        <w:t xml:space="preserve"> degut </w:t>
      </w:r>
      <w:r>
        <w:rPr>
          <w:rFonts w:ascii="Rotis Sans Serif Std" w:hAnsi="Rotis Sans Serif Std"/>
          <w:sz w:val="18"/>
          <w:szCs w:val="18"/>
        </w:rPr>
        <w:t xml:space="preserve">a </w:t>
      </w:r>
      <w:r w:rsidRPr="007E61D8">
        <w:rPr>
          <w:rFonts w:ascii="Rotis Sans Serif Std" w:hAnsi="Rotis Sans Serif Std"/>
          <w:sz w:val="18"/>
          <w:szCs w:val="18"/>
        </w:rPr>
        <w:t>que un mateix expedient pot haver sigut comptabilitzat més d’un cop si el mateix té com a objecte més d’una matèria.</w:t>
      </w:r>
    </w:p>
  </w:footnote>
  <w:footnote w:id="11">
    <w:p w:rsidR="00972EC4" w:rsidRDefault="00972EC4" w:rsidP="00151CBE">
      <w:pPr>
        <w:pStyle w:val="Textonotapie"/>
        <w:jc w:val="both"/>
      </w:pPr>
      <w:r w:rsidRPr="00C10185">
        <w:rPr>
          <w:rStyle w:val="Refdenotaalpie"/>
          <w:rFonts w:ascii="Rotis Sans Serif Std" w:hAnsi="Rotis Sans Serif Std"/>
          <w:sz w:val="18"/>
          <w:szCs w:val="18"/>
        </w:rPr>
        <w:footnoteRef/>
      </w:r>
      <w:r w:rsidRPr="00C10185">
        <w:rPr>
          <w:rFonts w:ascii="Rotis Sans Serif Std" w:hAnsi="Rotis Sans Serif Std"/>
          <w:sz w:val="18"/>
          <w:szCs w:val="18"/>
        </w:rPr>
        <w:t xml:space="preserve"> </w:t>
      </w:r>
      <w:r>
        <w:rPr>
          <w:rFonts w:ascii="Rotis Sans Serif Std" w:hAnsi="Rotis Sans Serif Std"/>
          <w:sz w:val="18"/>
          <w:szCs w:val="18"/>
        </w:rPr>
        <w:t>Cost salarial per hora, per Comunitat Autònoma. INE</w:t>
      </w:r>
    </w:p>
  </w:footnote>
  <w:footnote w:id="12">
    <w:p w:rsidR="00972EC4" w:rsidRPr="00526825" w:rsidRDefault="00972EC4" w:rsidP="007C2A50">
      <w:pPr>
        <w:pStyle w:val="Textonotapie"/>
        <w:jc w:val="both"/>
        <w:rPr>
          <w:lang w:val="es-ES"/>
        </w:rPr>
      </w:pPr>
      <w:r>
        <w:rPr>
          <w:rStyle w:val="Refdenotaalpie"/>
        </w:rPr>
        <w:footnoteRef/>
      </w:r>
      <w:r>
        <w:t xml:space="preserve"> </w:t>
      </w:r>
      <w:r w:rsidRPr="00526825">
        <w:rPr>
          <w:rFonts w:ascii="Rotis Sans Serif Std" w:hAnsi="Rotis Sans Serif Std"/>
          <w:lang w:val="es-ES"/>
        </w:rPr>
        <w:t>E</w:t>
      </w:r>
      <w:r w:rsidRPr="00526825">
        <w:rPr>
          <w:rFonts w:ascii="Rotis Sans Serif Std" w:hAnsi="Rotis Sans Serif Std"/>
        </w:rPr>
        <w:t>n una empresa es poden haver aplicat una o més mesures de flexibilitat</w:t>
      </w:r>
      <w:r w:rsidRPr="00526825">
        <w:t>.</w:t>
      </w:r>
    </w:p>
  </w:footnote>
  <w:footnote w:id="13">
    <w:p w:rsidR="00972EC4" w:rsidRPr="00233A00" w:rsidRDefault="00972EC4" w:rsidP="007C2A50">
      <w:pPr>
        <w:pStyle w:val="Textonotapie"/>
        <w:jc w:val="both"/>
        <w:rPr>
          <w:rFonts w:ascii="Rotis Sans Serif Std" w:hAnsi="Rotis Sans Serif Std"/>
          <w:lang w:val="es-ES"/>
        </w:rPr>
      </w:pPr>
      <w:r w:rsidRPr="00233A00">
        <w:rPr>
          <w:rStyle w:val="Refdenotaalpie"/>
          <w:rFonts w:ascii="Rotis Sans Serif Std" w:hAnsi="Rotis Sans Serif Std"/>
        </w:rPr>
        <w:footnoteRef/>
      </w:r>
      <w:r w:rsidRPr="00233A00">
        <w:rPr>
          <w:rFonts w:ascii="Rotis Sans Serif Std" w:hAnsi="Rotis Sans Serif Std"/>
        </w:rPr>
        <w:t xml:space="preserve"> </w:t>
      </w:r>
      <w:r w:rsidRPr="00233A00">
        <w:rPr>
          <w:rFonts w:ascii="Rotis Sans Serif Std" w:hAnsi="Rotis Sans Serif Std"/>
          <w:color w:val="222222"/>
        </w:rPr>
        <w:t>Substitució o transformació de contractes a temps complet per contractes a temps parcial o viceversa</w:t>
      </w:r>
      <w:r>
        <w:rPr>
          <w:rFonts w:ascii="Rotis Sans Serif Std" w:hAnsi="Rotis Sans Serif Std"/>
          <w:color w:val="222222"/>
        </w:rPr>
        <w:t>.</w:t>
      </w:r>
    </w:p>
  </w:footnote>
  <w:footnote w:id="14">
    <w:p w:rsidR="00972EC4" w:rsidRPr="00233A00" w:rsidRDefault="00972EC4" w:rsidP="007C2A50">
      <w:pPr>
        <w:pStyle w:val="HTMLconformatoprevio"/>
        <w:jc w:val="both"/>
        <w:rPr>
          <w:rFonts w:ascii="Rotis Sans Serif Std" w:hAnsi="Rotis Sans Serif Std"/>
          <w:color w:val="222222"/>
          <w:lang w:val="ca-ES"/>
        </w:rPr>
      </w:pPr>
      <w:r w:rsidRPr="00786AF1">
        <w:rPr>
          <w:rStyle w:val="Refdenotaalpie"/>
          <w:rFonts w:ascii="Rotis Sans Serif Std" w:hAnsi="Rotis Sans Serif Std"/>
        </w:rPr>
        <w:footnoteRef/>
      </w:r>
      <w:r>
        <w:t xml:space="preserve"> </w:t>
      </w:r>
      <w:r w:rsidRPr="00233A00">
        <w:rPr>
          <w:rFonts w:ascii="Rotis Sans Serif Std" w:hAnsi="Rotis Sans Serif Std"/>
          <w:color w:val="222222"/>
          <w:lang w:val="ca-ES"/>
        </w:rPr>
        <w:t>Reducció de jornada; suspensió de contractes; ampliació de la jornada (excloses les hores extraordinàries i les hores</w:t>
      </w:r>
    </w:p>
    <w:p w:rsidR="00972EC4" w:rsidRPr="00233A00" w:rsidRDefault="00972EC4" w:rsidP="007C2A50">
      <w:pPr>
        <w:pStyle w:val="HTMLconformatoprevio"/>
        <w:jc w:val="both"/>
        <w:rPr>
          <w:rFonts w:ascii="Rotis Sans Serif Std" w:hAnsi="Rotis Sans Serif Std"/>
        </w:rPr>
      </w:pPr>
      <w:r w:rsidRPr="00233A00">
        <w:rPr>
          <w:rFonts w:ascii="Rotis Sans Serif Std" w:hAnsi="Rotis Sans Serif Std"/>
          <w:color w:val="222222"/>
          <w:lang w:val="ca-ES"/>
        </w:rPr>
        <w:t>complementàries); introducció o modificació de la distribució irregular de jornada; altres mesures (canvis en el tipus de jornada -</w:t>
      </w:r>
      <w:r>
        <w:rPr>
          <w:rFonts w:ascii="Rotis Sans Serif Std" w:hAnsi="Rotis Sans Serif Std"/>
          <w:color w:val="222222"/>
          <w:lang w:val="ca-ES"/>
        </w:rPr>
        <w:t xml:space="preserve"> </w:t>
      </w:r>
      <w:r w:rsidRPr="00233A00">
        <w:rPr>
          <w:rFonts w:ascii="Rotis Sans Serif Std" w:hAnsi="Rotis Sans Serif Std"/>
          <w:color w:val="222222"/>
          <w:lang w:val="ca-ES"/>
        </w:rPr>
        <w:t>partida o continuada-, canvis en la distribució setmanal de jornada, modificació de la planificació anual de les vacances, etc.).</w:t>
      </w:r>
    </w:p>
  </w:footnote>
  <w:footnote w:id="15">
    <w:p w:rsidR="00972EC4" w:rsidRPr="00786AF1" w:rsidRDefault="00972EC4" w:rsidP="007C2A50">
      <w:pPr>
        <w:pStyle w:val="HTMLconformatoprevio"/>
        <w:jc w:val="both"/>
        <w:rPr>
          <w:rFonts w:ascii="Rotis Sans Serif Std" w:hAnsi="Rotis Sans Serif Std"/>
        </w:rPr>
      </w:pPr>
      <w:r w:rsidRPr="00786AF1">
        <w:rPr>
          <w:rStyle w:val="Refdenotaalpie"/>
          <w:rFonts w:ascii="Rotis Sans Serif Std" w:hAnsi="Rotis Sans Serif Std"/>
        </w:rPr>
        <w:footnoteRef/>
      </w:r>
      <w:r w:rsidRPr="00786AF1">
        <w:rPr>
          <w:rFonts w:ascii="Rotis Sans Serif Std" w:hAnsi="Rotis Sans Serif Std"/>
        </w:rPr>
        <w:t xml:space="preserve"> </w:t>
      </w:r>
      <w:r w:rsidRPr="00786AF1">
        <w:rPr>
          <w:rFonts w:ascii="Rotis Sans Serif Std" w:hAnsi="Rotis Sans Serif Std"/>
          <w:color w:val="222222"/>
          <w:lang w:val="ca-ES"/>
        </w:rPr>
        <w:t>Remuneració per sota del que inicialment acordat (bé per contracte, bé per conveni, pacte o acord col·lectiu); supressió o disminució de conceptes extrasalarials (ajudes a transport, assistència sanitària, dietes, ajuda a menjador, plans de pensions, complement IT, etc.); substitució d'una part del salari fix per salari.</w:t>
      </w:r>
    </w:p>
  </w:footnote>
  <w:footnote w:id="16">
    <w:p w:rsidR="00972EC4" w:rsidRPr="00555637" w:rsidRDefault="00972EC4" w:rsidP="007C2A50">
      <w:pPr>
        <w:pStyle w:val="Textonotapie"/>
        <w:rPr>
          <w:rFonts w:ascii="Rotis Sans Serif Std" w:hAnsi="Rotis Sans Serif Std"/>
          <w:lang w:val="en-US"/>
        </w:rPr>
      </w:pPr>
      <w:r>
        <w:rPr>
          <w:rStyle w:val="Refdenotaalpie"/>
        </w:rPr>
        <w:footnoteRef/>
      </w:r>
      <w:r>
        <w:t xml:space="preserve"> </w:t>
      </w:r>
      <w:r w:rsidRPr="00E55A1C">
        <w:rPr>
          <w:rFonts w:ascii="Rotis Sans Serif Std" w:hAnsi="Rotis Sans Serif Std"/>
        </w:rPr>
        <w:t>Inclou dormir, àpats i altres cures personals.</w:t>
      </w:r>
    </w:p>
  </w:footnote>
  <w:footnote w:id="17">
    <w:p w:rsidR="00972EC4" w:rsidRPr="00F30E6D" w:rsidRDefault="00972EC4" w:rsidP="00F30E6D">
      <w:pPr>
        <w:pStyle w:val="Textonotapie"/>
        <w:jc w:val="both"/>
      </w:pPr>
      <w:r w:rsidRPr="00F30E6D">
        <w:rPr>
          <w:rStyle w:val="Refdenotaalpie"/>
          <w:rFonts w:ascii="Rotis Sans Serif Std" w:hAnsi="Rotis Sans Serif Std"/>
        </w:rPr>
        <w:footnoteRef/>
      </w:r>
      <w:r w:rsidRPr="00F30E6D">
        <w:rPr>
          <w:rFonts w:ascii="Rotis Sans Serif Std" w:hAnsi="Rotis Sans Serif Std"/>
        </w:rPr>
        <w:t xml:space="preserve"> L’estudi sobre la Jornada Laboral ha estat actualitzat amb els convenis col·lectius publicats </w:t>
      </w:r>
      <w:r>
        <w:rPr>
          <w:rFonts w:ascii="Rotis Sans Serif Std" w:hAnsi="Rotis Sans Serif Std"/>
        </w:rPr>
        <w:t xml:space="preserve">des de l’1 d’octubre de 2016 </w:t>
      </w:r>
      <w:r w:rsidRPr="00F30E6D">
        <w:rPr>
          <w:rFonts w:ascii="Rotis Sans Serif Std" w:hAnsi="Rotis Sans Serif Std"/>
        </w:rPr>
        <w:t>fins a 10 de setembre de 2018.</w:t>
      </w:r>
      <w:r w:rsidRPr="00F30E6D">
        <w:t xml:space="preserve"> </w:t>
      </w:r>
    </w:p>
  </w:footnote>
  <w:footnote w:id="18">
    <w:p w:rsidR="00972EC4" w:rsidRPr="00720D4F" w:rsidRDefault="00972EC4" w:rsidP="00DF7DF3">
      <w:pPr>
        <w:pStyle w:val="Textonotapie"/>
        <w:jc w:val="both"/>
        <w:rPr>
          <w:rFonts w:ascii="Rotis Sans Serif Std" w:hAnsi="Rotis Sans Serif Std" w:cs="RotisSansSerifStd-Regular"/>
          <w:color w:val="5E6061"/>
          <w:lang w:eastAsia="es-ES_tradnl"/>
        </w:rPr>
      </w:pPr>
      <w:r>
        <w:rPr>
          <w:rStyle w:val="Refdenotaalpie"/>
        </w:rPr>
        <w:footnoteRef/>
      </w:r>
      <w:r>
        <w:t xml:space="preserve"> </w:t>
      </w:r>
      <w:r w:rsidRPr="00720D4F">
        <w:rPr>
          <w:rFonts w:ascii="Rotis Sans Serif Std" w:hAnsi="Rotis Sans Serif Std" w:cs="RotisSansSerifStd-Regular"/>
          <w:color w:val="5E6061"/>
          <w:lang w:eastAsia="es-ES_tradnl"/>
        </w:rPr>
        <w:t xml:space="preserve">En l’estudi s’han analitzat Convenis anterior a l’entrada en vigor a la Reforma Laboral, moment a partir del qual s’estableix un període de preavís  de 5 dies. </w:t>
      </w:r>
    </w:p>
  </w:footnote>
  <w:footnote w:id="19">
    <w:p w:rsidR="00972EC4" w:rsidRPr="00DB2A57" w:rsidRDefault="00972EC4">
      <w:pPr>
        <w:pStyle w:val="Textonotapie"/>
        <w:rPr>
          <w:rFonts w:ascii="Rotis Sans Serif Std" w:hAnsi="Rotis Sans Serif Std"/>
          <w:lang w:val="es-ES"/>
        </w:rPr>
      </w:pPr>
      <w:r>
        <w:rPr>
          <w:rStyle w:val="Refdenotaalpie"/>
        </w:rPr>
        <w:footnoteRef/>
      </w:r>
      <w:r>
        <w:t xml:space="preserve"> </w:t>
      </w:r>
      <w:r w:rsidRPr="00DB2A57">
        <w:rPr>
          <w:rFonts w:ascii="Rotis Sans Serif Std" w:hAnsi="Rotis Sans Serif Std"/>
          <w:color w:val="222222"/>
        </w:rPr>
        <w:t xml:space="preserve">Article 55.I.2.º de la </w:t>
      </w:r>
      <w:proofErr w:type="spellStart"/>
      <w:r w:rsidRPr="00DB2A57">
        <w:rPr>
          <w:rFonts w:ascii="Rotis Sans Serif Std" w:hAnsi="Rotis Sans Serif Std"/>
          <w:color w:val="222222"/>
        </w:rPr>
        <w:t>Loi</w:t>
      </w:r>
      <w:proofErr w:type="spellEnd"/>
      <w:r w:rsidRPr="00DB2A57">
        <w:rPr>
          <w:rFonts w:ascii="Rotis Sans Serif Std" w:hAnsi="Rotis Sans Serif Std"/>
          <w:color w:val="222222"/>
        </w:rPr>
        <w:t xml:space="preserve"> 2016-1088 introdueix un nou apartat 7 a l'article L. 2242-8 del Codi de Treball francès</w:t>
      </w:r>
    </w:p>
  </w:footnote>
  <w:footnote w:id="20">
    <w:p w:rsidR="00972EC4" w:rsidRPr="00B71E37" w:rsidRDefault="00972EC4" w:rsidP="00DB2A57">
      <w:pPr>
        <w:pStyle w:val="Pa6"/>
        <w:jc w:val="both"/>
        <w:rPr>
          <w:rFonts w:ascii="Rotis Sans Serif Std" w:hAnsi="Rotis Sans Serif Std"/>
          <w:i/>
          <w:color w:val="000000"/>
          <w:sz w:val="20"/>
          <w:szCs w:val="20"/>
        </w:rPr>
      </w:pPr>
      <w:r w:rsidRPr="00B71E37">
        <w:rPr>
          <w:rStyle w:val="Refdenotaalpie"/>
          <w:rFonts w:ascii="Rotis Sans Serif Std" w:hAnsi="Rotis Sans Serif Std"/>
          <w:sz w:val="20"/>
          <w:szCs w:val="20"/>
        </w:rPr>
        <w:footnoteRef/>
      </w:r>
      <w:r w:rsidRPr="00B71E37">
        <w:rPr>
          <w:rFonts w:ascii="Rotis Sans Serif Std" w:hAnsi="Rotis Sans Serif Std"/>
          <w:sz w:val="20"/>
          <w:szCs w:val="20"/>
        </w:rPr>
        <w:t xml:space="preserve"> Si </w:t>
      </w:r>
      <w:proofErr w:type="spellStart"/>
      <w:r w:rsidRPr="00B71E37">
        <w:rPr>
          <w:rFonts w:ascii="Rotis Sans Serif Std" w:hAnsi="Rotis Sans Serif Std"/>
          <w:sz w:val="20"/>
          <w:szCs w:val="20"/>
        </w:rPr>
        <w:t>bé</w:t>
      </w:r>
      <w:proofErr w:type="spellEnd"/>
      <w:r w:rsidRPr="00B71E37">
        <w:rPr>
          <w:rFonts w:ascii="Rotis Sans Serif Std" w:hAnsi="Rotis Sans Serif Std"/>
          <w:sz w:val="20"/>
          <w:szCs w:val="20"/>
        </w:rPr>
        <w:t xml:space="preserve"> </w:t>
      </w:r>
      <w:proofErr w:type="spellStart"/>
      <w:r w:rsidRPr="00B71E37">
        <w:rPr>
          <w:rFonts w:ascii="Rotis Sans Serif Std" w:hAnsi="Rotis Sans Serif Std"/>
          <w:sz w:val="20"/>
          <w:szCs w:val="20"/>
        </w:rPr>
        <w:t>és</w:t>
      </w:r>
      <w:proofErr w:type="spellEnd"/>
      <w:r w:rsidRPr="00B71E37">
        <w:rPr>
          <w:rFonts w:ascii="Rotis Sans Serif Std" w:hAnsi="Rotis Sans Serif Std"/>
          <w:sz w:val="20"/>
          <w:szCs w:val="20"/>
        </w:rPr>
        <w:t xml:space="preserve"> </w:t>
      </w:r>
      <w:proofErr w:type="spellStart"/>
      <w:r w:rsidRPr="00B71E37">
        <w:rPr>
          <w:rFonts w:ascii="Rotis Sans Serif Std" w:hAnsi="Rotis Sans Serif Std"/>
          <w:sz w:val="20"/>
          <w:szCs w:val="20"/>
        </w:rPr>
        <w:t>cert</w:t>
      </w:r>
      <w:proofErr w:type="spellEnd"/>
      <w:r w:rsidRPr="00B71E37">
        <w:rPr>
          <w:rFonts w:ascii="Rotis Sans Serif Std" w:hAnsi="Rotis Sans Serif Std"/>
          <w:sz w:val="20"/>
          <w:szCs w:val="20"/>
        </w:rPr>
        <w:t xml:space="preserve"> que </w:t>
      </w:r>
      <w:proofErr w:type="spellStart"/>
      <w:r w:rsidRPr="00B71E37">
        <w:rPr>
          <w:rFonts w:ascii="Rotis Sans Serif Std" w:hAnsi="Rotis Sans Serif Std"/>
          <w:sz w:val="20"/>
          <w:szCs w:val="20"/>
        </w:rPr>
        <w:t>existeix</w:t>
      </w:r>
      <w:proofErr w:type="spellEnd"/>
      <w:r w:rsidRPr="00B71E37">
        <w:rPr>
          <w:rFonts w:ascii="Rotis Sans Serif Std" w:hAnsi="Rotis Sans Serif Std"/>
          <w:sz w:val="20"/>
          <w:szCs w:val="20"/>
        </w:rPr>
        <w:t xml:space="preserve"> alguna </w:t>
      </w:r>
      <w:proofErr w:type="spellStart"/>
      <w:r w:rsidRPr="00B71E37">
        <w:rPr>
          <w:rFonts w:ascii="Rotis Sans Serif Std" w:hAnsi="Rotis Sans Serif Std"/>
          <w:sz w:val="20"/>
          <w:szCs w:val="20"/>
        </w:rPr>
        <w:t>pràctica</w:t>
      </w:r>
      <w:proofErr w:type="spellEnd"/>
      <w:r w:rsidRPr="00B71E37">
        <w:rPr>
          <w:rFonts w:ascii="Rotis Sans Serif Std" w:hAnsi="Rotis Sans Serif Std"/>
          <w:sz w:val="20"/>
          <w:szCs w:val="20"/>
        </w:rPr>
        <w:t xml:space="preserve"> en </w:t>
      </w:r>
      <w:proofErr w:type="spellStart"/>
      <w:r w:rsidRPr="00B71E37">
        <w:rPr>
          <w:rFonts w:ascii="Rotis Sans Serif Std" w:hAnsi="Rotis Sans Serif Std"/>
          <w:sz w:val="20"/>
          <w:szCs w:val="20"/>
        </w:rPr>
        <w:t>convenis</w:t>
      </w:r>
      <w:proofErr w:type="spellEnd"/>
      <w:r w:rsidRPr="00B71E37">
        <w:rPr>
          <w:rFonts w:ascii="Rotis Sans Serif Std" w:hAnsi="Rotis Sans Serif Std"/>
          <w:sz w:val="20"/>
          <w:szCs w:val="20"/>
        </w:rPr>
        <w:t xml:space="preserve"> </w:t>
      </w:r>
      <w:proofErr w:type="spellStart"/>
      <w:r w:rsidRPr="00B71E37">
        <w:rPr>
          <w:rFonts w:ascii="Rotis Sans Serif Std" w:hAnsi="Rotis Sans Serif Std"/>
          <w:sz w:val="20"/>
          <w:szCs w:val="20"/>
        </w:rPr>
        <w:t>empresarials</w:t>
      </w:r>
      <w:proofErr w:type="spellEnd"/>
      <w:r w:rsidRPr="00B71E37">
        <w:rPr>
          <w:rFonts w:ascii="Rotis Sans Serif Std" w:hAnsi="Rotis Sans Serif Std"/>
          <w:sz w:val="20"/>
          <w:szCs w:val="20"/>
        </w:rPr>
        <w:t xml:space="preserve">, </w:t>
      </w:r>
      <w:proofErr w:type="spellStart"/>
      <w:r w:rsidRPr="00B71E37">
        <w:rPr>
          <w:rFonts w:ascii="Rotis Sans Serif Std" w:hAnsi="Rotis Sans Serif Std"/>
          <w:sz w:val="20"/>
          <w:szCs w:val="20"/>
        </w:rPr>
        <w:t>com</w:t>
      </w:r>
      <w:proofErr w:type="spellEnd"/>
      <w:r w:rsidRPr="00B71E37">
        <w:rPr>
          <w:rFonts w:ascii="Rotis Sans Serif Std" w:hAnsi="Rotis Sans Serif Std"/>
          <w:sz w:val="20"/>
          <w:szCs w:val="20"/>
        </w:rPr>
        <w:t xml:space="preserve"> </w:t>
      </w:r>
      <w:proofErr w:type="spellStart"/>
      <w:r w:rsidRPr="00B71E37">
        <w:rPr>
          <w:rFonts w:ascii="Rotis Sans Serif Std" w:hAnsi="Rotis Sans Serif Std"/>
          <w:sz w:val="20"/>
          <w:szCs w:val="20"/>
        </w:rPr>
        <w:t>és</w:t>
      </w:r>
      <w:proofErr w:type="spellEnd"/>
      <w:r w:rsidRPr="00B71E37">
        <w:rPr>
          <w:rFonts w:ascii="Rotis Sans Serif Std" w:hAnsi="Rotis Sans Serif Std"/>
          <w:sz w:val="20"/>
          <w:szCs w:val="20"/>
        </w:rPr>
        <w:t xml:space="preserve"> el cas del </w:t>
      </w:r>
      <w:proofErr w:type="spellStart"/>
      <w:r w:rsidRPr="00B71E37">
        <w:rPr>
          <w:rFonts w:ascii="Rotis Sans Serif Std" w:hAnsi="Rotis Sans Serif Std"/>
          <w:sz w:val="20"/>
          <w:szCs w:val="20"/>
        </w:rPr>
        <w:t>Conveni</w:t>
      </w:r>
      <w:proofErr w:type="spellEnd"/>
      <w:r w:rsidRPr="00B71E37">
        <w:rPr>
          <w:rFonts w:ascii="Rotis Sans Serif Std" w:hAnsi="Rotis Sans Serif Std"/>
          <w:sz w:val="20"/>
          <w:szCs w:val="20"/>
        </w:rPr>
        <w:t xml:space="preserve"> </w:t>
      </w:r>
      <w:proofErr w:type="spellStart"/>
      <w:r w:rsidRPr="00B71E37">
        <w:rPr>
          <w:rFonts w:ascii="Rotis Sans Serif Std" w:hAnsi="Rotis Sans Serif Std"/>
          <w:sz w:val="20"/>
          <w:szCs w:val="20"/>
        </w:rPr>
        <w:t>Col·lectiu</w:t>
      </w:r>
      <w:proofErr w:type="spellEnd"/>
      <w:r w:rsidRPr="00B71E37">
        <w:rPr>
          <w:rFonts w:ascii="Rotis Sans Serif Std" w:hAnsi="Rotis Sans Serif Std"/>
          <w:sz w:val="20"/>
          <w:szCs w:val="20"/>
        </w:rPr>
        <w:t xml:space="preserve"> del </w:t>
      </w:r>
      <w:proofErr w:type="spellStart"/>
      <w:r w:rsidRPr="00B71E37">
        <w:rPr>
          <w:rFonts w:ascii="Rotis Sans Serif Std" w:hAnsi="Rotis Sans Serif Std"/>
          <w:sz w:val="20"/>
          <w:szCs w:val="20"/>
        </w:rPr>
        <w:t>Grup</w:t>
      </w:r>
      <w:proofErr w:type="spellEnd"/>
      <w:r w:rsidRPr="00B71E37">
        <w:rPr>
          <w:rFonts w:ascii="Rotis Sans Serif Std" w:hAnsi="Rotis Sans Serif Std"/>
          <w:sz w:val="20"/>
          <w:szCs w:val="20"/>
        </w:rPr>
        <w:t xml:space="preserve"> Axa: </w:t>
      </w:r>
      <w:r w:rsidRPr="00B71E37">
        <w:rPr>
          <w:rFonts w:ascii="Rotis Sans Serif Std" w:hAnsi="Rotis Sans Serif Std"/>
          <w:i/>
          <w:sz w:val="20"/>
          <w:szCs w:val="20"/>
        </w:rPr>
        <w:t xml:space="preserve">“Art. 14. </w:t>
      </w:r>
      <w:r w:rsidRPr="00B71E37">
        <w:rPr>
          <w:rFonts w:ascii="Rotis Sans Serif Std" w:hAnsi="Rotis Sans Serif Std"/>
          <w:i/>
          <w:color w:val="000000"/>
          <w:sz w:val="20"/>
          <w:szCs w:val="20"/>
        </w:rPr>
        <w:t>Los cambios tecnológicos producidos en las últimas décadas han provocado modificaciones estructurales en el ámbito de las relaciones laborales. Es innegable que hoy en día el fenómeno de la «interconectividad digital» está incidiendo en las formas de ejecución del trabajo mudando los escenarios de desenvolvimiento de las ocupaciones laborales hacia entornos externos a las clásicas unidades productivas: empresas, centros y puestos de trabajo.</w:t>
      </w:r>
    </w:p>
    <w:p w:rsidR="00972EC4" w:rsidRPr="00B71E37" w:rsidRDefault="00972EC4" w:rsidP="0092670B">
      <w:pPr>
        <w:pStyle w:val="Pa6"/>
        <w:jc w:val="both"/>
        <w:rPr>
          <w:rFonts w:ascii="Rotis Sans Serif Std" w:hAnsi="Rotis Sans Serif Std"/>
          <w:i/>
          <w:color w:val="000000"/>
          <w:sz w:val="20"/>
          <w:szCs w:val="20"/>
        </w:rPr>
      </w:pPr>
      <w:r w:rsidRPr="00B71E37">
        <w:rPr>
          <w:rFonts w:ascii="Rotis Sans Serif Std" w:hAnsi="Rotis Sans Serif Std"/>
          <w:i/>
          <w:color w:val="000000"/>
          <w:sz w:val="20"/>
          <w:szCs w:val="20"/>
        </w:rPr>
        <w:t>En este contexto, el lugar de la prestación laboral y el tiempo de trabajo, como típicos elementos configuradores del marco en el que se desempeña la actividad laboral, están diluyéndose en favor de una realidad más compleja en la que impera la conectividad permanente afectando, sin duda, al ámbito personal y familiar de los trabajadores y trabajadoras.</w:t>
      </w:r>
    </w:p>
    <w:p w:rsidR="00972EC4" w:rsidRPr="0092670B" w:rsidRDefault="00972EC4" w:rsidP="007B76AC">
      <w:pPr>
        <w:pStyle w:val="Textonotapie"/>
        <w:shd w:val="clear" w:color="auto" w:fill="FFFFFF" w:themeFill="background1"/>
        <w:jc w:val="both"/>
        <w:rPr>
          <w:rFonts w:ascii="Rotis Sans Serif Std" w:hAnsi="Rotis Sans Serif Std"/>
          <w:i/>
          <w:lang w:val="es-ES"/>
        </w:rPr>
      </w:pPr>
      <w:r w:rsidRPr="007B76AC">
        <w:rPr>
          <w:rFonts w:ascii="Rotis Sans Serif Std" w:hAnsi="Rotis Sans Serif Std"/>
          <w:i/>
          <w:color w:val="000000"/>
        </w:rPr>
        <w:t xml:space="preserve">Es por </w:t>
      </w:r>
      <w:proofErr w:type="spellStart"/>
      <w:r w:rsidRPr="007B76AC">
        <w:rPr>
          <w:rFonts w:ascii="Rotis Sans Serif Std" w:hAnsi="Rotis Sans Serif Std"/>
          <w:i/>
          <w:color w:val="000000"/>
        </w:rPr>
        <w:t>ello</w:t>
      </w:r>
      <w:proofErr w:type="spellEnd"/>
      <w:r w:rsidRPr="007B76AC">
        <w:rPr>
          <w:rFonts w:ascii="Rotis Sans Serif Std" w:hAnsi="Rotis Sans Serif Std"/>
          <w:i/>
          <w:color w:val="000000"/>
        </w:rPr>
        <w:t xml:space="preserve"> que las partes </w:t>
      </w:r>
      <w:proofErr w:type="spellStart"/>
      <w:r w:rsidRPr="007B76AC">
        <w:rPr>
          <w:rFonts w:ascii="Rotis Sans Serif Std" w:hAnsi="Rotis Sans Serif Std"/>
          <w:i/>
          <w:color w:val="000000"/>
        </w:rPr>
        <w:t>firmantes</w:t>
      </w:r>
      <w:proofErr w:type="spellEnd"/>
      <w:r w:rsidRPr="007B76AC">
        <w:rPr>
          <w:rFonts w:ascii="Rotis Sans Serif Std" w:hAnsi="Rotis Sans Serif Std"/>
          <w:i/>
          <w:color w:val="000000"/>
        </w:rPr>
        <w:t xml:space="preserve"> de este </w:t>
      </w:r>
      <w:proofErr w:type="spellStart"/>
      <w:r w:rsidRPr="007B76AC">
        <w:rPr>
          <w:rFonts w:ascii="Rotis Sans Serif Std" w:hAnsi="Rotis Sans Serif Std"/>
          <w:i/>
          <w:color w:val="000000"/>
        </w:rPr>
        <w:t>Convenio</w:t>
      </w:r>
      <w:proofErr w:type="spellEnd"/>
      <w:r w:rsidRPr="007B76AC">
        <w:rPr>
          <w:rFonts w:ascii="Rotis Sans Serif Std" w:hAnsi="Rotis Sans Serif Std"/>
          <w:i/>
          <w:color w:val="000000"/>
        </w:rPr>
        <w:t xml:space="preserve"> </w:t>
      </w:r>
      <w:proofErr w:type="spellStart"/>
      <w:r w:rsidRPr="007B76AC">
        <w:rPr>
          <w:rFonts w:ascii="Rotis Sans Serif Std" w:hAnsi="Rotis Sans Serif Std"/>
          <w:i/>
          <w:color w:val="000000"/>
        </w:rPr>
        <w:t>coinciden</w:t>
      </w:r>
      <w:proofErr w:type="spellEnd"/>
      <w:r w:rsidRPr="007B76AC">
        <w:rPr>
          <w:rFonts w:ascii="Rotis Sans Serif Std" w:hAnsi="Rotis Sans Serif Std"/>
          <w:i/>
          <w:color w:val="000000"/>
        </w:rPr>
        <w:t xml:space="preserve"> en la </w:t>
      </w:r>
      <w:proofErr w:type="spellStart"/>
      <w:r w:rsidRPr="007B76AC">
        <w:rPr>
          <w:rFonts w:ascii="Rotis Sans Serif Std" w:hAnsi="Rotis Sans Serif Std"/>
          <w:i/>
          <w:color w:val="000000"/>
        </w:rPr>
        <w:t>necesidad</w:t>
      </w:r>
      <w:proofErr w:type="spellEnd"/>
      <w:r w:rsidRPr="007B76AC">
        <w:rPr>
          <w:rFonts w:ascii="Rotis Sans Serif Std" w:hAnsi="Rotis Sans Serif Std"/>
          <w:i/>
          <w:color w:val="000000"/>
        </w:rPr>
        <w:t xml:space="preserve"> de impulsar el </w:t>
      </w:r>
      <w:proofErr w:type="spellStart"/>
      <w:r w:rsidRPr="007B76AC">
        <w:rPr>
          <w:rFonts w:ascii="Rotis Sans Serif Std" w:hAnsi="Rotis Sans Serif Std"/>
          <w:i/>
          <w:color w:val="000000"/>
        </w:rPr>
        <w:t>derecho</w:t>
      </w:r>
      <w:proofErr w:type="spellEnd"/>
      <w:r w:rsidRPr="007B76AC">
        <w:rPr>
          <w:rFonts w:ascii="Rotis Sans Serif Std" w:hAnsi="Rotis Sans Serif Std"/>
          <w:i/>
          <w:color w:val="000000"/>
        </w:rPr>
        <w:t xml:space="preserve"> a la </w:t>
      </w:r>
      <w:proofErr w:type="spellStart"/>
      <w:r w:rsidRPr="007B76AC">
        <w:rPr>
          <w:rFonts w:ascii="Rotis Sans Serif Std" w:hAnsi="Rotis Sans Serif Std"/>
          <w:i/>
          <w:color w:val="000000"/>
        </w:rPr>
        <w:t>desconexión</w:t>
      </w:r>
      <w:proofErr w:type="spellEnd"/>
      <w:r w:rsidRPr="007B76AC">
        <w:rPr>
          <w:rFonts w:ascii="Rotis Sans Serif Std" w:hAnsi="Rotis Sans Serif Std"/>
          <w:i/>
          <w:color w:val="000000"/>
        </w:rPr>
        <w:t xml:space="preserve"> digital una </w:t>
      </w:r>
      <w:proofErr w:type="spellStart"/>
      <w:r w:rsidRPr="007B76AC">
        <w:rPr>
          <w:rFonts w:ascii="Rotis Sans Serif Std" w:hAnsi="Rotis Sans Serif Std"/>
          <w:i/>
          <w:color w:val="000000"/>
        </w:rPr>
        <w:t>vez</w:t>
      </w:r>
      <w:proofErr w:type="spellEnd"/>
      <w:r w:rsidRPr="007B76AC">
        <w:rPr>
          <w:rFonts w:ascii="Rotis Sans Serif Std" w:hAnsi="Rotis Sans Serif Std"/>
          <w:i/>
          <w:color w:val="000000"/>
        </w:rPr>
        <w:t xml:space="preserve"> </w:t>
      </w:r>
      <w:proofErr w:type="spellStart"/>
      <w:r w:rsidRPr="007B76AC">
        <w:rPr>
          <w:rFonts w:ascii="Rotis Sans Serif Std" w:hAnsi="Rotis Sans Serif Std"/>
          <w:i/>
          <w:color w:val="000000"/>
        </w:rPr>
        <w:t>finalizada</w:t>
      </w:r>
      <w:proofErr w:type="spellEnd"/>
      <w:r w:rsidRPr="007B76AC">
        <w:rPr>
          <w:rFonts w:ascii="Rotis Sans Serif Std" w:hAnsi="Rotis Sans Serif Std"/>
          <w:i/>
          <w:color w:val="000000"/>
        </w:rPr>
        <w:t xml:space="preserve"> la jornada laboral. </w:t>
      </w:r>
      <w:proofErr w:type="spellStart"/>
      <w:r w:rsidRPr="007B76AC">
        <w:rPr>
          <w:rFonts w:ascii="Rotis Sans Serif Std" w:hAnsi="Rotis Sans Serif Std"/>
          <w:i/>
          <w:color w:val="000000"/>
        </w:rPr>
        <w:t>Consecuentemente</w:t>
      </w:r>
      <w:proofErr w:type="spellEnd"/>
      <w:r w:rsidRPr="007B76AC">
        <w:rPr>
          <w:rFonts w:ascii="Rotis Sans Serif Std" w:hAnsi="Rotis Sans Serif Std"/>
          <w:i/>
          <w:color w:val="000000"/>
        </w:rPr>
        <w:t xml:space="preserve">, salvo causa de </w:t>
      </w:r>
      <w:proofErr w:type="spellStart"/>
      <w:r w:rsidRPr="007B76AC">
        <w:rPr>
          <w:rFonts w:ascii="Rotis Sans Serif Std" w:hAnsi="Rotis Sans Serif Std"/>
          <w:i/>
          <w:color w:val="000000"/>
        </w:rPr>
        <w:t>fuerza</w:t>
      </w:r>
      <w:proofErr w:type="spellEnd"/>
      <w:r w:rsidRPr="007B76AC">
        <w:rPr>
          <w:rFonts w:ascii="Rotis Sans Serif Std" w:hAnsi="Rotis Sans Serif Std"/>
          <w:i/>
          <w:color w:val="000000"/>
        </w:rPr>
        <w:t xml:space="preserve"> </w:t>
      </w:r>
      <w:proofErr w:type="spellStart"/>
      <w:r w:rsidRPr="007B76AC">
        <w:rPr>
          <w:rFonts w:ascii="Rotis Sans Serif Std" w:hAnsi="Rotis Sans Serif Std"/>
          <w:i/>
          <w:color w:val="000000"/>
        </w:rPr>
        <w:t>mayor</w:t>
      </w:r>
      <w:proofErr w:type="spellEnd"/>
      <w:r w:rsidRPr="007B76AC">
        <w:rPr>
          <w:rFonts w:ascii="Rotis Sans Serif Std" w:hAnsi="Rotis Sans Serif Std"/>
          <w:i/>
          <w:color w:val="000000"/>
        </w:rPr>
        <w:t xml:space="preserve"> o </w:t>
      </w:r>
      <w:proofErr w:type="spellStart"/>
      <w:r w:rsidRPr="007B76AC">
        <w:rPr>
          <w:rFonts w:ascii="Rotis Sans Serif Std" w:hAnsi="Rotis Sans Serif Std"/>
          <w:i/>
          <w:color w:val="000000"/>
        </w:rPr>
        <w:t>circunstancias</w:t>
      </w:r>
      <w:proofErr w:type="spellEnd"/>
      <w:r w:rsidRPr="007B76AC">
        <w:rPr>
          <w:rFonts w:ascii="Rotis Sans Serif Std" w:hAnsi="Rotis Sans Serif Std"/>
          <w:i/>
          <w:color w:val="000000"/>
        </w:rPr>
        <w:t xml:space="preserve"> </w:t>
      </w:r>
      <w:proofErr w:type="spellStart"/>
      <w:r w:rsidRPr="007B76AC">
        <w:rPr>
          <w:rFonts w:ascii="Rotis Sans Serif Std" w:hAnsi="Rotis Sans Serif Std"/>
          <w:i/>
          <w:color w:val="000000"/>
        </w:rPr>
        <w:t>excepcionales</w:t>
      </w:r>
      <w:proofErr w:type="spellEnd"/>
      <w:r w:rsidRPr="007B76AC">
        <w:rPr>
          <w:rFonts w:ascii="Rotis Sans Serif Std" w:hAnsi="Rotis Sans Serif Std"/>
          <w:i/>
          <w:color w:val="000000"/>
        </w:rPr>
        <w:t xml:space="preserve">, AXA </w:t>
      </w:r>
      <w:proofErr w:type="spellStart"/>
      <w:r w:rsidRPr="007B76AC">
        <w:rPr>
          <w:rFonts w:ascii="Rotis Sans Serif Std" w:hAnsi="Rotis Sans Serif Std"/>
          <w:i/>
          <w:color w:val="000000"/>
        </w:rPr>
        <w:t>reconoce</w:t>
      </w:r>
      <w:proofErr w:type="spellEnd"/>
      <w:r w:rsidRPr="007B76AC">
        <w:rPr>
          <w:rFonts w:ascii="Rotis Sans Serif Std" w:hAnsi="Rotis Sans Serif Std"/>
          <w:i/>
          <w:color w:val="000000"/>
        </w:rPr>
        <w:t xml:space="preserve"> el </w:t>
      </w:r>
      <w:proofErr w:type="spellStart"/>
      <w:r w:rsidRPr="007B76AC">
        <w:rPr>
          <w:rFonts w:ascii="Rotis Sans Serif Std" w:hAnsi="Rotis Sans Serif Std"/>
          <w:i/>
          <w:color w:val="000000"/>
        </w:rPr>
        <w:t>derecho</w:t>
      </w:r>
      <w:proofErr w:type="spellEnd"/>
      <w:r w:rsidRPr="007B76AC">
        <w:rPr>
          <w:rFonts w:ascii="Rotis Sans Serif Std" w:hAnsi="Rotis Sans Serif Std"/>
          <w:i/>
          <w:color w:val="000000"/>
        </w:rPr>
        <w:t xml:space="preserve"> de los </w:t>
      </w:r>
      <w:proofErr w:type="spellStart"/>
      <w:r w:rsidRPr="007B76AC">
        <w:rPr>
          <w:rFonts w:ascii="Rotis Sans Serif Std" w:hAnsi="Rotis Sans Serif Std"/>
          <w:i/>
          <w:color w:val="000000"/>
        </w:rPr>
        <w:t>trabajadores</w:t>
      </w:r>
      <w:proofErr w:type="spellEnd"/>
      <w:r w:rsidRPr="007B76AC">
        <w:rPr>
          <w:rFonts w:ascii="Rotis Sans Serif Std" w:hAnsi="Rotis Sans Serif Std"/>
          <w:i/>
          <w:color w:val="000000"/>
        </w:rPr>
        <w:t xml:space="preserve"> a no </w:t>
      </w:r>
      <w:proofErr w:type="spellStart"/>
      <w:r w:rsidRPr="007B76AC">
        <w:rPr>
          <w:rFonts w:ascii="Rotis Sans Serif Std" w:hAnsi="Rotis Sans Serif Std"/>
          <w:i/>
          <w:color w:val="000000"/>
        </w:rPr>
        <w:t>responder</w:t>
      </w:r>
      <w:proofErr w:type="spellEnd"/>
      <w:r w:rsidRPr="007B76AC">
        <w:rPr>
          <w:rFonts w:ascii="Rotis Sans Serif Std" w:hAnsi="Rotis Sans Serif Std"/>
          <w:i/>
          <w:color w:val="000000"/>
        </w:rPr>
        <w:t xml:space="preserve"> a los </w:t>
      </w:r>
      <w:proofErr w:type="spellStart"/>
      <w:r w:rsidRPr="007B76AC">
        <w:rPr>
          <w:rFonts w:ascii="Rotis Sans Serif Std" w:hAnsi="Rotis Sans Serif Std"/>
          <w:i/>
          <w:color w:val="000000"/>
        </w:rPr>
        <w:t>mails</w:t>
      </w:r>
      <w:proofErr w:type="spellEnd"/>
      <w:r w:rsidRPr="007B76AC">
        <w:rPr>
          <w:rFonts w:ascii="Rotis Sans Serif Std" w:hAnsi="Rotis Sans Serif Std"/>
          <w:i/>
          <w:color w:val="000000"/>
        </w:rPr>
        <w:t xml:space="preserve"> o </w:t>
      </w:r>
      <w:proofErr w:type="spellStart"/>
      <w:r w:rsidRPr="007B76AC">
        <w:rPr>
          <w:rFonts w:ascii="Rotis Sans Serif Std" w:hAnsi="Rotis Sans Serif Std"/>
          <w:i/>
          <w:color w:val="000000"/>
        </w:rPr>
        <w:t>mensajes</w:t>
      </w:r>
      <w:proofErr w:type="spellEnd"/>
      <w:r w:rsidRPr="007B76AC">
        <w:rPr>
          <w:rFonts w:ascii="Rotis Sans Serif Std" w:hAnsi="Rotis Sans Serif Std"/>
          <w:i/>
          <w:color w:val="000000"/>
        </w:rPr>
        <w:t xml:space="preserve"> </w:t>
      </w:r>
      <w:proofErr w:type="spellStart"/>
      <w:r w:rsidRPr="007B76AC">
        <w:rPr>
          <w:rFonts w:ascii="Rotis Sans Serif Std" w:hAnsi="Rotis Sans Serif Std"/>
          <w:i/>
          <w:color w:val="000000"/>
        </w:rPr>
        <w:t>profesionales</w:t>
      </w:r>
      <w:proofErr w:type="spellEnd"/>
      <w:r w:rsidRPr="007B76AC">
        <w:rPr>
          <w:rFonts w:ascii="Rotis Sans Serif Std" w:hAnsi="Rotis Sans Serif Std"/>
          <w:i/>
          <w:color w:val="000000"/>
        </w:rPr>
        <w:t xml:space="preserve"> </w:t>
      </w:r>
      <w:proofErr w:type="spellStart"/>
      <w:r w:rsidRPr="007B76AC">
        <w:rPr>
          <w:rFonts w:ascii="Rotis Sans Serif Std" w:hAnsi="Rotis Sans Serif Std"/>
          <w:i/>
          <w:color w:val="000000"/>
        </w:rPr>
        <w:t>fuera</w:t>
      </w:r>
      <w:proofErr w:type="spellEnd"/>
      <w:r w:rsidRPr="007B76AC">
        <w:rPr>
          <w:rFonts w:ascii="Rotis Sans Serif Std" w:hAnsi="Rotis Sans Serif Std"/>
          <w:i/>
          <w:color w:val="000000"/>
        </w:rPr>
        <w:t xml:space="preserve"> de </w:t>
      </w:r>
      <w:proofErr w:type="spellStart"/>
      <w:r w:rsidRPr="007B76AC">
        <w:rPr>
          <w:rFonts w:ascii="Rotis Sans Serif Std" w:hAnsi="Rotis Sans Serif Std"/>
          <w:i/>
          <w:color w:val="000000"/>
        </w:rPr>
        <w:t>su</w:t>
      </w:r>
      <w:proofErr w:type="spellEnd"/>
      <w:r w:rsidRPr="007B76AC">
        <w:rPr>
          <w:rFonts w:ascii="Rotis Sans Serif Std" w:hAnsi="Rotis Sans Serif Std"/>
          <w:i/>
          <w:color w:val="000000"/>
        </w:rPr>
        <w:t xml:space="preserve"> </w:t>
      </w:r>
      <w:proofErr w:type="spellStart"/>
      <w:r w:rsidRPr="007B76AC">
        <w:rPr>
          <w:rFonts w:ascii="Rotis Sans Serif Std" w:hAnsi="Rotis Sans Serif Std"/>
          <w:i/>
          <w:color w:val="000000"/>
        </w:rPr>
        <w:t>horario</w:t>
      </w:r>
      <w:proofErr w:type="spellEnd"/>
      <w:r w:rsidRPr="007B76AC">
        <w:rPr>
          <w:rFonts w:ascii="Rotis Sans Serif Std" w:hAnsi="Rotis Sans Serif Std"/>
          <w:i/>
          <w:color w:val="000000"/>
        </w:rPr>
        <w:t xml:space="preserve"> de </w:t>
      </w:r>
      <w:proofErr w:type="spellStart"/>
      <w:r w:rsidRPr="007B76AC">
        <w:rPr>
          <w:rFonts w:ascii="Rotis Sans Serif Std" w:hAnsi="Rotis Sans Serif Std"/>
          <w:i/>
          <w:color w:val="000000"/>
        </w:rPr>
        <w:t>trabajo</w:t>
      </w:r>
      <w:proofErr w:type="spellEnd"/>
      <w:r w:rsidRPr="007B76AC">
        <w:rPr>
          <w:rFonts w:ascii="Rotis Sans Serif Std" w:hAnsi="Rotis Sans Serif Std"/>
          <w:i/>
          <w:color w:val="000000"/>
        </w:rPr>
        <w:t>.”</w:t>
      </w:r>
    </w:p>
  </w:footnote>
  <w:footnote w:id="21">
    <w:p w:rsidR="00972EC4" w:rsidRPr="00C25718" w:rsidRDefault="00972EC4" w:rsidP="007C2A50">
      <w:pPr>
        <w:pStyle w:val="Textonotapie"/>
        <w:spacing w:line="480" w:lineRule="auto"/>
        <w:rPr>
          <w:rFonts w:ascii="Rotis Sans Serif Std" w:hAnsi="Rotis Sans Serif Std"/>
          <w:i/>
          <w:lang w:val="es-ES"/>
        </w:rPr>
      </w:pPr>
      <w:r w:rsidRPr="00C25718">
        <w:rPr>
          <w:rStyle w:val="Refdenotaalpie"/>
          <w:rFonts w:ascii="Rotis Sans Serif Std" w:hAnsi="Rotis Sans Serif Std"/>
        </w:rPr>
        <w:footnoteRef/>
      </w:r>
      <w:r w:rsidRPr="00C25718">
        <w:rPr>
          <w:rFonts w:ascii="Rotis Sans Serif Std" w:hAnsi="Rotis Sans Serif Std"/>
        </w:rPr>
        <w:t xml:space="preserve"> </w:t>
      </w:r>
      <w:r w:rsidRPr="00C25718">
        <w:rPr>
          <w:rFonts w:ascii="Rotis Sans Serif Std" w:hAnsi="Rotis Sans Serif Std"/>
          <w:lang w:val="es-ES"/>
        </w:rPr>
        <w:t xml:space="preserve">Informe CTESC </w:t>
      </w:r>
      <w:r w:rsidRPr="00C25718">
        <w:rPr>
          <w:rFonts w:ascii="Rotis Sans Serif Std" w:hAnsi="Rotis Sans Serif Std"/>
          <w:i/>
          <w:lang w:val="es-ES"/>
        </w:rPr>
        <w:t xml:space="preserve">“La </w:t>
      </w:r>
      <w:proofErr w:type="spellStart"/>
      <w:r w:rsidRPr="00C25718">
        <w:rPr>
          <w:rFonts w:ascii="Rotis Sans Serif Std" w:hAnsi="Rotis Sans Serif Std"/>
          <w:i/>
          <w:lang w:val="es-ES"/>
        </w:rPr>
        <w:t>gestió</w:t>
      </w:r>
      <w:proofErr w:type="spellEnd"/>
      <w:r w:rsidRPr="00C25718">
        <w:rPr>
          <w:rFonts w:ascii="Rotis Sans Serif Std" w:hAnsi="Rotis Sans Serif Std"/>
          <w:i/>
          <w:lang w:val="es-ES"/>
        </w:rPr>
        <w:t xml:space="preserve"> del </w:t>
      </w:r>
      <w:proofErr w:type="spellStart"/>
      <w:r w:rsidRPr="00C25718">
        <w:rPr>
          <w:rFonts w:ascii="Rotis Sans Serif Std" w:hAnsi="Rotis Sans Serif Std"/>
          <w:i/>
          <w:lang w:val="es-ES"/>
        </w:rPr>
        <w:t>temps</w:t>
      </w:r>
      <w:proofErr w:type="spellEnd"/>
      <w:r w:rsidRPr="00C25718">
        <w:rPr>
          <w:rFonts w:ascii="Rotis Sans Serif Std" w:hAnsi="Rotis Sans Serif Std"/>
          <w:i/>
          <w:lang w:val="es-ES"/>
        </w:rPr>
        <w:t xml:space="preserve"> de </w:t>
      </w:r>
      <w:proofErr w:type="spellStart"/>
      <w:r w:rsidRPr="00C25718">
        <w:rPr>
          <w:rFonts w:ascii="Rotis Sans Serif Std" w:hAnsi="Rotis Sans Serif Std"/>
          <w:i/>
          <w:lang w:val="es-ES"/>
        </w:rPr>
        <w:t>treball</w:t>
      </w:r>
      <w:proofErr w:type="spellEnd"/>
      <w:r w:rsidRPr="00C25718">
        <w:rPr>
          <w:rFonts w:ascii="Rotis Sans Serif Std" w:hAnsi="Rotis Sans Serif Std"/>
          <w:i/>
          <w:lang w:val="es-ES"/>
        </w:rPr>
        <w:t xml:space="preserve"> </w:t>
      </w:r>
      <w:proofErr w:type="spellStart"/>
      <w:r w:rsidRPr="00C25718">
        <w:rPr>
          <w:rFonts w:ascii="Rotis Sans Serif Std" w:hAnsi="Rotis Sans Serif Std"/>
          <w:i/>
          <w:lang w:val="es-ES"/>
        </w:rPr>
        <w:t>remunerat</w:t>
      </w:r>
      <w:proofErr w:type="spellEnd"/>
      <w:r w:rsidRPr="00C25718">
        <w:rPr>
          <w:rFonts w:ascii="Rotis Sans Serif Std" w:hAnsi="Rotis Sans Serif Std"/>
          <w:i/>
          <w:lang w:val="es-ES"/>
        </w:rPr>
        <w:t xml:space="preserve"> en el </w:t>
      </w:r>
      <w:proofErr w:type="spellStart"/>
      <w:r w:rsidRPr="00C25718">
        <w:rPr>
          <w:rFonts w:ascii="Rotis Sans Serif Std" w:hAnsi="Rotis Sans Serif Std"/>
          <w:i/>
          <w:lang w:val="es-ES"/>
        </w:rPr>
        <w:t>context</w:t>
      </w:r>
      <w:proofErr w:type="spellEnd"/>
      <w:r w:rsidRPr="00C25718">
        <w:rPr>
          <w:rFonts w:ascii="Rotis Sans Serif Std" w:hAnsi="Rotis Sans Serif Std"/>
          <w:i/>
          <w:lang w:val="es-ES"/>
        </w:rPr>
        <w:t xml:space="preserve"> de la Reforma Horària”.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C4" w:rsidRDefault="00972EC4" w:rsidP="003F3B71">
    <w:pPr>
      <w:pStyle w:val="Encabezado"/>
    </w:pPr>
    <w:r>
      <w:rPr>
        <w:noProof/>
        <w:lang w:val="es-ES" w:eastAsia="es-ES"/>
      </w:rPr>
      <mc:AlternateContent>
        <mc:Choice Requires="wps">
          <w:drawing>
            <wp:anchor distT="0" distB="0" distL="114300" distR="114300" simplePos="0" relativeHeight="251654656" behindDoc="0" locked="0" layoutInCell="0" allowOverlap="1" wp14:anchorId="0591927D" wp14:editId="3CAD731E">
              <wp:simplePos x="0" y="0"/>
              <wp:positionH relativeFrom="page">
                <wp:posOffset>6984365</wp:posOffset>
              </wp:positionH>
              <wp:positionV relativeFrom="margin">
                <wp:align>center</wp:align>
              </wp:positionV>
              <wp:extent cx="572135" cy="329565"/>
              <wp:effectExtent l="2540" t="0" r="0" b="3810"/>
              <wp:wrapNone/>
              <wp:docPr id="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EC4" w:rsidRPr="00403446" w:rsidRDefault="00972EC4">
                          <w:pPr>
                            <w:pBdr>
                              <w:bottom w:val="single" w:sz="4" w:space="1" w:color="auto"/>
                            </w:pBdr>
                            <w:rPr>
                              <w:rFonts w:ascii="Rotis Sans Serif Std" w:hAnsi="Rotis Sans Serif Std"/>
                            </w:rPr>
                          </w:pPr>
                          <w:r w:rsidRPr="00403446">
                            <w:rPr>
                              <w:rFonts w:ascii="Rotis Sans Serif Std" w:hAnsi="Rotis Sans Serif Std"/>
                            </w:rPr>
                            <w:fldChar w:fldCharType="begin"/>
                          </w:r>
                          <w:r w:rsidRPr="00403446">
                            <w:rPr>
                              <w:rFonts w:ascii="Rotis Sans Serif Std" w:hAnsi="Rotis Sans Serif Std"/>
                            </w:rPr>
                            <w:instrText>PAGE   \* MERGEFORMAT</w:instrText>
                          </w:r>
                          <w:r w:rsidRPr="00403446">
                            <w:rPr>
                              <w:rFonts w:ascii="Rotis Sans Serif Std" w:hAnsi="Rotis Sans Serif Std"/>
                            </w:rPr>
                            <w:fldChar w:fldCharType="separate"/>
                          </w:r>
                          <w:r w:rsidR="004213C1" w:rsidRPr="004213C1">
                            <w:rPr>
                              <w:rFonts w:ascii="Rotis Sans Serif Std" w:hAnsi="Rotis Sans Serif Std"/>
                              <w:noProof/>
                              <w:lang w:val="es-ES"/>
                            </w:rPr>
                            <w:t>63</w:t>
                          </w:r>
                          <w:r w:rsidRPr="00403446">
                            <w:rPr>
                              <w:rFonts w:ascii="Rotis Sans Serif Std" w:hAnsi="Rotis Sans Serif Std"/>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549.95pt;margin-top:0;width:45.05pt;height:25.95pt;z-index:251654656;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" o:allowincell="f" stroked="f">
              <v:textbox>
                <w:txbxContent>
                  <w:p w:rsidR="00972EC4" w:rsidRPr="00403446" w:rsidRDefault="00972EC4">
                    <w:pPr>
                      <w:pBdr>
                        <w:bottom w:val="single" w:sz="4" w:space="1" w:color="auto"/>
                      </w:pBdr>
                      <w:rPr>
                        <w:rFonts w:ascii="Rotis Sans Serif Std" w:hAnsi="Rotis Sans Serif Std"/>
                      </w:rPr>
                    </w:pPr>
                    <w:r w:rsidRPr="00403446">
                      <w:rPr>
                        <w:rFonts w:ascii="Rotis Sans Serif Std" w:hAnsi="Rotis Sans Serif Std"/>
                      </w:rPr>
                      <w:fldChar w:fldCharType="begin"/>
                    </w:r>
                    <w:r w:rsidRPr="00403446">
                      <w:rPr>
                        <w:rFonts w:ascii="Rotis Sans Serif Std" w:hAnsi="Rotis Sans Serif Std"/>
                      </w:rPr>
                      <w:instrText>PAGE   \* MERGEFORMAT</w:instrText>
                    </w:r>
                    <w:r w:rsidRPr="00403446">
                      <w:rPr>
                        <w:rFonts w:ascii="Rotis Sans Serif Std" w:hAnsi="Rotis Sans Serif Std"/>
                      </w:rPr>
                      <w:fldChar w:fldCharType="separate"/>
                    </w:r>
                    <w:r w:rsidR="004213C1" w:rsidRPr="004213C1">
                      <w:rPr>
                        <w:rFonts w:ascii="Rotis Sans Serif Std" w:hAnsi="Rotis Sans Serif Std"/>
                        <w:noProof/>
                        <w:lang w:val="es-ES"/>
                      </w:rPr>
                      <w:t>63</w:t>
                    </w:r>
                    <w:r w:rsidRPr="00403446">
                      <w:rPr>
                        <w:rFonts w:ascii="Rotis Sans Serif Std" w:hAnsi="Rotis Sans Serif Std"/>
                      </w:rPr>
                      <w:fldChar w:fldCharType="end"/>
                    </w:r>
                  </w:p>
                </w:txbxContent>
              </v:textbox>
              <w10:wrap anchorx="page" anchory="margin"/>
            </v:rect>
          </w:pict>
        </mc:Fallback>
      </mc:AlternateContent>
    </w:r>
    <w:r>
      <w:rPr>
        <w:noProof/>
        <w:lang w:val="es-ES" w:eastAsia="es-ES"/>
      </w:rPr>
      <mc:AlternateContent>
        <mc:Choice Requires="wps">
          <w:drawing>
            <wp:anchor distT="0" distB="0" distL="114300" distR="114300" simplePos="0" relativeHeight="251655680" behindDoc="0" locked="0" layoutInCell="1" allowOverlap="1" wp14:anchorId="65261818" wp14:editId="01773487">
              <wp:simplePos x="0" y="0"/>
              <wp:positionH relativeFrom="column">
                <wp:posOffset>269875</wp:posOffset>
              </wp:positionH>
              <wp:positionV relativeFrom="paragraph">
                <wp:posOffset>15240</wp:posOffset>
              </wp:positionV>
              <wp:extent cx="4518025" cy="558800"/>
              <wp:effectExtent l="0" t="0" r="15875" b="1270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EC4" w:rsidRPr="001D339B" w:rsidRDefault="00972EC4" w:rsidP="003F3B71">
                          <w:pPr>
                            <w:spacing w:line="240" w:lineRule="atLeast"/>
                            <w:rPr>
                              <w:rFonts w:ascii="Rotis Sans Serif Std" w:hAnsi="Rotis Sans Serif Std"/>
                              <w:sz w:val="28"/>
                              <w:szCs w:val="32"/>
                            </w:rPr>
                          </w:pPr>
                          <w:r w:rsidRPr="001D339B">
                            <w:rPr>
                              <w:rFonts w:ascii="Rotis Sans Serif Std" w:hAnsi="Rotis Sans Serif Std"/>
                              <w:sz w:val="28"/>
                              <w:szCs w:val="32"/>
                            </w:rPr>
                            <w:t>Foment Anali</w:t>
                          </w:r>
                          <w:r>
                            <w:rPr>
                              <w:rFonts w:ascii="Rotis Sans Serif Std" w:hAnsi="Rotis Sans Serif Std"/>
                              <w:sz w:val="28"/>
                              <w:szCs w:val="32"/>
                            </w:rPr>
                            <w:t>t</w:t>
                          </w:r>
                          <w:r w:rsidRPr="001D339B">
                            <w:rPr>
                              <w:rFonts w:ascii="Rotis Sans Serif Std" w:hAnsi="Rotis Sans Serif Std"/>
                              <w:sz w:val="28"/>
                              <w:szCs w:val="32"/>
                            </w:rPr>
                            <w:t xml:space="preserve">za </w:t>
                          </w:r>
                        </w:p>
                        <w:p w:rsidR="00972EC4" w:rsidRDefault="00972EC4" w:rsidP="003F3B71">
                          <w:pPr>
                            <w:spacing w:line="240" w:lineRule="atLeast"/>
                            <w:rPr>
                              <w:rFonts w:ascii="Rotis Sans Serif Std" w:hAnsi="Rotis Sans Serif Std"/>
                              <w:color w:val="C1002B"/>
                              <w:sz w:val="28"/>
                              <w:szCs w:val="32"/>
                            </w:rPr>
                          </w:pPr>
                          <w:r>
                            <w:rPr>
                              <w:rFonts w:ascii="Rotis Sans Serif Std" w:hAnsi="Rotis Sans Serif Std"/>
                              <w:color w:val="C1002B"/>
                              <w:sz w:val="28"/>
                              <w:szCs w:val="32"/>
                            </w:rPr>
                            <w:t xml:space="preserve">Informe del Mercat Laboral i Negociació Col·lectiva </w:t>
                          </w:r>
                        </w:p>
                        <w:p w:rsidR="00972EC4" w:rsidRPr="000C7AC3" w:rsidRDefault="00972EC4" w:rsidP="003F3B71">
                          <w:pPr>
                            <w:spacing w:line="240" w:lineRule="atLeast"/>
                            <w:rPr>
                              <w:rFonts w:ascii="Rotis Sans Serif Std" w:hAnsi="Rotis Sans Serif Std"/>
                              <w:color w:val="C1002B"/>
                              <w:sz w:val="28"/>
                              <w:szCs w:val="32"/>
                            </w:rPr>
                          </w:pPr>
                        </w:p>
                        <w:p w:rsidR="00972EC4" w:rsidRPr="00490D4B" w:rsidRDefault="00972EC4" w:rsidP="003F3B71">
                          <w:pPr>
                            <w:rPr>
                              <w:rFonts w:ascii="Rotis SemiSerif Std" w:hAnsi="Rotis SemiSerif Std"/>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21.25pt;margin-top:1.2pt;width:355.75pt;height: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" filled="f" stroked="f">
              <v:textbox inset="0,0,0,0">
                <w:txbxContent>
                  <w:p w:rsidR="00972EC4" w:rsidRPr="001D339B" w:rsidRDefault="00972EC4" w:rsidP="003F3B71">
                    <w:pPr>
                      <w:spacing w:line="240" w:lineRule="atLeast"/>
                      <w:rPr>
                        <w:rFonts w:ascii="Rotis Sans Serif Std" w:hAnsi="Rotis Sans Serif Std"/>
                        <w:sz w:val="28"/>
                        <w:szCs w:val="32"/>
                      </w:rPr>
                    </w:pPr>
                    <w:r w:rsidRPr="001D339B">
                      <w:rPr>
                        <w:rFonts w:ascii="Rotis Sans Serif Std" w:hAnsi="Rotis Sans Serif Std"/>
                        <w:sz w:val="28"/>
                        <w:szCs w:val="32"/>
                      </w:rPr>
                      <w:t>Foment Anali</w:t>
                    </w:r>
                    <w:r>
                      <w:rPr>
                        <w:rFonts w:ascii="Rotis Sans Serif Std" w:hAnsi="Rotis Sans Serif Std"/>
                        <w:sz w:val="28"/>
                        <w:szCs w:val="32"/>
                      </w:rPr>
                      <w:t>t</w:t>
                    </w:r>
                    <w:r w:rsidRPr="001D339B">
                      <w:rPr>
                        <w:rFonts w:ascii="Rotis Sans Serif Std" w:hAnsi="Rotis Sans Serif Std"/>
                        <w:sz w:val="28"/>
                        <w:szCs w:val="32"/>
                      </w:rPr>
                      <w:t xml:space="preserve">za </w:t>
                    </w:r>
                  </w:p>
                  <w:p w:rsidR="00972EC4" w:rsidRDefault="00972EC4" w:rsidP="003F3B71">
                    <w:pPr>
                      <w:spacing w:line="240" w:lineRule="atLeast"/>
                      <w:rPr>
                        <w:rFonts w:ascii="Rotis Sans Serif Std" w:hAnsi="Rotis Sans Serif Std"/>
                        <w:color w:val="C1002B"/>
                        <w:sz w:val="28"/>
                        <w:szCs w:val="32"/>
                      </w:rPr>
                    </w:pPr>
                    <w:r>
                      <w:rPr>
                        <w:rFonts w:ascii="Rotis Sans Serif Std" w:hAnsi="Rotis Sans Serif Std"/>
                        <w:color w:val="C1002B"/>
                        <w:sz w:val="28"/>
                        <w:szCs w:val="32"/>
                      </w:rPr>
                      <w:t xml:space="preserve">Informe del Mercat Laboral i Negociació Col·lectiva </w:t>
                    </w:r>
                  </w:p>
                  <w:p w:rsidR="00972EC4" w:rsidRPr="000C7AC3" w:rsidRDefault="00972EC4" w:rsidP="003F3B71">
                    <w:pPr>
                      <w:spacing w:line="240" w:lineRule="atLeast"/>
                      <w:rPr>
                        <w:rFonts w:ascii="Rotis Sans Serif Std" w:hAnsi="Rotis Sans Serif Std"/>
                        <w:color w:val="C1002B"/>
                        <w:sz w:val="28"/>
                        <w:szCs w:val="32"/>
                      </w:rPr>
                    </w:pPr>
                  </w:p>
                  <w:p w:rsidR="00972EC4" w:rsidRPr="00490D4B" w:rsidRDefault="00972EC4" w:rsidP="003F3B71">
                    <w:pPr>
                      <w:rPr>
                        <w:rFonts w:ascii="Rotis SemiSerif Std" w:hAnsi="Rotis SemiSerif Std"/>
                        <w:sz w:val="36"/>
                        <w:szCs w:val="36"/>
                      </w:rPr>
                    </w:pPr>
                  </w:p>
                </w:txbxContent>
              </v:textbox>
            </v:shape>
          </w:pict>
        </mc:Fallback>
      </mc:AlternateContent>
    </w:r>
    <w:r>
      <w:rPr>
        <w:noProof/>
        <w:lang w:val="es-ES" w:eastAsia="es-ES"/>
      </w:rPr>
      <w:drawing>
        <wp:anchor distT="0" distB="0" distL="114300" distR="114300" simplePos="0" relativeHeight="251657728" behindDoc="1" locked="0" layoutInCell="1" allowOverlap="1" wp14:anchorId="5526D06B" wp14:editId="4D168D9C">
          <wp:simplePos x="0" y="0"/>
          <wp:positionH relativeFrom="column">
            <wp:posOffset>4873625</wp:posOffset>
          </wp:positionH>
          <wp:positionV relativeFrom="paragraph">
            <wp:posOffset>-50165</wp:posOffset>
          </wp:positionV>
          <wp:extent cx="1107440" cy="657225"/>
          <wp:effectExtent l="0" t="0" r="0" b="9525"/>
          <wp:wrapTight wrapText="bothSides">
            <wp:wrapPolygon edited="0">
              <wp:start x="0" y="0"/>
              <wp:lineTo x="0" y="21287"/>
              <wp:lineTo x="21179" y="21287"/>
              <wp:lineTo x="21179" y="0"/>
              <wp:lineTo x="0" y="0"/>
            </wp:wrapPolygon>
          </wp:wrapTight>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6572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6704" behindDoc="0" locked="0" layoutInCell="1" allowOverlap="1" wp14:anchorId="75437ED2" wp14:editId="396546BC">
              <wp:simplePos x="0" y="0"/>
              <wp:positionH relativeFrom="column">
                <wp:posOffset>-79375</wp:posOffset>
              </wp:positionH>
              <wp:positionV relativeFrom="paragraph">
                <wp:posOffset>-57150</wp:posOffset>
              </wp:positionV>
              <wp:extent cx="228600" cy="571500"/>
              <wp:effectExtent l="0"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rect">
                        <a:avLst/>
                      </a:prstGeom>
                      <a:solidFill>
                        <a:srgbClr val="C1002B"/>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25pt;margin-top:-4.5pt;width:18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" fillcolor="#c1002b" stroked="f"/>
          </w:pict>
        </mc:Fallback>
      </mc:AlternateContent>
    </w:r>
  </w:p>
  <w:p w:rsidR="00972EC4" w:rsidRDefault="00972EC4" w:rsidP="003F3B71">
    <w:pPr>
      <w:pStyle w:val="Encabezado"/>
    </w:pPr>
  </w:p>
  <w:p w:rsidR="00972EC4" w:rsidRDefault="00972EC4" w:rsidP="003F3B71">
    <w:pPr>
      <w:pStyle w:val="Encabezado"/>
    </w:pPr>
  </w:p>
  <w:p w:rsidR="00972EC4" w:rsidRDefault="00972EC4" w:rsidP="003F3B71">
    <w:pPr>
      <w:pStyle w:val="Encabezado"/>
    </w:pPr>
    <w:r>
      <w:rPr>
        <w:noProof/>
        <w:lang w:val="es-ES" w:eastAsia="es-ES"/>
      </w:rPr>
      <mc:AlternateContent>
        <mc:Choice Requires="wps">
          <w:drawing>
            <wp:anchor distT="4294967293" distB="4294967293" distL="114300" distR="114300" simplePos="0" relativeHeight="251658752" behindDoc="0" locked="0" layoutInCell="1" allowOverlap="1" wp14:anchorId="7D576B4A" wp14:editId="1DBC03A6">
              <wp:simplePos x="0" y="0"/>
              <wp:positionH relativeFrom="column">
                <wp:posOffset>-79375</wp:posOffset>
              </wp:positionH>
              <wp:positionV relativeFrom="paragraph">
                <wp:posOffset>146684</wp:posOffset>
              </wp:positionV>
              <wp:extent cx="6060440" cy="0"/>
              <wp:effectExtent l="0" t="0" r="16510" b="19050"/>
              <wp:wrapTight wrapText="bothSides">
                <wp:wrapPolygon edited="0">
                  <wp:start x="0" y="-1"/>
                  <wp:lineTo x="0" y="-1"/>
                  <wp:lineTo x="21591" y="-1"/>
                  <wp:lineTo x="21591" y="-1"/>
                  <wp:lineTo x="0" y="-1"/>
                </wp:wrapPolygon>
              </wp:wrapTight>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440" cy="0"/>
                      </a:xfrm>
                      <a:prstGeom prst="line">
                        <a:avLst/>
                      </a:prstGeom>
                      <a:noFill/>
                      <a:ln w="3175">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5pt,11.55pt" to="470.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" strokecolor="#bfbfbf" strokeweight=".25pt">
              <v:shadow opacity="0" origin=",.5" offset="0,0"/>
              <w10:wrap type="tigh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CBB"/>
    <w:multiLevelType w:val="hybridMultilevel"/>
    <w:tmpl w:val="EAB83E16"/>
    <w:lvl w:ilvl="0" w:tplc="8F9E4466">
      <w:start w:val="1"/>
      <w:numFmt w:val="bullet"/>
      <w:lvlText w:val="-"/>
      <w:lvlJc w:val="left"/>
      <w:pPr>
        <w:ind w:left="720" w:hanging="360"/>
      </w:pPr>
      <w:rPr>
        <w:rFonts w:ascii="Courier New" w:hAnsi="Courier New" w:hint="default"/>
        <w:color w:val="C1002B"/>
        <w:u w:color="C1002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3C4E17"/>
    <w:multiLevelType w:val="hybridMultilevel"/>
    <w:tmpl w:val="192C1190"/>
    <w:lvl w:ilvl="0" w:tplc="5B7E5C8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B9354D"/>
    <w:multiLevelType w:val="multilevel"/>
    <w:tmpl w:val="31F85F08"/>
    <w:lvl w:ilvl="0">
      <w:start w:val="2"/>
      <w:numFmt w:val="decimal"/>
      <w:lvlText w:val="%1."/>
      <w:lvlJc w:val="left"/>
      <w:pPr>
        <w:ind w:left="390" w:hanging="390"/>
      </w:pPr>
      <w:rPr>
        <w:rFonts w:cs="Times New Roman" w:hint="default"/>
        <w:color w:val="C00000"/>
      </w:rPr>
    </w:lvl>
    <w:lvl w:ilvl="1">
      <w:start w:val="2"/>
      <w:numFmt w:val="decimal"/>
      <w:lvlText w:val="%1.%2."/>
      <w:lvlJc w:val="left"/>
      <w:pPr>
        <w:ind w:left="1004" w:hanging="720"/>
      </w:pPr>
      <w:rPr>
        <w:rFonts w:cs="Times New Roman" w:hint="default"/>
        <w:color w:val="C00000"/>
      </w:rPr>
    </w:lvl>
    <w:lvl w:ilvl="2">
      <w:start w:val="1"/>
      <w:numFmt w:val="decimal"/>
      <w:lvlText w:val="%1.%2.%3."/>
      <w:lvlJc w:val="left"/>
      <w:pPr>
        <w:ind w:left="7809" w:hanging="720"/>
      </w:pPr>
      <w:rPr>
        <w:rFonts w:cs="Times New Roman" w:hint="default"/>
        <w:color w:val="C00000"/>
      </w:rPr>
    </w:lvl>
    <w:lvl w:ilvl="3">
      <w:start w:val="1"/>
      <w:numFmt w:val="decimal"/>
      <w:lvlText w:val="%1.%2.%3.%4."/>
      <w:lvlJc w:val="left"/>
      <w:pPr>
        <w:ind w:left="1932" w:hanging="1080"/>
      </w:pPr>
      <w:rPr>
        <w:rFonts w:cs="Times New Roman" w:hint="default"/>
        <w:color w:val="C00000"/>
      </w:rPr>
    </w:lvl>
    <w:lvl w:ilvl="4">
      <w:start w:val="1"/>
      <w:numFmt w:val="decimal"/>
      <w:lvlText w:val="%1.%2.%3.%4.%5."/>
      <w:lvlJc w:val="left"/>
      <w:pPr>
        <w:ind w:left="2216" w:hanging="1080"/>
      </w:pPr>
      <w:rPr>
        <w:rFonts w:cs="Times New Roman" w:hint="default"/>
        <w:color w:val="C00000"/>
      </w:rPr>
    </w:lvl>
    <w:lvl w:ilvl="5">
      <w:start w:val="1"/>
      <w:numFmt w:val="decimal"/>
      <w:lvlText w:val="%1.%2.%3.%4.%5.%6."/>
      <w:lvlJc w:val="left"/>
      <w:pPr>
        <w:ind w:left="2860" w:hanging="1440"/>
      </w:pPr>
      <w:rPr>
        <w:rFonts w:cs="Times New Roman" w:hint="default"/>
        <w:color w:val="C00000"/>
      </w:rPr>
    </w:lvl>
    <w:lvl w:ilvl="6">
      <w:start w:val="1"/>
      <w:numFmt w:val="decimal"/>
      <w:lvlText w:val="%1.%2.%3.%4.%5.%6.%7."/>
      <w:lvlJc w:val="left"/>
      <w:pPr>
        <w:ind w:left="3144" w:hanging="1440"/>
      </w:pPr>
      <w:rPr>
        <w:rFonts w:cs="Times New Roman" w:hint="default"/>
        <w:color w:val="C00000"/>
      </w:rPr>
    </w:lvl>
    <w:lvl w:ilvl="7">
      <w:start w:val="1"/>
      <w:numFmt w:val="decimal"/>
      <w:lvlText w:val="%1.%2.%3.%4.%5.%6.%7.%8."/>
      <w:lvlJc w:val="left"/>
      <w:pPr>
        <w:ind w:left="3788" w:hanging="1800"/>
      </w:pPr>
      <w:rPr>
        <w:rFonts w:cs="Times New Roman" w:hint="default"/>
        <w:color w:val="C00000"/>
      </w:rPr>
    </w:lvl>
    <w:lvl w:ilvl="8">
      <w:start w:val="1"/>
      <w:numFmt w:val="decimal"/>
      <w:lvlText w:val="%1.%2.%3.%4.%5.%6.%7.%8.%9."/>
      <w:lvlJc w:val="left"/>
      <w:pPr>
        <w:ind w:left="4432" w:hanging="2160"/>
      </w:pPr>
      <w:rPr>
        <w:rFonts w:cs="Times New Roman" w:hint="default"/>
        <w:color w:val="C00000"/>
      </w:rPr>
    </w:lvl>
  </w:abstractNum>
  <w:abstractNum w:abstractNumId="3">
    <w:nsid w:val="0A0D4722"/>
    <w:multiLevelType w:val="hybridMultilevel"/>
    <w:tmpl w:val="1A9E83DE"/>
    <w:lvl w:ilvl="0" w:tplc="3632988A">
      <w:start w:val="1"/>
      <w:numFmt w:val="bullet"/>
      <w:lvlText w:val=""/>
      <w:lvlJc w:val="left"/>
      <w:pPr>
        <w:ind w:left="720" w:hanging="360"/>
      </w:pPr>
      <w:rPr>
        <w:rFonts w:ascii="Symbol" w:hAnsi="Symbol" w:hint="default"/>
        <w:color w:val="C00000"/>
      </w:rPr>
    </w:lvl>
    <w:lvl w:ilvl="1" w:tplc="AFDAD03C">
      <w:start w:val="1"/>
      <w:numFmt w:val="bullet"/>
      <w:lvlText w:val=""/>
      <w:lvlJc w:val="left"/>
      <w:pPr>
        <w:ind w:left="1440" w:hanging="360"/>
      </w:pPr>
      <w:rPr>
        <w:rFonts w:ascii="Wingdings" w:hAnsi="Wingdings" w:hint="default"/>
        <w:color w:val="C00000"/>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DE6BFE"/>
    <w:multiLevelType w:val="hybridMultilevel"/>
    <w:tmpl w:val="60842866"/>
    <w:lvl w:ilvl="0" w:tplc="3632988A">
      <w:start w:val="1"/>
      <w:numFmt w:val="bullet"/>
      <w:lvlText w:val=""/>
      <w:lvlJc w:val="left"/>
      <w:pPr>
        <w:ind w:left="72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F42F04"/>
    <w:multiLevelType w:val="hybridMultilevel"/>
    <w:tmpl w:val="E5408A94"/>
    <w:lvl w:ilvl="0" w:tplc="B1ACA88A">
      <w:start w:val="1"/>
      <w:numFmt w:val="bullet"/>
      <w:lvlText w:val=""/>
      <w:lvlJc w:val="left"/>
      <w:pPr>
        <w:tabs>
          <w:tab w:val="num" w:pos="720"/>
        </w:tabs>
        <w:ind w:left="720" w:hanging="360"/>
      </w:pPr>
      <w:rPr>
        <w:rFonts w:ascii="Wingdings" w:hAnsi="Wingdings" w:hint="default"/>
      </w:rPr>
    </w:lvl>
    <w:lvl w:ilvl="1" w:tplc="2B388BD2">
      <w:start w:val="1"/>
      <w:numFmt w:val="bullet"/>
      <w:lvlText w:val=""/>
      <w:lvlJc w:val="left"/>
      <w:pPr>
        <w:tabs>
          <w:tab w:val="num" w:pos="1440"/>
        </w:tabs>
        <w:ind w:left="1440" w:hanging="360"/>
      </w:pPr>
      <w:rPr>
        <w:rFonts w:ascii="Wingdings" w:hAnsi="Wingdings" w:hint="default"/>
      </w:rPr>
    </w:lvl>
    <w:lvl w:ilvl="2" w:tplc="A32EC08C" w:tentative="1">
      <w:start w:val="1"/>
      <w:numFmt w:val="bullet"/>
      <w:lvlText w:val=""/>
      <w:lvlJc w:val="left"/>
      <w:pPr>
        <w:tabs>
          <w:tab w:val="num" w:pos="2160"/>
        </w:tabs>
        <w:ind w:left="2160" w:hanging="360"/>
      </w:pPr>
      <w:rPr>
        <w:rFonts w:ascii="Wingdings" w:hAnsi="Wingdings" w:hint="default"/>
      </w:rPr>
    </w:lvl>
    <w:lvl w:ilvl="3" w:tplc="2D98ABF2" w:tentative="1">
      <w:start w:val="1"/>
      <w:numFmt w:val="bullet"/>
      <w:lvlText w:val=""/>
      <w:lvlJc w:val="left"/>
      <w:pPr>
        <w:tabs>
          <w:tab w:val="num" w:pos="2880"/>
        </w:tabs>
        <w:ind w:left="2880" w:hanging="360"/>
      </w:pPr>
      <w:rPr>
        <w:rFonts w:ascii="Wingdings" w:hAnsi="Wingdings" w:hint="default"/>
      </w:rPr>
    </w:lvl>
    <w:lvl w:ilvl="4" w:tplc="0B16CECE" w:tentative="1">
      <w:start w:val="1"/>
      <w:numFmt w:val="bullet"/>
      <w:lvlText w:val=""/>
      <w:lvlJc w:val="left"/>
      <w:pPr>
        <w:tabs>
          <w:tab w:val="num" w:pos="3600"/>
        </w:tabs>
        <w:ind w:left="3600" w:hanging="360"/>
      </w:pPr>
      <w:rPr>
        <w:rFonts w:ascii="Wingdings" w:hAnsi="Wingdings" w:hint="default"/>
      </w:rPr>
    </w:lvl>
    <w:lvl w:ilvl="5" w:tplc="6638F452" w:tentative="1">
      <w:start w:val="1"/>
      <w:numFmt w:val="bullet"/>
      <w:lvlText w:val=""/>
      <w:lvlJc w:val="left"/>
      <w:pPr>
        <w:tabs>
          <w:tab w:val="num" w:pos="4320"/>
        </w:tabs>
        <w:ind w:left="4320" w:hanging="360"/>
      </w:pPr>
      <w:rPr>
        <w:rFonts w:ascii="Wingdings" w:hAnsi="Wingdings" w:hint="default"/>
      </w:rPr>
    </w:lvl>
    <w:lvl w:ilvl="6" w:tplc="931E4B80" w:tentative="1">
      <w:start w:val="1"/>
      <w:numFmt w:val="bullet"/>
      <w:lvlText w:val=""/>
      <w:lvlJc w:val="left"/>
      <w:pPr>
        <w:tabs>
          <w:tab w:val="num" w:pos="5040"/>
        </w:tabs>
        <w:ind w:left="5040" w:hanging="360"/>
      </w:pPr>
      <w:rPr>
        <w:rFonts w:ascii="Wingdings" w:hAnsi="Wingdings" w:hint="default"/>
      </w:rPr>
    </w:lvl>
    <w:lvl w:ilvl="7" w:tplc="F416AC66" w:tentative="1">
      <w:start w:val="1"/>
      <w:numFmt w:val="bullet"/>
      <w:lvlText w:val=""/>
      <w:lvlJc w:val="left"/>
      <w:pPr>
        <w:tabs>
          <w:tab w:val="num" w:pos="5760"/>
        </w:tabs>
        <w:ind w:left="5760" w:hanging="360"/>
      </w:pPr>
      <w:rPr>
        <w:rFonts w:ascii="Wingdings" w:hAnsi="Wingdings" w:hint="default"/>
      </w:rPr>
    </w:lvl>
    <w:lvl w:ilvl="8" w:tplc="48DA584C" w:tentative="1">
      <w:start w:val="1"/>
      <w:numFmt w:val="bullet"/>
      <w:lvlText w:val=""/>
      <w:lvlJc w:val="left"/>
      <w:pPr>
        <w:tabs>
          <w:tab w:val="num" w:pos="6480"/>
        </w:tabs>
        <w:ind w:left="6480" w:hanging="360"/>
      </w:pPr>
      <w:rPr>
        <w:rFonts w:ascii="Wingdings" w:hAnsi="Wingdings" w:hint="default"/>
      </w:rPr>
    </w:lvl>
  </w:abstractNum>
  <w:abstractNum w:abstractNumId="6">
    <w:nsid w:val="0D0E7CDB"/>
    <w:multiLevelType w:val="hybridMultilevel"/>
    <w:tmpl w:val="EC9A8F1C"/>
    <w:lvl w:ilvl="0" w:tplc="0C0A0017">
      <w:start w:val="1"/>
      <w:numFmt w:val="lowerLetter"/>
      <w:lvlText w:val="%1)"/>
      <w:lvlJc w:val="left"/>
      <w:pPr>
        <w:ind w:left="2203" w:hanging="360"/>
      </w:pPr>
      <w:rPr>
        <w:rFonts w:cs="Times New Roman" w:hint="default"/>
        <w:b/>
      </w:rPr>
    </w:lvl>
    <w:lvl w:ilvl="1" w:tplc="0C0A0019" w:tentative="1">
      <w:start w:val="1"/>
      <w:numFmt w:val="lowerLetter"/>
      <w:lvlText w:val="%2."/>
      <w:lvlJc w:val="left"/>
      <w:pPr>
        <w:ind w:left="2923" w:hanging="360"/>
      </w:pPr>
      <w:rPr>
        <w:rFonts w:cs="Times New Roman"/>
      </w:rPr>
    </w:lvl>
    <w:lvl w:ilvl="2" w:tplc="0C0A001B" w:tentative="1">
      <w:start w:val="1"/>
      <w:numFmt w:val="lowerRoman"/>
      <w:lvlText w:val="%3."/>
      <w:lvlJc w:val="right"/>
      <w:pPr>
        <w:ind w:left="3643" w:hanging="180"/>
      </w:pPr>
      <w:rPr>
        <w:rFonts w:cs="Times New Roman"/>
      </w:rPr>
    </w:lvl>
    <w:lvl w:ilvl="3" w:tplc="0C0A000F" w:tentative="1">
      <w:start w:val="1"/>
      <w:numFmt w:val="decimal"/>
      <w:lvlText w:val="%4."/>
      <w:lvlJc w:val="left"/>
      <w:pPr>
        <w:ind w:left="4363" w:hanging="360"/>
      </w:pPr>
      <w:rPr>
        <w:rFonts w:cs="Times New Roman"/>
      </w:rPr>
    </w:lvl>
    <w:lvl w:ilvl="4" w:tplc="0C0A0019" w:tentative="1">
      <w:start w:val="1"/>
      <w:numFmt w:val="lowerLetter"/>
      <w:lvlText w:val="%5."/>
      <w:lvlJc w:val="left"/>
      <w:pPr>
        <w:ind w:left="5083" w:hanging="360"/>
      </w:pPr>
      <w:rPr>
        <w:rFonts w:cs="Times New Roman"/>
      </w:rPr>
    </w:lvl>
    <w:lvl w:ilvl="5" w:tplc="0C0A001B" w:tentative="1">
      <w:start w:val="1"/>
      <w:numFmt w:val="lowerRoman"/>
      <w:lvlText w:val="%6."/>
      <w:lvlJc w:val="right"/>
      <w:pPr>
        <w:ind w:left="5803" w:hanging="180"/>
      </w:pPr>
      <w:rPr>
        <w:rFonts w:cs="Times New Roman"/>
      </w:rPr>
    </w:lvl>
    <w:lvl w:ilvl="6" w:tplc="0C0A000F" w:tentative="1">
      <w:start w:val="1"/>
      <w:numFmt w:val="decimal"/>
      <w:lvlText w:val="%7."/>
      <w:lvlJc w:val="left"/>
      <w:pPr>
        <w:ind w:left="6523" w:hanging="360"/>
      </w:pPr>
      <w:rPr>
        <w:rFonts w:cs="Times New Roman"/>
      </w:rPr>
    </w:lvl>
    <w:lvl w:ilvl="7" w:tplc="0C0A0019" w:tentative="1">
      <w:start w:val="1"/>
      <w:numFmt w:val="lowerLetter"/>
      <w:lvlText w:val="%8."/>
      <w:lvlJc w:val="left"/>
      <w:pPr>
        <w:ind w:left="7243" w:hanging="360"/>
      </w:pPr>
      <w:rPr>
        <w:rFonts w:cs="Times New Roman"/>
      </w:rPr>
    </w:lvl>
    <w:lvl w:ilvl="8" w:tplc="0C0A001B" w:tentative="1">
      <w:start w:val="1"/>
      <w:numFmt w:val="lowerRoman"/>
      <w:lvlText w:val="%9."/>
      <w:lvlJc w:val="right"/>
      <w:pPr>
        <w:ind w:left="7963" w:hanging="180"/>
      </w:pPr>
      <w:rPr>
        <w:rFonts w:cs="Times New Roman"/>
      </w:rPr>
    </w:lvl>
  </w:abstractNum>
  <w:abstractNum w:abstractNumId="7">
    <w:nsid w:val="0DDD1038"/>
    <w:multiLevelType w:val="hybridMultilevel"/>
    <w:tmpl w:val="008C7834"/>
    <w:lvl w:ilvl="0" w:tplc="3632988A">
      <w:start w:val="1"/>
      <w:numFmt w:val="bullet"/>
      <w:lvlText w:val=""/>
      <w:lvlJc w:val="left"/>
      <w:pPr>
        <w:ind w:left="1070" w:hanging="360"/>
      </w:pPr>
      <w:rPr>
        <w:rFonts w:ascii="Symbol" w:hAnsi="Symbol" w:hint="default"/>
        <w:color w:val="C00000"/>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nsid w:val="18326B0B"/>
    <w:multiLevelType w:val="hybridMultilevel"/>
    <w:tmpl w:val="9BE421C8"/>
    <w:lvl w:ilvl="0" w:tplc="BB08A3B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184124F6"/>
    <w:multiLevelType w:val="hybridMultilevel"/>
    <w:tmpl w:val="1EAE3C72"/>
    <w:lvl w:ilvl="0" w:tplc="3632988A">
      <w:start w:val="1"/>
      <w:numFmt w:val="bullet"/>
      <w:lvlText w:val=""/>
      <w:lvlJc w:val="left"/>
      <w:pPr>
        <w:tabs>
          <w:tab w:val="num" w:pos="720"/>
        </w:tabs>
        <w:ind w:left="720" w:hanging="360"/>
      </w:pPr>
      <w:rPr>
        <w:rFonts w:ascii="Symbol" w:hAnsi="Symbol" w:hint="default"/>
        <w:color w:val="C00000"/>
      </w:rPr>
    </w:lvl>
    <w:lvl w:ilvl="1" w:tplc="396075CA">
      <w:start w:val="1"/>
      <w:numFmt w:val="bullet"/>
      <w:lvlText w:val=""/>
      <w:lvlJc w:val="left"/>
      <w:pPr>
        <w:tabs>
          <w:tab w:val="num" w:pos="1440"/>
        </w:tabs>
        <w:ind w:left="1440" w:hanging="360"/>
      </w:pPr>
      <w:rPr>
        <w:rFonts w:ascii="Symbol" w:hAnsi="Symbol" w:hint="default"/>
        <w:color w:val="C00000"/>
      </w:rPr>
    </w:lvl>
    <w:lvl w:ilvl="2" w:tplc="2B4EAB56" w:tentative="1">
      <w:start w:val="1"/>
      <w:numFmt w:val="bullet"/>
      <w:lvlText w:val=""/>
      <w:lvlJc w:val="left"/>
      <w:pPr>
        <w:tabs>
          <w:tab w:val="num" w:pos="2160"/>
        </w:tabs>
        <w:ind w:left="2160" w:hanging="360"/>
      </w:pPr>
      <w:rPr>
        <w:rFonts w:ascii="Wingdings" w:hAnsi="Wingdings" w:hint="default"/>
      </w:rPr>
    </w:lvl>
    <w:lvl w:ilvl="3" w:tplc="8BE2EDBE" w:tentative="1">
      <w:start w:val="1"/>
      <w:numFmt w:val="bullet"/>
      <w:lvlText w:val=""/>
      <w:lvlJc w:val="left"/>
      <w:pPr>
        <w:tabs>
          <w:tab w:val="num" w:pos="2880"/>
        </w:tabs>
        <w:ind w:left="2880" w:hanging="360"/>
      </w:pPr>
      <w:rPr>
        <w:rFonts w:ascii="Wingdings" w:hAnsi="Wingdings" w:hint="default"/>
      </w:rPr>
    </w:lvl>
    <w:lvl w:ilvl="4" w:tplc="323C9100" w:tentative="1">
      <w:start w:val="1"/>
      <w:numFmt w:val="bullet"/>
      <w:lvlText w:val=""/>
      <w:lvlJc w:val="left"/>
      <w:pPr>
        <w:tabs>
          <w:tab w:val="num" w:pos="3600"/>
        </w:tabs>
        <w:ind w:left="3600" w:hanging="360"/>
      </w:pPr>
      <w:rPr>
        <w:rFonts w:ascii="Wingdings" w:hAnsi="Wingdings" w:hint="default"/>
      </w:rPr>
    </w:lvl>
    <w:lvl w:ilvl="5" w:tplc="12A817EA" w:tentative="1">
      <w:start w:val="1"/>
      <w:numFmt w:val="bullet"/>
      <w:lvlText w:val=""/>
      <w:lvlJc w:val="left"/>
      <w:pPr>
        <w:tabs>
          <w:tab w:val="num" w:pos="4320"/>
        </w:tabs>
        <w:ind w:left="4320" w:hanging="360"/>
      </w:pPr>
      <w:rPr>
        <w:rFonts w:ascii="Wingdings" w:hAnsi="Wingdings" w:hint="default"/>
      </w:rPr>
    </w:lvl>
    <w:lvl w:ilvl="6" w:tplc="E6887402" w:tentative="1">
      <w:start w:val="1"/>
      <w:numFmt w:val="bullet"/>
      <w:lvlText w:val=""/>
      <w:lvlJc w:val="left"/>
      <w:pPr>
        <w:tabs>
          <w:tab w:val="num" w:pos="5040"/>
        </w:tabs>
        <w:ind w:left="5040" w:hanging="360"/>
      </w:pPr>
      <w:rPr>
        <w:rFonts w:ascii="Wingdings" w:hAnsi="Wingdings" w:hint="default"/>
      </w:rPr>
    </w:lvl>
    <w:lvl w:ilvl="7" w:tplc="DCE62742" w:tentative="1">
      <w:start w:val="1"/>
      <w:numFmt w:val="bullet"/>
      <w:lvlText w:val=""/>
      <w:lvlJc w:val="left"/>
      <w:pPr>
        <w:tabs>
          <w:tab w:val="num" w:pos="5760"/>
        </w:tabs>
        <w:ind w:left="5760" w:hanging="360"/>
      </w:pPr>
      <w:rPr>
        <w:rFonts w:ascii="Wingdings" w:hAnsi="Wingdings" w:hint="default"/>
      </w:rPr>
    </w:lvl>
    <w:lvl w:ilvl="8" w:tplc="7054E428" w:tentative="1">
      <w:start w:val="1"/>
      <w:numFmt w:val="bullet"/>
      <w:lvlText w:val=""/>
      <w:lvlJc w:val="left"/>
      <w:pPr>
        <w:tabs>
          <w:tab w:val="num" w:pos="6480"/>
        </w:tabs>
        <w:ind w:left="6480" w:hanging="360"/>
      </w:pPr>
      <w:rPr>
        <w:rFonts w:ascii="Wingdings" w:hAnsi="Wingdings" w:hint="default"/>
      </w:rPr>
    </w:lvl>
  </w:abstractNum>
  <w:abstractNum w:abstractNumId="10">
    <w:nsid w:val="1EE15112"/>
    <w:multiLevelType w:val="hybridMultilevel"/>
    <w:tmpl w:val="D9D8BAFE"/>
    <w:lvl w:ilvl="0" w:tplc="3632988A">
      <w:start w:val="1"/>
      <w:numFmt w:val="bullet"/>
      <w:lvlText w:val=""/>
      <w:lvlJc w:val="left"/>
      <w:pPr>
        <w:ind w:left="72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FDE476E"/>
    <w:multiLevelType w:val="hybridMultilevel"/>
    <w:tmpl w:val="2750759C"/>
    <w:lvl w:ilvl="0" w:tplc="824E50B8">
      <w:start w:val="1"/>
      <w:numFmt w:val="decimal"/>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203F4B6F"/>
    <w:multiLevelType w:val="hybridMultilevel"/>
    <w:tmpl w:val="545CD5E8"/>
    <w:lvl w:ilvl="0" w:tplc="DC4619B8">
      <w:start w:val="1"/>
      <w:numFmt w:val="lowerLetter"/>
      <w:lvlText w:val="%1)"/>
      <w:lvlJc w:val="left"/>
      <w:pPr>
        <w:ind w:left="720" w:hanging="360"/>
      </w:pPr>
      <w:rPr>
        <w:rFonts w:hint="default"/>
        <w:b/>
        <w:color w:val="C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211D17A3"/>
    <w:multiLevelType w:val="hybridMultilevel"/>
    <w:tmpl w:val="F94C6A6E"/>
    <w:lvl w:ilvl="0" w:tplc="8F9E4466">
      <w:start w:val="1"/>
      <w:numFmt w:val="bullet"/>
      <w:lvlText w:val="-"/>
      <w:lvlJc w:val="left"/>
      <w:pPr>
        <w:ind w:left="1080" w:hanging="360"/>
      </w:pPr>
      <w:rPr>
        <w:rFonts w:ascii="Courier New" w:hAnsi="Courier New" w:hint="default"/>
        <w:color w:val="C1002B"/>
        <w:u w:color="C1002B"/>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4">
    <w:nsid w:val="23936642"/>
    <w:multiLevelType w:val="multilevel"/>
    <w:tmpl w:val="8054BFA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8381828"/>
    <w:multiLevelType w:val="hybridMultilevel"/>
    <w:tmpl w:val="B700EE24"/>
    <w:lvl w:ilvl="0" w:tplc="591CDD5C">
      <w:start w:val="1"/>
      <w:numFmt w:val="bullet"/>
      <w:lvlText w:val=""/>
      <w:lvlJc w:val="left"/>
      <w:pPr>
        <w:tabs>
          <w:tab w:val="num" w:pos="720"/>
        </w:tabs>
        <w:ind w:left="720" w:hanging="360"/>
      </w:pPr>
      <w:rPr>
        <w:rFonts w:ascii="Wingdings" w:hAnsi="Wingdings" w:hint="default"/>
      </w:rPr>
    </w:lvl>
    <w:lvl w:ilvl="1" w:tplc="B41C081A">
      <w:start w:val="5666"/>
      <w:numFmt w:val="bullet"/>
      <w:lvlText w:val=""/>
      <w:lvlJc w:val="left"/>
      <w:pPr>
        <w:tabs>
          <w:tab w:val="num" w:pos="1440"/>
        </w:tabs>
        <w:ind w:left="1440" w:hanging="360"/>
      </w:pPr>
      <w:rPr>
        <w:rFonts w:ascii="Wingdings" w:hAnsi="Wingdings" w:hint="default"/>
      </w:rPr>
    </w:lvl>
    <w:lvl w:ilvl="2" w:tplc="26DEA0AC" w:tentative="1">
      <w:start w:val="1"/>
      <w:numFmt w:val="bullet"/>
      <w:lvlText w:val=""/>
      <w:lvlJc w:val="left"/>
      <w:pPr>
        <w:tabs>
          <w:tab w:val="num" w:pos="2160"/>
        </w:tabs>
        <w:ind w:left="2160" w:hanging="360"/>
      </w:pPr>
      <w:rPr>
        <w:rFonts w:ascii="Wingdings" w:hAnsi="Wingdings" w:hint="default"/>
      </w:rPr>
    </w:lvl>
    <w:lvl w:ilvl="3" w:tplc="6BFE835E" w:tentative="1">
      <w:start w:val="1"/>
      <w:numFmt w:val="bullet"/>
      <w:lvlText w:val=""/>
      <w:lvlJc w:val="left"/>
      <w:pPr>
        <w:tabs>
          <w:tab w:val="num" w:pos="2880"/>
        </w:tabs>
        <w:ind w:left="2880" w:hanging="360"/>
      </w:pPr>
      <w:rPr>
        <w:rFonts w:ascii="Wingdings" w:hAnsi="Wingdings" w:hint="default"/>
      </w:rPr>
    </w:lvl>
    <w:lvl w:ilvl="4" w:tplc="2500B538" w:tentative="1">
      <w:start w:val="1"/>
      <w:numFmt w:val="bullet"/>
      <w:lvlText w:val=""/>
      <w:lvlJc w:val="left"/>
      <w:pPr>
        <w:tabs>
          <w:tab w:val="num" w:pos="3600"/>
        </w:tabs>
        <w:ind w:left="3600" w:hanging="360"/>
      </w:pPr>
      <w:rPr>
        <w:rFonts w:ascii="Wingdings" w:hAnsi="Wingdings" w:hint="default"/>
      </w:rPr>
    </w:lvl>
    <w:lvl w:ilvl="5" w:tplc="CA303C76" w:tentative="1">
      <w:start w:val="1"/>
      <w:numFmt w:val="bullet"/>
      <w:lvlText w:val=""/>
      <w:lvlJc w:val="left"/>
      <w:pPr>
        <w:tabs>
          <w:tab w:val="num" w:pos="4320"/>
        </w:tabs>
        <w:ind w:left="4320" w:hanging="360"/>
      </w:pPr>
      <w:rPr>
        <w:rFonts w:ascii="Wingdings" w:hAnsi="Wingdings" w:hint="default"/>
      </w:rPr>
    </w:lvl>
    <w:lvl w:ilvl="6" w:tplc="F7761D78" w:tentative="1">
      <w:start w:val="1"/>
      <w:numFmt w:val="bullet"/>
      <w:lvlText w:val=""/>
      <w:lvlJc w:val="left"/>
      <w:pPr>
        <w:tabs>
          <w:tab w:val="num" w:pos="5040"/>
        </w:tabs>
        <w:ind w:left="5040" w:hanging="360"/>
      </w:pPr>
      <w:rPr>
        <w:rFonts w:ascii="Wingdings" w:hAnsi="Wingdings" w:hint="default"/>
      </w:rPr>
    </w:lvl>
    <w:lvl w:ilvl="7" w:tplc="F4E81E1A" w:tentative="1">
      <w:start w:val="1"/>
      <w:numFmt w:val="bullet"/>
      <w:lvlText w:val=""/>
      <w:lvlJc w:val="left"/>
      <w:pPr>
        <w:tabs>
          <w:tab w:val="num" w:pos="5760"/>
        </w:tabs>
        <w:ind w:left="5760" w:hanging="360"/>
      </w:pPr>
      <w:rPr>
        <w:rFonts w:ascii="Wingdings" w:hAnsi="Wingdings" w:hint="default"/>
      </w:rPr>
    </w:lvl>
    <w:lvl w:ilvl="8" w:tplc="2F788876" w:tentative="1">
      <w:start w:val="1"/>
      <w:numFmt w:val="bullet"/>
      <w:lvlText w:val=""/>
      <w:lvlJc w:val="left"/>
      <w:pPr>
        <w:tabs>
          <w:tab w:val="num" w:pos="6480"/>
        </w:tabs>
        <w:ind w:left="6480" w:hanging="360"/>
      </w:pPr>
      <w:rPr>
        <w:rFonts w:ascii="Wingdings" w:hAnsi="Wingdings" w:hint="default"/>
      </w:rPr>
    </w:lvl>
  </w:abstractNum>
  <w:abstractNum w:abstractNumId="16">
    <w:nsid w:val="3859702D"/>
    <w:multiLevelType w:val="hybridMultilevel"/>
    <w:tmpl w:val="74F6913A"/>
    <w:lvl w:ilvl="0" w:tplc="8F9E4466">
      <w:start w:val="1"/>
      <w:numFmt w:val="bullet"/>
      <w:lvlText w:val="-"/>
      <w:lvlJc w:val="left"/>
      <w:pPr>
        <w:ind w:left="720" w:hanging="360"/>
      </w:pPr>
      <w:rPr>
        <w:rFonts w:ascii="Courier New" w:hAnsi="Courier New" w:hint="default"/>
        <w:color w:val="C1002B"/>
        <w:u w:color="C1002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3ADB210B"/>
    <w:multiLevelType w:val="hybridMultilevel"/>
    <w:tmpl w:val="CA6E5D16"/>
    <w:lvl w:ilvl="0" w:tplc="87B47D52">
      <w:start w:val="1"/>
      <w:numFmt w:val="bullet"/>
      <w:lvlText w:val=""/>
      <w:lvlJc w:val="left"/>
      <w:pPr>
        <w:tabs>
          <w:tab w:val="num" w:pos="720"/>
        </w:tabs>
        <w:ind w:left="720" w:hanging="360"/>
      </w:pPr>
      <w:rPr>
        <w:rFonts w:ascii="Wingdings" w:hAnsi="Wingdings" w:hint="default"/>
      </w:rPr>
    </w:lvl>
    <w:lvl w:ilvl="1" w:tplc="32C0756E">
      <w:start w:val="1"/>
      <w:numFmt w:val="bullet"/>
      <w:lvlText w:val=""/>
      <w:lvlJc w:val="left"/>
      <w:pPr>
        <w:tabs>
          <w:tab w:val="num" w:pos="1440"/>
        </w:tabs>
        <w:ind w:left="1440" w:hanging="360"/>
      </w:pPr>
      <w:rPr>
        <w:rFonts w:ascii="Wingdings" w:hAnsi="Wingdings" w:hint="default"/>
      </w:rPr>
    </w:lvl>
    <w:lvl w:ilvl="2" w:tplc="8A5C5436" w:tentative="1">
      <w:start w:val="1"/>
      <w:numFmt w:val="bullet"/>
      <w:lvlText w:val=""/>
      <w:lvlJc w:val="left"/>
      <w:pPr>
        <w:tabs>
          <w:tab w:val="num" w:pos="2160"/>
        </w:tabs>
        <w:ind w:left="2160" w:hanging="360"/>
      </w:pPr>
      <w:rPr>
        <w:rFonts w:ascii="Wingdings" w:hAnsi="Wingdings" w:hint="default"/>
      </w:rPr>
    </w:lvl>
    <w:lvl w:ilvl="3" w:tplc="11149686" w:tentative="1">
      <w:start w:val="1"/>
      <w:numFmt w:val="bullet"/>
      <w:lvlText w:val=""/>
      <w:lvlJc w:val="left"/>
      <w:pPr>
        <w:tabs>
          <w:tab w:val="num" w:pos="2880"/>
        </w:tabs>
        <w:ind w:left="2880" w:hanging="360"/>
      </w:pPr>
      <w:rPr>
        <w:rFonts w:ascii="Wingdings" w:hAnsi="Wingdings" w:hint="default"/>
      </w:rPr>
    </w:lvl>
    <w:lvl w:ilvl="4" w:tplc="14EC0A1C" w:tentative="1">
      <w:start w:val="1"/>
      <w:numFmt w:val="bullet"/>
      <w:lvlText w:val=""/>
      <w:lvlJc w:val="left"/>
      <w:pPr>
        <w:tabs>
          <w:tab w:val="num" w:pos="3600"/>
        </w:tabs>
        <w:ind w:left="3600" w:hanging="360"/>
      </w:pPr>
      <w:rPr>
        <w:rFonts w:ascii="Wingdings" w:hAnsi="Wingdings" w:hint="default"/>
      </w:rPr>
    </w:lvl>
    <w:lvl w:ilvl="5" w:tplc="0E9CF85C" w:tentative="1">
      <w:start w:val="1"/>
      <w:numFmt w:val="bullet"/>
      <w:lvlText w:val=""/>
      <w:lvlJc w:val="left"/>
      <w:pPr>
        <w:tabs>
          <w:tab w:val="num" w:pos="4320"/>
        </w:tabs>
        <w:ind w:left="4320" w:hanging="360"/>
      </w:pPr>
      <w:rPr>
        <w:rFonts w:ascii="Wingdings" w:hAnsi="Wingdings" w:hint="default"/>
      </w:rPr>
    </w:lvl>
    <w:lvl w:ilvl="6" w:tplc="A63606FE" w:tentative="1">
      <w:start w:val="1"/>
      <w:numFmt w:val="bullet"/>
      <w:lvlText w:val=""/>
      <w:lvlJc w:val="left"/>
      <w:pPr>
        <w:tabs>
          <w:tab w:val="num" w:pos="5040"/>
        </w:tabs>
        <w:ind w:left="5040" w:hanging="360"/>
      </w:pPr>
      <w:rPr>
        <w:rFonts w:ascii="Wingdings" w:hAnsi="Wingdings" w:hint="default"/>
      </w:rPr>
    </w:lvl>
    <w:lvl w:ilvl="7" w:tplc="87428886" w:tentative="1">
      <w:start w:val="1"/>
      <w:numFmt w:val="bullet"/>
      <w:lvlText w:val=""/>
      <w:lvlJc w:val="left"/>
      <w:pPr>
        <w:tabs>
          <w:tab w:val="num" w:pos="5760"/>
        </w:tabs>
        <w:ind w:left="5760" w:hanging="360"/>
      </w:pPr>
      <w:rPr>
        <w:rFonts w:ascii="Wingdings" w:hAnsi="Wingdings" w:hint="default"/>
      </w:rPr>
    </w:lvl>
    <w:lvl w:ilvl="8" w:tplc="010A1EDC" w:tentative="1">
      <w:start w:val="1"/>
      <w:numFmt w:val="bullet"/>
      <w:lvlText w:val=""/>
      <w:lvlJc w:val="left"/>
      <w:pPr>
        <w:tabs>
          <w:tab w:val="num" w:pos="6480"/>
        </w:tabs>
        <w:ind w:left="6480" w:hanging="360"/>
      </w:pPr>
      <w:rPr>
        <w:rFonts w:ascii="Wingdings" w:hAnsi="Wingdings" w:hint="default"/>
      </w:rPr>
    </w:lvl>
  </w:abstractNum>
  <w:abstractNum w:abstractNumId="18">
    <w:nsid w:val="3F9E4740"/>
    <w:multiLevelType w:val="multilevel"/>
    <w:tmpl w:val="3484F74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0B46809"/>
    <w:multiLevelType w:val="hybridMultilevel"/>
    <w:tmpl w:val="EC9A8F1C"/>
    <w:lvl w:ilvl="0" w:tplc="0C0A0017">
      <w:start w:val="1"/>
      <w:numFmt w:val="lowerLetter"/>
      <w:lvlText w:val="%1)"/>
      <w:lvlJc w:val="left"/>
      <w:pPr>
        <w:ind w:left="2203" w:hanging="360"/>
      </w:pPr>
      <w:rPr>
        <w:rFonts w:cs="Times New Roman" w:hint="default"/>
        <w:b/>
      </w:rPr>
    </w:lvl>
    <w:lvl w:ilvl="1" w:tplc="0C0A0019" w:tentative="1">
      <w:start w:val="1"/>
      <w:numFmt w:val="lowerLetter"/>
      <w:lvlText w:val="%2."/>
      <w:lvlJc w:val="left"/>
      <w:pPr>
        <w:ind w:left="2923" w:hanging="360"/>
      </w:pPr>
      <w:rPr>
        <w:rFonts w:cs="Times New Roman"/>
      </w:rPr>
    </w:lvl>
    <w:lvl w:ilvl="2" w:tplc="0C0A001B" w:tentative="1">
      <w:start w:val="1"/>
      <w:numFmt w:val="lowerRoman"/>
      <w:lvlText w:val="%3."/>
      <w:lvlJc w:val="right"/>
      <w:pPr>
        <w:ind w:left="3643" w:hanging="180"/>
      </w:pPr>
      <w:rPr>
        <w:rFonts w:cs="Times New Roman"/>
      </w:rPr>
    </w:lvl>
    <w:lvl w:ilvl="3" w:tplc="0C0A000F" w:tentative="1">
      <w:start w:val="1"/>
      <w:numFmt w:val="decimal"/>
      <w:lvlText w:val="%4."/>
      <w:lvlJc w:val="left"/>
      <w:pPr>
        <w:ind w:left="4363" w:hanging="360"/>
      </w:pPr>
      <w:rPr>
        <w:rFonts w:cs="Times New Roman"/>
      </w:rPr>
    </w:lvl>
    <w:lvl w:ilvl="4" w:tplc="0C0A0019" w:tentative="1">
      <w:start w:val="1"/>
      <w:numFmt w:val="lowerLetter"/>
      <w:lvlText w:val="%5."/>
      <w:lvlJc w:val="left"/>
      <w:pPr>
        <w:ind w:left="5083" w:hanging="360"/>
      </w:pPr>
      <w:rPr>
        <w:rFonts w:cs="Times New Roman"/>
      </w:rPr>
    </w:lvl>
    <w:lvl w:ilvl="5" w:tplc="0C0A001B" w:tentative="1">
      <w:start w:val="1"/>
      <w:numFmt w:val="lowerRoman"/>
      <w:lvlText w:val="%6."/>
      <w:lvlJc w:val="right"/>
      <w:pPr>
        <w:ind w:left="5803" w:hanging="180"/>
      </w:pPr>
      <w:rPr>
        <w:rFonts w:cs="Times New Roman"/>
      </w:rPr>
    </w:lvl>
    <w:lvl w:ilvl="6" w:tplc="0C0A000F" w:tentative="1">
      <w:start w:val="1"/>
      <w:numFmt w:val="decimal"/>
      <w:lvlText w:val="%7."/>
      <w:lvlJc w:val="left"/>
      <w:pPr>
        <w:ind w:left="6523" w:hanging="360"/>
      </w:pPr>
      <w:rPr>
        <w:rFonts w:cs="Times New Roman"/>
      </w:rPr>
    </w:lvl>
    <w:lvl w:ilvl="7" w:tplc="0C0A0019" w:tentative="1">
      <w:start w:val="1"/>
      <w:numFmt w:val="lowerLetter"/>
      <w:lvlText w:val="%8."/>
      <w:lvlJc w:val="left"/>
      <w:pPr>
        <w:ind w:left="7243" w:hanging="360"/>
      </w:pPr>
      <w:rPr>
        <w:rFonts w:cs="Times New Roman"/>
      </w:rPr>
    </w:lvl>
    <w:lvl w:ilvl="8" w:tplc="0C0A001B" w:tentative="1">
      <w:start w:val="1"/>
      <w:numFmt w:val="lowerRoman"/>
      <w:lvlText w:val="%9."/>
      <w:lvlJc w:val="right"/>
      <w:pPr>
        <w:ind w:left="7963" w:hanging="180"/>
      </w:pPr>
      <w:rPr>
        <w:rFonts w:cs="Times New Roman"/>
      </w:rPr>
    </w:lvl>
  </w:abstractNum>
  <w:abstractNum w:abstractNumId="20">
    <w:nsid w:val="432B0B10"/>
    <w:multiLevelType w:val="hybridMultilevel"/>
    <w:tmpl w:val="1010B28E"/>
    <w:lvl w:ilvl="0" w:tplc="3632988A">
      <w:start w:val="1"/>
      <w:numFmt w:val="bullet"/>
      <w:lvlText w:val=""/>
      <w:lvlJc w:val="left"/>
      <w:pPr>
        <w:ind w:left="720" w:hanging="360"/>
      </w:pPr>
      <w:rPr>
        <w:rFonts w:ascii="Symbol" w:hAnsi="Symbol" w:hint="default"/>
        <w:color w:val="C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6381375"/>
    <w:multiLevelType w:val="hybridMultilevel"/>
    <w:tmpl w:val="49BE5220"/>
    <w:lvl w:ilvl="0" w:tplc="A0AA1434">
      <w:start w:val="1"/>
      <w:numFmt w:val="bullet"/>
      <w:lvlText w:val=""/>
      <w:lvlJc w:val="left"/>
      <w:pPr>
        <w:ind w:left="787" w:hanging="360"/>
      </w:pPr>
      <w:rPr>
        <w:rFonts w:ascii="Symbol" w:hAnsi="Symbol" w:hint="default"/>
        <w:color w:val="C00000"/>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2">
    <w:nsid w:val="46E33858"/>
    <w:multiLevelType w:val="hybridMultilevel"/>
    <w:tmpl w:val="9E34DF30"/>
    <w:lvl w:ilvl="0" w:tplc="D7FEBE66">
      <w:start w:val="1"/>
      <w:numFmt w:val="bullet"/>
      <w:lvlText w:val=""/>
      <w:lvlJc w:val="left"/>
      <w:pPr>
        <w:tabs>
          <w:tab w:val="num" w:pos="720"/>
        </w:tabs>
        <w:ind w:left="720" w:hanging="360"/>
      </w:pPr>
      <w:rPr>
        <w:rFonts w:ascii="Wingdings" w:hAnsi="Wingdings" w:hint="default"/>
      </w:rPr>
    </w:lvl>
    <w:lvl w:ilvl="1" w:tplc="F47283D4" w:tentative="1">
      <w:start w:val="1"/>
      <w:numFmt w:val="bullet"/>
      <w:lvlText w:val=""/>
      <w:lvlJc w:val="left"/>
      <w:pPr>
        <w:tabs>
          <w:tab w:val="num" w:pos="1440"/>
        </w:tabs>
        <w:ind w:left="1440" w:hanging="360"/>
      </w:pPr>
      <w:rPr>
        <w:rFonts w:ascii="Wingdings" w:hAnsi="Wingdings" w:hint="default"/>
      </w:rPr>
    </w:lvl>
    <w:lvl w:ilvl="2" w:tplc="EFF2C660" w:tentative="1">
      <w:start w:val="1"/>
      <w:numFmt w:val="bullet"/>
      <w:lvlText w:val=""/>
      <w:lvlJc w:val="left"/>
      <w:pPr>
        <w:tabs>
          <w:tab w:val="num" w:pos="2160"/>
        </w:tabs>
        <w:ind w:left="2160" w:hanging="360"/>
      </w:pPr>
      <w:rPr>
        <w:rFonts w:ascii="Wingdings" w:hAnsi="Wingdings" w:hint="default"/>
      </w:rPr>
    </w:lvl>
    <w:lvl w:ilvl="3" w:tplc="E16C761A" w:tentative="1">
      <w:start w:val="1"/>
      <w:numFmt w:val="bullet"/>
      <w:lvlText w:val=""/>
      <w:lvlJc w:val="left"/>
      <w:pPr>
        <w:tabs>
          <w:tab w:val="num" w:pos="2880"/>
        </w:tabs>
        <w:ind w:left="2880" w:hanging="360"/>
      </w:pPr>
      <w:rPr>
        <w:rFonts w:ascii="Wingdings" w:hAnsi="Wingdings" w:hint="default"/>
      </w:rPr>
    </w:lvl>
    <w:lvl w:ilvl="4" w:tplc="504A7CCC" w:tentative="1">
      <w:start w:val="1"/>
      <w:numFmt w:val="bullet"/>
      <w:lvlText w:val=""/>
      <w:lvlJc w:val="left"/>
      <w:pPr>
        <w:tabs>
          <w:tab w:val="num" w:pos="3600"/>
        </w:tabs>
        <w:ind w:left="3600" w:hanging="360"/>
      </w:pPr>
      <w:rPr>
        <w:rFonts w:ascii="Wingdings" w:hAnsi="Wingdings" w:hint="default"/>
      </w:rPr>
    </w:lvl>
    <w:lvl w:ilvl="5" w:tplc="2E0E4F20" w:tentative="1">
      <w:start w:val="1"/>
      <w:numFmt w:val="bullet"/>
      <w:lvlText w:val=""/>
      <w:lvlJc w:val="left"/>
      <w:pPr>
        <w:tabs>
          <w:tab w:val="num" w:pos="4320"/>
        </w:tabs>
        <w:ind w:left="4320" w:hanging="360"/>
      </w:pPr>
      <w:rPr>
        <w:rFonts w:ascii="Wingdings" w:hAnsi="Wingdings" w:hint="default"/>
      </w:rPr>
    </w:lvl>
    <w:lvl w:ilvl="6" w:tplc="EE84035E" w:tentative="1">
      <w:start w:val="1"/>
      <w:numFmt w:val="bullet"/>
      <w:lvlText w:val=""/>
      <w:lvlJc w:val="left"/>
      <w:pPr>
        <w:tabs>
          <w:tab w:val="num" w:pos="5040"/>
        </w:tabs>
        <w:ind w:left="5040" w:hanging="360"/>
      </w:pPr>
      <w:rPr>
        <w:rFonts w:ascii="Wingdings" w:hAnsi="Wingdings" w:hint="default"/>
      </w:rPr>
    </w:lvl>
    <w:lvl w:ilvl="7" w:tplc="9912C04E" w:tentative="1">
      <w:start w:val="1"/>
      <w:numFmt w:val="bullet"/>
      <w:lvlText w:val=""/>
      <w:lvlJc w:val="left"/>
      <w:pPr>
        <w:tabs>
          <w:tab w:val="num" w:pos="5760"/>
        </w:tabs>
        <w:ind w:left="5760" w:hanging="360"/>
      </w:pPr>
      <w:rPr>
        <w:rFonts w:ascii="Wingdings" w:hAnsi="Wingdings" w:hint="default"/>
      </w:rPr>
    </w:lvl>
    <w:lvl w:ilvl="8" w:tplc="F1BAECC6" w:tentative="1">
      <w:start w:val="1"/>
      <w:numFmt w:val="bullet"/>
      <w:lvlText w:val=""/>
      <w:lvlJc w:val="left"/>
      <w:pPr>
        <w:tabs>
          <w:tab w:val="num" w:pos="6480"/>
        </w:tabs>
        <w:ind w:left="6480" w:hanging="360"/>
      </w:pPr>
      <w:rPr>
        <w:rFonts w:ascii="Wingdings" w:hAnsi="Wingdings" w:hint="default"/>
      </w:rPr>
    </w:lvl>
  </w:abstractNum>
  <w:abstractNum w:abstractNumId="23">
    <w:nsid w:val="48911F43"/>
    <w:multiLevelType w:val="hybridMultilevel"/>
    <w:tmpl w:val="81728A1E"/>
    <w:lvl w:ilvl="0" w:tplc="3632988A">
      <w:start w:val="1"/>
      <w:numFmt w:val="bullet"/>
      <w:lvlText w:val=""/>
      <w:lvlJc w:val="left"/>
      <w:pPr>
        <w:ind w:left="72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A1252AB"/>
    <w:multiLevelType w:val="hybridMultilevel"/>
    <w:tmpl w:val="8D3A92FA"/>
    <w:lvl w:ilvl="0" w:tplc="5B960382">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751B23"/>
    <w:multiLevelType w:val="hybridMultilevel"/>
    <w:tmpl w:val="A008CF56"/>
    <w:lvl w:ilvl="0" w:tplc="8F9E4466">
      <w:start w:val="1"/>
      <w:numFmt w:val="bullet"/>
      <w:lvlText w:val="-"/>
      <w:lvlJc w:val="left"/>
      <w:pPr>
        <w:ind w:left="720" w:hanging="360"/>
      </w:pPr>
      <w:rPr>
        <w:rFonts w:ascii="Courier New" w:hAnsi="Courier New" w:hint="default"/>
        <w:color w:val="C1002B"/>
        <w:u w:color="C1002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4FA77048"/>
    <w:multiLevelType w:val="multilevel"/>
    <w:tmpl w:val="B404974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8394EFE"/>
    <w:multiLevelType w:val="hybridMultilevel"/>
    <w:tmpl w:val="59765DA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5AA83B67"/>
    <w:multiLevelType w:val="hybridMultilevel"/>
    <w:tmpl w:val="480AF8F2"/>
    <w:lvl w:ilvl="0" w:tplc="3632988A">
      <w:start w:val="1"/>
      <w:numFmt w:val="bullet"/>
      <w:lvlText w:val=""/>
      <w:lvlJc w:val="left"/>
      <w:pPr>
        <w:ind w:left="72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AB513E3"/>
    <w:multiLevelType w:val="hybridMultilevel"/>
    <w:tmpl w:val="30605482"/>
    <w:lvl w:ilvl="0" w:tplc="3632988A">
      <w:start w:val="1"/>
      <w:numFmt w:val="bullet"/>
      <w:lvlText w:val=""/>
      <w:lvlJc w:val="left"/>
      <w:pPr>
        <w:ind w:left="720" w:hanging="360"/>
      </w:pPr>
      <w:rPr>
        <w:rFonts w:ascii="Symbol" w:hAnsi="Symbol" w:hint="default"/>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nsid w:val="5AE60289"/>
    <w:multiLevelType w:val="hybridMultilevel"/>
    <w:tmpl w:val="192C1190"/>
    <w:lvl w:ilvl="0" w:tplc="5B7E5C8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BD42ED5"/>
    <w:multiLevelType w:val="hybridMultilevel"/>
    <w:tmpl w:val="990020D0"/>
    <w:lvl w:ilvl="0" w:tplc="8F9E4466">
      <w:start w:val="1"/>
      <w:numFmt w:val="bullet"/>
      <w:lvlText w:val="-"/>
      <w:lvlJc w:val="left"/>
      <w:pPr>
        <w:ind w:left="720" w:hanging="360"/>
      </w:pPr>
      <w:rPr>
        <w:rFonts w:ascii="Courier New" w:hAnsi="Courier New" w:hint="default"/>
        <w:color w:val="C1002B"/>
        <w:u w:color="C1002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nsid w:val="62A92651"/>
    <w:multiLevelType w:val="hybridMultilevel"/>
    <w:tmpl w:val="557CFDD6"/>
    <w:lvl w:ilvl="0" w:tplc="8F9E4466">
      <w:start w:val="1"/>
      <w:numFmt w:val="bullet"/>
      <w:lvlText w:val="-"/>
      <w:lvlJc w:val="left"/>
      <w:pPr>
        <w:ind w:left="1080" w:hanging="360"/>
      </w:pPr>
      <w:rPr>
        <w:rFonts w:ascii="Courier New" w:hAnsi="Courier New" w:hint="default"/>
        <w:color w:val="C1002B"/>
        <w:u w:color="C1002B"/>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3">
    <w:nsid w:val="64C2368A"/>
    <w:multiLevelType w:val="hybridMultilevel"/>
    <w:tmpl w:val="192C1190"/>
    <w:lvl w:ilvl="0" w:tplc="5B7E5C8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A3E19F2"/>
    <w:multiLevelType w:val="multilevel"/>
    <w:tmpl w:val="26CA5BD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BE62EF8"/>
    <w:multiLevelType w:val="hybridMultilevel"/>
    <w:tmpl w:val="F9247CD6"/>
    <w:lvl w:ilvl="0" w:tplc="B67E6F7E">
      <w:start w:val="1"/>
      <w:numFmt w:val="decimal"/>
      <w:lvlText w:val="%1."/>
      <w:lvlJc w:val="left"/>
      <w:pPr>
        <w:ind w:left="360" w:hanging="360"/>
      </w:pPr>
      <w:rPr>
        <w:rFonts w:ascii="Rotis Sans Serif Std" w:hAnsi="Rotis Sans Serif Std" w:cs="Times New Roman" w:hint="default"/>
        <w:b/>
        <w:color w:val="C00000"/>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36">
    <w:nsid w:val="6BF55632"/>
    <w:multiLevelType w:val="hybridMultilevel"/>
    <w:tmpl w:val="6BE0E022"/>
    <w:lvl w:ilvl="0" w:tplc="331E56A8">
      <w:start w:val="1"/>
      <w:numFmt w:val="bullet"/>
      <w:lvlText w:val=""/>
      <w:lvlJc w:val="left"/>
      <w:pPr>
        <w:ind w:left="720" w:hanging="360"/>
      </w:pPr>
      <w:rPr>
        <w:rFonts w:ascii="Symbol" w:hAnsi="Symbol" w:hint="default"/>
        <w:color w:val="C00000"/>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ED03617"/>
    <w:multiLevelType w:val="hybridMultilevel"/>
    <w:tmpl w:val="BB12452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5"/>
  </w:num>
  <w:num w:numId="2">
    <w:abstractNumId w:val="11"/>
  </w:num>
  <w:num w:numId="3">
    <w:abstractNumId w:val="19"/>
  </w:num>
  <w:num w:numId="4">
    <w:abstractNumId w:val="2"/>
  </w:num>
  <w:num w:numId="5">
    <w:abstractNumId w:val="36"/>
  </w:num>
  <w:num w:numId="6">
    <w:abstractNumId w:val="33"/>
  </w:num>
  <w:num w:numId="7">
    <w:abstractNumId w:val="26"/>
  </w:num>
  <w:num w:numId="8">
    <w:abstractNumId w:val="14"/>
  </w:num>
  <w:num w:numId="9">
    <w:abstractNumId w:val="34"/>
  </w:num>
  <w:num w:numId="10">
    <w:abstractNumId w:val="20"/>
  </w:num>
  <w:num w:numId="11">
    <w:abstractNumId w:val="4"/>
  </w:num>
  <w:num w:numId="12">
    <w:abstractNumId w:val="28"/>
  </w:num>
  <w:num w:numId="13">
    <w:abstractNumId w:val="30"/>
  </w:num>
  <w:num w:numId="14">
    <w:abstractNumId w:val="10"/>
  </w:num>
  <w:num w:numId="15">
    <w:abstractNumId w:val="3"/>
  </w:num>
  <w:num w:numId="16">
    <w:abstractNumId w:val="18"/>
  </w:num>
  <w:num w:numId="17">
    <w:abstractNumId w:val="37"/>
  </w:num>
  <w:num w:numId="18">
    <w:abstractNumId w:val="29"/>
  </w:num>
  <w:num w:numId="19">
    <w:abstractNumId w:val="12"/>
  </w:num>
  <w:num w:numId="20">
    <w:abstractNumId w:val="13"/>
  </w:num>
  <w:num w:numId="21">
    <w:abstractNumId w:val="8"/>
  </w:num>
  <w:num w:numId="22">
    <w:abstractNumId w:val="32"/>
  </w:num>
  <w:num w:numId="23">
    <w:abstractNumId w:val="25"/>
  </w:num>
  <w:num w:numId="24">
    <w:abstractNumId w:val="16"/>
  </w:num>
  <w:num w:numId="25">
    <w:abstractNumId w:val="31"/>
  </w:num>
  <w:num w:numId="26">
    <w:abstractNumId w:val="5"/>
  </w:num>
  <w:num w:numId="27">
    <w:abstractNumId w:val="17"/>
  </w:num>
  <w:num w:numId="28">
    <w:abstractNumId w:val="9"/>
  </w:num>
  <w:num w:numId="29">
    <w:abstractNumId w:val="22"/>
  </w:num>
  <w:num w:numId="30">
    <w:abstractNumId w:val="15"/>
  </w:num>
  <w:num w:numId="31">
    <w:abstractNumId w:val="6"/>
  </w:num>
  <w:num w:numId="32">
    <w:abstractNumId w:val="27"/>
  </w:num>
  <w:num w:numId="33">
    <w:abstractNumId w:val="1"/>
  </w:num>
  <w:num w:numId="34">
    <w:abstractNumId w:val="0"/>
  </w:num>
  <w:num w:numId="35">
    <w:abstractNumId w:val="7"/>
  </w:num>
  <w:num w:numId="36">
    <w:abstractNumId w:val="23"/>
  </w:num>
  <w:num w:numId="37">
    <w:abstractNumId w:val="21"/>
  </w:num>
  <w:num w:numId="3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C4"/>
    <w:rsid w:val="0000031F"/>
    <w:rsid w:val="00000C97"/>
    <w:rsid w:val="00000E2F"/>
    <w:rsid w:val="0000114E"/>
    <w:rsid w:val="00001F49"/>
    <w:rsid w:val="00002167"/>
    <w:rsid w:val="00002845"/>
    <w:rsid w:val="000034C5"/>
    <w:rsid w:val="00004412"/>
    <w:rsid w:val="00004420"/>
    <w:rsid w:val="0000456B"/>
    <w:rsid w:val="00004951"/>
    <w:rsid w:val="00005205"/>
    <w:rsid w:val="0000547C"/>
    <w:rsid w:val="00005533"/>
    <w:rsid w:val="00005ABE"/>
    <w:rsid w:val="00006532"/>
    <w:rsid w:val="000068B4"/>
    <w:rsid w:val="00006EBF"/>
    <w:rsid w:val="0000787F"/>
    <w:rsid w:val="00007E90"/>
    <w:rsid w:val="000102BF"/>
    <w:rsid w:val="00010336"/>
    <w:rsid w:val="000110BD"/>
    <w:rsid w:val="00011490"/>
    <w:rsid w:val="00012160"/>
    <w:rsid w:val="00012C27"/>
    <w:rsid w:val="0001325A"/>
    <w:rsid w:val="00013776"/>
    <w:rsid w:val="00015094"/>
    <w:rsid w:val="000150B0"/>
    <w:rsid w:val="000159F4"/>
    <w:rsid w:val="00015B26"/>
    <w:rsid w:val="000166BD"/>
    <w:rsid w:val="00016B21"/>
    <w:rsid w:val="00016B7C"/>
    <w:rsid w:val="00016E9D"/>
    <w:rsid w:val="000172C7"/>
    <w:rsid w:val="00017E98"/>
    <w:rsid w:val="00017EA3"/>
    <w:rsid w:val="000200BE"/>
    <w:rsid w:val="000205F5"/>
    <w:rsid w:val="000211E3"/>
    <w:rsid w:val="00021670"/>
    <w:rsid w:val="000219E1"/>
    <w:rsid w:val="00021BC9"/>
    <w:rsid w:val="00022A4C"/>
    <w:rsid w:val="00022BDD"/>
    <w:rsid w:val="00022FE0"/>
    <w:rsid w:val="0002306A"/>
    <w:rsid w:val="000230A2"/>
    <w:rsid w:val="000231AB"/>
    <w:rsid w:val="000232D8"/>
    <w:rsid w:val="0002435F"/>
    <w:rsid w:val="00024487"/>
    <w:rsid w:val="00024844"/>
    <w:rsid w:val="00024C8C"/>
    <w:rsid w:val="00024E90"/>
    <w:rsid w:val="000251EC"/>
    <w:rsid w:val="0002527F"/>
    <w:rsid w:val="000254C2"/>
    <w:rsid w:val="00026028"/>
    <w:rsid w:val="000260B7"/>
    <w:rsid w:val="000266A4"/>
    <w:rsid w:val="00026C14"/>
    <w:rsid w:val="00026D20"/>
    <w:rsid w:val="00026E4A"/>
    <w:rsid w:val="00027049"/>
    <w:rsid w:val="00030C04"/>
    <w:rsid w:val="00030E08"/>
    <w:rsid w:val="000314E2"/>
    <w:rsid w:val="00031A82"/>
    <w:rsid w:val="00031C47"/>
    <w:rsid w:val="00032226"/>
    <w:rsid w:val="00032351"/>
    <w:rsid w:val="00032878"/>
    <w:rsid w:val="00033AE8"/>
    <w:rsid w:val="00034CA0"/>
    <w:rsid w:val="00034FDD"/>
    <w:rsid w:val="0003685D"/>
    <w:rsid w:val="0003696A"/>
    <w:rsid w:val="00036A05"/>
    <w:rsid w:val="00036A2A"/>
    <w:rsid w:val="00036B8F"/>
    <w:rsid w:val="00036E80"/>
    <w:rsid w:val="00036F47"/>
    <w:rsid w:val="0003732B"/>
    <w:rsid w:val="00037459"/>
    <w:rsid w:val="00040ADC"/>
    <w:rsid w:val="00041852"/>
    <w:rsid w:val="00041E0F"/>
    <w:rsid w:val="000425CA"/>
    <w:rsid w:val="000427B5"/>
    <w:rsid w:val="00043099"/>
    <w:rsid w:val="0004319B"/>
    <w:rsid w:val="00043464"/>
    <w:rsid w:val="0004378D"/>
    <w:rsid w:val="000444D8"/>
    <w:rsid w:val="00044D0E"/>
    <w:rsid w:val="000450CF"/>
    <w:rsid w:val="0004674C"/>
    <w:rsid w:val="000474AE"/>
    <w:rsid w:val="00047980"/>
    <w:rsid w:val="0005054D"/>
    <w:rsid w:val="0005056D"/>
    <w:rsid w:val="0005097E"/>
    <w:rsid w:val="00051530"/>
    <w:rsid w:val="00051B13"/>
    <w:rsid w:val="00052496"/>
    <w:rsid w:val="00052E28"/>
    <w:rsid w:val="00052EF8"/>
    <w:rsid w:val="00052F4A"/>
    <w:rsid w:val="000532D9"/>
    <w:rsid w:val="000534E3"/>
    <w:rsid w:val="000537CF"/>
    <w:rsid w:val="000539B6"/>
    <w:rsid w:val="00053CA8"/>
    <w:rsid w:val="00053F32"/>
    <w:rsid w:val="000548A6"/>
    <w:rsid w:val="00054BAD"/>
    <w:rsid w:val="000551BC"/>
    <w:rsid w:val="00055210"/>
    <w:rsid w:val="000553E9"/>
    <w:rsid w:val="00055511"/>
    <w:rsid w:val="0005563C"/>
    <w:rsid w:val="000556DA"/>
    <w:rsid w:val="00055700"/>
    <w:rsid w:val="00055EF5"/>
    <w:rsid w:val="00055FF3"/>
    <w:rsid w:val="00056216"/>
    <w:rsid w:val="00056559"/>
    <w:rsid w:val="00056574"/>
    <w:rsid w:val="0005682D"/>
    <w:rsid w:val="00056BF9"/>
    <w:rsid w:val="000570BC"/>
    <w:rsid w:val="000570CE"/>
    <w:rsid w:val="00057AFA"/>
    <w:rsid w:val="00060081"/>
    <w:rsid w:val="00060712"/>
    <w:rsid w:val="00060816"/>
    <w:rsid w:val="00060862"/>
    <w:rsid w:val="00060B58"/>
    <w:rsid w:val="000612F5"/>
    <w:rsid w:val="000617BB"/>
    <w:rsid w:val="00061BE8"/>
    <w:rsid w:val="000622FE"/>
    <w:rsid w:val="0006257A"/>
    <w:rsid w:val="0006371B"/>
    <w:rsid w:val="000637DE"/>
    <w:rsid w:val="00063BF3"/>
    <w:rsid w:val="0006428B"/>
    <w:rsid w:val="0006481C"/>
    <w:rsid w:val="000652F8"/>
    <w:rsid w:val="00065450"/>
    <w:rsid w:val="00065DAF"/>
    <w:rsid w:val="000661EF"/>
    <w:rsid w:val="000668FF"/>
    <w:rsid w:val="00066E19"/>
    <w:rsid w:val="00067094"/>
    <w:rsid w:val="00067C93"/>
    <w:rsid w:val="00067F4E"/>
    <w:rsid w:val="000735DC"/>
    <w:rsid w:val="000746C9"/>
    <w:rsid w:val="00074D00"/>
    <w:rsid w:val="00075DA5"/>
    <w:rsid w:val="0007606C"/>
    <w:rsid w:val="00076233"/>
    <w:rsid w:val="00076AA3"/>
    <w:rsid w:val="0007712A"/>
    <w:rsid w:val="00080790"/>
    <w:rsid w:val="000808F3"/>
    <w:rsid w:val="00080939"/>
    <w:rsid w:val="00080B0E"/>
    <w:rsid w:val="000811BA"/>
    <w:rsid w:val="000815B7"/>
    <w:rsid w:val="00081DD5"/>
    <w:rsid w:val="00082E42"/>
    <w:rsid w:val="00083261"/>
    <w:rsid w:val="00083412"/>
    <w:rsid w:val="000834B0"/>
    <w:rsid w:val="0008380F"/>
    <w:rsid w:val="00083F3B"/>
    <w:rsid w:val="00084197"/>
    <w:rsid w:val="000844D1"/>
    <w:rsid w:val="00084D25"/>
    <w:rsid w:val="00085733"/>
    <w:rsid w:val="0008615F"/>
    <w:rsid w:val="00087B75"/>
    <w:rsid w:val="00087D05"/>
    <w:rsid w:val="00087D6F"/>
    <w:rsid w:val="00087D9B"/>
    <w:rsid w:val="000903A3"/>
    <w:rsid w:val="000904F5"/>
    <w:rsid w:val="000907D5"/>
    <w:rsid w:val="00090823"/>
    <w:rsid w:val="00090A74"/>
    <w:rsid w:val="00090FD8"/>
    <w:rsid w:val="0009112D"/>
    <w:rsid w:val="00091430"/>
    <w:rsid w:val="000919E8"/>
    <w:rsid w:val="00091CA6"/>
    <w:rsid w:val="0009258B"/>
    <w:rsid w:val="0009267A"/>
    <w:rsid w:val="0009281C"/>
    <w:rsid w:val="00092A82"/>
    <w:rsid w:val="00092ACD"/>
    <w:rsid w:val="00092C3C"/>
    <w:rsid w:val="00093152"/>
    <w:rsid w:val="0009328D"/>
    <w:rsid w:val="0009328F"/>
    <w:rsid w:val="00093C8F"/>
    <w:rsid w:val="00094175"/>
    <w:rsid w:val="00094359"/>
    <w:rsid w:val="00094543"/>
    <w:rsid w:val="0009572E"/>
    <w:rsid w:val="00095F8E"/>
    <w:rsid w:val="000961ED"/>
    <w:rsid w:val="000961EF"/>
    <w:rsid w:val="00097317"/>
    <w:rsid w:val="000977AC"/>
    <w:rsid w:val="00097DA9"/>
    <w:rsid w:val="00097FAB"/>
    <w:rsid w:val="000A01D9"/>
    <w:rsid w:val="000A0D96"/>
    <w:rsid w:val="000A1D11"/>
    <w:rsid w:val="000A24EA"/>
    <w:rsid w:val="000A2732"/>
    <w:rsid w:val="000A2917"/>
    <w:rsid w:val="000A29C4"/>
    <w:rsid w:val="000A2A2F"/>
    <w:rsid w:val="000A2BCA"/>
    <w:rsid w:val="000A3186"/>
    <w:rsid w:val="000A3404"/>
    <w:rsid w:val="000A3BEF"/>
    <w:rsid w:val="000A41C9"/>
    <w:rsid w:val="000A4DD9"/>
    <w:rsid w:val="000A4FCD"/>
    <w:rsid w:val="000A554D"/>
    <w:rsid w:val="000A6341"/>
    <w:rsid w:val="000A6FBB"/>
    <w:rsid w:val="000A7669"/>
    <w:rsid w:val="000B010A"/>
    <w:rsid w:val="000B0574"/>
    <w:rsid w:val="000B076C"/>
    <w:rsid w:val="000B09C6"/>
    <w:rsid w:val="000B0D5F"/>
    <w:rsid w:val="000B0EDA"/>
    <w:rsid w:val="000B157B"/>
    <w:rsid w:val="000B1916"/>
    <w:rsid w:val="000B1A9E"/>
    <w:rsid w:val="000B1C3F"/>
    <w:rsid w:val="000B2178"/>
    <w:rsid w:val="000B2308"/>
    <w:rsid w:val="000B2D64"/>
    <w:rsid w:val="000B3817"/>
    <w:rsid w:val="000B3F03"/>
    <w:rsid w:val="000B47AD"/>
    <w:rsid w:val="000B47E1"/>
    <w:rsid w:val="000B4C84"/>
    <w:rsid w:val="000B50D1"/>
    <w:rsid w:val="000B5BF7"/>
    <w:rsid w:val="000B5EB0"/>
    <w:rsid w:val="000B6097"/>
    <w:rsid w:val="000B68D9"/>
    <w:rsid w:val="000B6F16"/>
    <w:rsid w:val="000B7533"/>
    <w:rsid w:val="000B7F4D"/>
    <w:rsid w:val="000C2289"/>
    <w:rsid w:val="000C2D0A"/>
    <w:rsid w:val="000C2E67"/>
    <w:rsid w:val="000C3127"/>
    <w:rsid w:val="000C34CB"/>
    <w:rsid w:val="000C392B"/>
    <w:rsid w:val="000C3BD6"/>
    <w:rsid w:val="000C402E"/>
    <w:rsid w:val="000C4421"/>
    <w:rsid w:val="000C48BB"/>
    <w:rsid w:val="000C4F42"/>
    <w:rsid w:val="000C5632"/>
    <w:rsid w:val="000C660C"/>
    <w:rsid w:val="000C7235"/>
    <w:rsid w:val="000C76B5"/>
    <w:rsid w:val="000C7AC3"/>
    <w:rsid w:val="000C7CDE"/>
    <w:rsid w:val="000C7D66"/>
    <w:rsid w:val="000D06B4"/>
    <w:rsid w:val="000D0C8A"/>
    <w:rsid w:val="000D1178"/>
    <w:rsid w:val="000D1316"/>
    <w:rsid w:val="000D1ED0"/>
    <w:rsid w:val="000D2BEA"/>
    <w:rsid w:val="000D2EEA"/>
    <w:rsid w:val="000D31E4"/>
    <w:rsid w:val="000D357E"/>
    <w:rsid w:val="000D39ED"/>
    <w:rsid w:val="000D3C8F"/>
    <w:rsid w:val="000D413B"/>
    <w:rsid w:val="000D4430"/>
    <w:rsid w:val="000D461B"/>
    <w:rsid w:val="000D48A2"/>
    <w:rsid w:val="000D51B7"/>
    <w:rsid w:val="000D5875"/>
    <w:rsid w:val="000D5A43"/>
    <w:rsid w:val="000D611E"/>
    <w:rsid w:val="000D6288"/>
    <w:rsid w:val="000D63CA"/>
    <w:rsid w:val="000D6713"/>
    <w:rsid w:val="000D68DA"/>
    <w:rsid w:val="000D6A0D"/>
    <w:rsid w:val="000D6C4F"/>
    <w:rsid w:val="000D7105"/>
    <w:rsid w:val="000D76D5"/>
    <w:rsid w:val="000D7D4C"/>
    <w:rsid w:val="000D7DBF"/>
    <w:rsid w:val="000D7E0C"/>
    <w:rsid w:val="000D7E44"/>
    <w:rsid w:val="000E02F8"/>
    <w:rsid w:val="000E03B8"/>
    <w:rsid w:val="000E03F7"/>
    <w:rsid w:val="000E0F29"/>
    <w:rsid w:val="000E1256"/>
    <w:rsid w:val="000E2784"/>
    <w:rsid w:val="000E34F2"/>
    <w:rsid w:val="000E374A"/>
    <w:rsid w:val="000E3BEB"/>
    <w:rsid w:val="000E3D86"/>
    <w:rsid w:val="000E3FEB"/>
    <w:rsid w:val="000E42FF"/>
    <w:rsid w:val="000E4394"/>
    <w:rsid w:val="000E52A8"/>
    <w:rsid w:val="000E5344"/>
    <w:rsid w:val="000E631F"/>
    <w:rsid w:val="000E6359"/>
    <w:rsid w:val="000E6811"/>
    <w:rsid w:val="000E6BFE"/>
    <w:rsid w:val="000E6E6F"/>
    <w:rsid w:val="000E790E"/>
    <w:rsid w:val="000E79BE"/>
    <w:rsid w:val="000E7F79"/>
    <w:rsid w:val="000F01AC"/>
    <w:rsid w:val="000F0CFA"/>
    <w:rsid w:val="000F137A"/>
    <w:rsid w:val="000F151F"/>
    <w:rsid w:val="000F3388"/>
    <w:rsid w:val="000F33AB"/>
    <w:rsid w:val="000F3D37"/>
    <w:rsid w:val="000F406A"/>
    <w:rsid w:val="000F4C06"/>
    <w:rsid w:val="000F4E03"/>
    <w:rsid w:val="000F5627"/>
    <w:rsid w:val="000F5A32"/>
    <w:rsid w:val="000F5CAB"/>
    <w:rsid w:val="000F5CF2"/>
    <w:rsid w:val="000F5CF9"/>
    <w:rsid w:val="001007FA"/>
    <w:rsid w:val="0010081D"/>
    <w:rsid w:val="00100F83"/>
    <w:rsid w:val="0010148F"/>
    <w:rsid w:val="00101C1A"/>
    <w:rsid w:val="00102054"/>
    <w:rsid w:val="0010268B"/>
    <w:rsid w:val="00102D0C"/>
    <w:rsid w:val="00103053"/>
    <w:rsid w:val="00103195"/>
    <w:rsid w:val="001038D8"/>
    <w:rsid w:val="00103BA3"/>
    <w:rsid w:val="00103EE7"/>
    <w:rsid w:val="0010496E"/>
    <w:rsid w:val="00104EC1"/>
    <w:rsid w:val="00105264"/>
    <w:rsid w:val="001054DC"/>
    <w:rsid w:val="00105F1E"/>
    <w:rsid w:val="0010606F"/>
    <w:rsid w:val="001061CD"/>
    <w:rsid w:val="001066FF"/>
    <w:rsid w:val="00106A87"/>
    <w:rsid w:val="00106C09"/>
    <w:rsid w:val="00106CBE"/>
    <w:rsid w:val="0010720D"/>
    <w:rsid w:val="00107AB1"/>
    <w:rsid w:val="001106BB"/>
    <w:rsid w:val="001109A1"/>
    <w:rsid w:val="0011102F"/>
    <w:rsid w:val="00111D26"/>
    <w:rsid w:val="00112B66"/>
    <w:rsid w:val="00112EAF"/>
    <w:rsid w:val="0011303F"/>
    <w:rsid w:val="00113733"/>
    <w:rsid w:val="001149CA"/>
    <w:rsid w:val="0011532F"/>
    <w:rsid w:val="001159DA"/>
    <w:rsid w:val="00115D5F"/>
    <w:rsid w:val="00116065"/>
    <w:rsid w:val="00117A3F"/>
    <w:rsid w:val="00120771"/>
    <w:rsid w:val="00120FD9"/>
    <w:rsid w:val="00121EA3"/>
    <w:rsid w:val="001223DE"/>
    <w:rsid w:val="00122951"/>
    <w:rsid w:val="00122A72"/>
    <w:rsid w:val="00123085"/>
    <w:rsid w:val="00123CFC"/>
    <w:rsid w:val="0012478A"/>
    <w:rsid w:val="00124F90"/>
    <w:rsid w:val="001251C4"/>
    <w:rsid w:val="0012527A"/>
    <w:rsid w:val="0012568C"/>
    <w:rsid w:val="00125810"/>
    <w:rsid w:val="00125E80"/>
    <w:rsid w:val="001264F8"/>
    <w:rsid w:val="00126FB0"/>
    <w:rsid w:val="001276E0"/>
    <w:rsid w:val="00127B9D"/>
    <w:rsid w:val="00130B80"/>
    <w:rsid w:val="00131664"/>
    <w:rsid w:val="00131C16"/>
    <w:rsid w:val="00131C62"/>
    <w:rsid w:val="00132082"/>
    <w:rsid w:val="00132364"/>
    <w:rsid w:val="00132491"/>
    <w:rsid w:val="00132532"/>
    <w:rsid w:val="00132E0B"/>
    <w:rsid w:val="00132FB9"/>
    <w:rsid w:val="00133018"/>
    <w:rsid w:val="00133691"/>
    <w:rsid w:val="001338F8"/>
    <w:rsid w:val="00133E31"/>
    <w:rsid w:val="0013403A"/>
    <w:rsid w:val="001345C0"/>
    <w:rsid w:val="00134BB7"/>
    <w:rsid w:val="00134BDF"/>
    <w:rsid w:val="00135CDD"/>
    <w:rsid w:val="001360C4"/>
    <w:rsid w:val="001368C0"/>
    <w:rsid w:val="001369B0"/>
    <w:rsid w:val="0013786B"/>
    <w:rsid w:val="00137F29"/>
    <w:rsid w:val="00137F49"/>
    <w:rsid w:val="0014069E"/>
    <w:rsid w:val="00140D14"/>
    <w:rsid w:val="001412EE"/>
    <w:rsid w:val="00141B7B"/>
    <w:rsid w:val="00142082"/>
    <w:rsid w:val="0014223B"/>
    <w:rsid w:val="0014231E"/>
    <w:rsid w:val="00142A8C"/>
    <w:rsid w:val="00142CD5"/>
    <w:rsid w:val="0014326B"/>
    <w:rsid w:val="0014343B"/>
    <w:rsid w:val="00143BB5"/>
    <w:rsid w:val="00143BF6"/>
    <w:rsid w:val="00143C1E"/>
    <w:rsid w:val="00143C2A"/>
    <w:rsid w:val="00144803"/>
    <w:rsid w:val="00145134"/>
    <w:rsid w:val="00145158"/>
    <w:rsid w:val="00146134"/>
    <w:rsid w:val="001464C3"/>
    <w:rsid w:val="001477A8"/>
    <w:rsid w:val="00150683"/>
    <w:rsid w:val="0015083E"/>
    <w:rsid w:val="001508A5"/>
    <w:rsid w:val="00150F9C"/>
    <w:rsid w:val="0015172B"/>
    <w:rsid w:val="00151CBE"/>
    <w:rsid w:val="00152236"/>
    <w:rsid w:val="00152707"/>
    <w:rsid w:val="00152A86"/>
    <w:rsid w:val="00152BD1"/>
    <w:rsid w:val="001531F8"/>
    <w:rsid w:val="00153292"/>
    <w:rsid w:val="00153577"/>
    <w:rsid w:val="001536F9"/>
    <w:rsid w:val="0015396F"/>
    <w:rsid w:val="00153A86"/>
    <w:rsid w:val="00153D7E"/>
    <w:rsid w:val="00154079"/>
    <w:rsid w:val="0015472D"/>
    <w:rsid w:val="00154814"/>
    <w:rsid w:val="00154E22"/>
    <w:rsid w:val="001557DA"/>
    <w:rsid w:val="00155A30"/>
    <w:rsid w:val="00155BDC"/>
    <w:rsid w:val="00156366"/>
    <w:rsid w:val="0015639F"/>
    <w:rsid w:val="001564D0"/>
    <w:rsid w:val="00156EFC"/>
    <w:rsid w:val="00157384"/>
    <w:rsid w:val="001573F6"/>
    <w:rsid w:val="0015795D"/>
    <w:rsid w:val="001579D5"/>
    <w:rsid w:val="00157A25"/>
    <w:rsid w:val="00157EE6"/>
    <w:rsid w:val="00160BC6"/>
    <w:rsid w:val="00161423"/>
    <w:rsid w:val="001616CA"/>
    <w:rsid w:val="00163858"/>
    <w:rsid w:val="0016388D"/>
    <w:rsid w:val="00163C82"/>
    <w:rsid w:val="00164468"/>
    <w:rsid w:val="001644F8"/>
    <w:rsid w:val="001652A0"/>
    <w:rsid w:val="0016577D"/>
    <w:rsid w:val="0016699B"/>
    <w:rsid w:val="00166AAB"/>
    <w:rsid w:val="0016719D"/>
    <w:rsid w:val="00167AD2"/>
    <w:rsid w:val="00167B1F"/>
    <w:rsid w:val="0017099F"/>
    <w:rsid w:val="001715EB"/>
    <w:rsid w:val="0017177C"/>
    <w:rsid w:val="00171926"/>
    <w:rsid w:val="00171B02"/>
    <w:rsid w:val="00171CC7"/>
    <w:rsid w:val="001720F4"/>
    <w:rsid w:val="0017274A"/>
    <w:rsid w:val="001729F4"/>
    <w:rsid w:val="00173EF1"/>
    <w:rsid w:val="001742AF"/>
    <w:rsid w:val="00174B30"/>
    <w:rsid w:val="00174E3D"/>
    <w:rsid w:val="00174E62"/>
    <w:rsid w:val="00174FFE"/>
    <w:rsid w:val="001754DB"/>
    <w:rsid w:val="001758E9"/>
    <w:rsid w:val="001758F5"/>
    <w:rsid w:val="001759EB"/>
    <w:rsid w:val="00175A8B"/>
    <w:rsid w:val="00175EE8"/>
    <w:rsid w:val="00175F09"/>
    <w:rsid w:val="001764B6"/>
    <w:rsid w:val="00176D1B"/>
    <w:rsid w:val="00176F84"/>
    <w:rsid w:val="001772BE"/>
    <w:rsid w:val="00177455"/>
    <w:rsid w:val="001778B2"/>
    <w:rsid w:val="00180692"/>
    <w:rsid w:val="00180759"/>
    <w:rsid w:val="00180ABE"/>
    <w:rsid w:val="00180E83"/>
    <w:rsid w:val="00180F46"/>
    <w:rsid w:val="00181830"/>
    <w:rsid w:val="00181A2B"/>
    <w:rsid w:val="00181A3F"/>
    <w:rsid w:val="00182015"/>
    <w:rsid w:val="001821E1"/>
    <w:rsid w:val="001824D1"/>
    <w:rsid w:val="00182790"/>
    <w:rsid w:val="00182DBB"/>
    <w:rsid w:val="001833B5"/>
    <w:rsid w:val="00183D3F"/>
    <w:rsid w:val="0018410F"/>
    <w:rsid w:val="00184145"/>
    <w:rsid w:val="001842DA"/>
    <w:rsid w:val="00185A86"/>
    <w:rsid w:val="00185D9A"/>
    <w:rsid w:val="001866AF"/>
    <w:rsid w:val="00187207"/>
    <w:rsid w:val="00187362"/>
    <w:rsid w:val="00187B26"/>
    <w:rsid w:val="00187E76"/>
    <w:rsid w:val="00192110"/>
    <w:rsid w:val="00192A82"/>
    <w:rsid w:val="00192FE5"/>
    <w:rsid w:val="00193146"/>
    <w:rsid w:val="001939ED"/>
    <w:rsid w:val="00194855"/>
    <w:rsid w:val="00195B7F"/>
    <w:rsid w:val="00195DF7"/>
    <w:rsid w:val="0019651F"/>
    <w:rsid w:val="00196B2C"/>
    <w:rsid w:val="00196B99"/>
    <w:rsid w:val="00197BDA"/>
    <w:rsid w:val="001A0503"/>
    <w:rsid w:val="001A07AB"/>
    <w:rsid w:val="001A0C01"/>
    <w:rsid w:val="001A10FA"/>
    <w:rsid w:val="001A1976"/>
    <w:rsid w:val="001A1990"/>
    <w:rsid w:val="001A19C4"/>
    <w:rsid w:val="001A1FE8"/>
    <w:rsid w:val="001A286A"/>
    <w:rsid w:val="001A2992"/>
    <w:rsid w:val="001A2B03"/>
    <w:rsid w:val="001A2B67"/>
    <w:rsid w:val="001A4315"/>
    <w:rsid w:val="001A432C"/>
    <w:rsid w:val="001A44D3"/>
    <w:rsid w:val="001A45C4"/>
    <w:rsid w:val="001A4CD6"/>
    <w:rsid w:val="001A4CD8"/>
    <w:rsid w:val="001A55F3"/>
    <w:rsid w:val="001A55F6"/>
    <w:rsid w:val="001A5660"/>
    <w:rsid w:val="001A5FE9"/>
    <w:rsid w:val="001A61A3"/>
    <w:rsid w:val="001A7492"/>
    <w:rsid w:val="001B0A7B"/>
    <w:rsid w:val="001B0AD3"/>
    <w:rsid w:val="001B0E1C"/>
    <w:rsid w:val="001B0F40"/>
    <w:rsid w:val="001B0FED"/>
    <w:rsid w:val="001B132F"/>
    <w:rsid w:val="001B169D"/>
    <w:rsid w:val="001B16C5"/>
    <w:rsid w:val="001B1994"/>
    <w:rsid w:val="001B1CC6"/>
    <w:rsid w:val="001B1D37"/>
    <w:rsid w:val="001B28F0"/>
    <w:rsid w:val="001B295B"/>
    <w:rsid w:val="001B2C1A"/>
    <w:rsid w:val="001B2C43"/>
    <w:rsid w:val="001B33E8"/>
    <w:rsid w:val="001B379D"/>
    <w:rsid w:val="001B3D64"/>
    <w:rsid w:val="001B3D79"/>
    <w:rsid w:val="001B3E2D"/>
    <w:rsid w:val="001B3F97"/>
    <w:rsid w:val="001B48D7"/>
    <w:rsid w:val="001B4900"/>
    <w:rsid w:val="001B50C8"/>
    <w:rsid w:val="001B52F0"/>
    <w:rsid w:val="001B57B7"/>
    <w:rsid w:val="001B67E7"/>
    <w:rsid w:val="001B68E4"/>
    <w:rsid w:val="001B6DC8"/>
    <w:rsid w:val="001B7595"/>
    <w:rsid w:val="001B7644"/>
    <w:rsid w:val="001B782A"/>
    <w:rsid w:val="001B7F37"/>
    <w:rsid w:val="001C0500"/>
    <w:rsid w:val="001C0718"/>
    <w:rsid w:val="001C0ED1"/>
    <w:rsid w:val="001C1207"/>
    <w:rsid w:val="001C1CCF"/>
    <w:rsid w:val="001C1F2C"/>
    <w:rsid w:val="001C21F0"/>
    <w:rsid w:val="001C27E8"/>
    <w:rsid w:val="001C30CC"/>
    <w:rsid w:val="001C3368"/>
    <w:rsid w:val="001C354E"/>
    <w:rsid w:val="001C38C7"/>
    <w:rsid w:val="001C38CA"/>
    <w:rsid w:val="001C40BA"/>
    <w:rsid w:val="001C4B0A"/>
    <w:rsid w:val="001C4FF4"/>
    <w:rsid w:val="001C539B"/>
    <w:rsid w:val="001C5AC5"/>
    <w:rsid w:val="001C5F45"/>
    <w:rsid w:val="001C626E"/>
    <w:rsid w:val="001C6A01"/>
    <w:rsid w:val="001C6C27"/>
    <w:rsid w:val="001C77E5"/>
    <w:rsid w:val="001D0221"/>
    <w:rsid w:val="001D05AB"/>
    <w:rsid w:val="001D08D3"/>
    <w:rsid w:val="001D0BA7"/>
    <w:rsid w:val="001D1017"/>
    <w:rsid w:val="001D142B"/>
    <w:rsid w:val="001D1633"/>
    <w:rsid w:val="001D1E82"/>
    <w:rsid w:val="001D339B"/>
    <w:rsid w:val="001D35A3"/>
    <w:rsid w:val="001D37D7"/>
    <w:rsid w:val="001D37F5"/>
    <w:rsid w:val="001D3F7E"/>
    <w:rsid w:val="001D4B0A"/>
    <w:rsid w:val="001D4BF8"/>
    <w:rsid w:val="001D5594"/>
    <w:rsid w:val="001D56D0"/>
    <w:rsid w:val="001D5912"/>
    <w:rsid w:val="001D67EB"/>
    <w:rsid w:val="001D68BB"/>
    <w:rsid w:val="001D77D6"/>
    <w:rsid w:val="001E0E19"/>
    <w:rsid w:val="001E1D60"/>
    <w:rsid w:val="001E37E4"/>
    <w:rsid w:val="001E43B6"/>
    <w:rsid w:val="001E4631"/>
    <w:rsid w:val="001E5248"/>
    <w:rsid w:val="001E552B"/>
    <w:rsid w:val="001E558E"/>
    <w:rsid w:val="001E5BD2"/>
    <w:rsid w:val="001E5D4B"/>
    <w:rsid w:val="001E6089"/>
    <w:rsid w:val="001E680A"/>
    <w:rsid w:val="001E6CB8"/>
    <w:rsid w:val="001E6D1A"/>
    <w:rsid w:val="001E7713"/>
    <w:rsid w:val="001F0879"/>
    <w:rsid w:val="001F0AAA"/>
    <w:rsid w:val="001F27F8"/>
    <w:rsid w:val="001F30BE"/>
    <w:rsid w:val="001F30C2"/>
    <w:rsid w:val="001F31BB"/>
    <w:rsid w:val="001F3ADE"/>
    <w:rsid w:val="001F3B06"/>
    <w:rsid w:val="001F3F65"/>
    <w:rsid w:val="001F4542"/>
    <w:rsid w:val="001F54ED"/>
    <w:rsid w:val="001F6259"/>
    <w:rsid w:val="001F69C1"/>
    <w:rsid w:val="001F6B52"/>
    <w:rsid w:val="001F6E4D"/>
    <w:rsid w:val="001F7044"/>
    <w:rsid w:val="001F70AD"/>
    <w:rsid w:val="001F7F7B"/>
    <w:rsid w:val="002009F0"/>
    <w:rsid w:val="00201F4C"/>
    <w:rsid w:val="00201FFB"/>
    <w:rsid w:val="00202224"/>
    <w:rsid w:val="00202EB6"/>
    <w:rsid w:val="002032E7"/>
    <w:rsid w:val="002034D4"/>
    <w:rsid w:val="00203BB3"/>
    <w:rsid w:val="002040BE"/>
    <w:rsid w:val="00204777"/>
    <w:rsid w:val="00204E3E"/>
    <w:rsid w:val="00204FEE"/>
    <w:rsid w:val="002056E6"/>
    <w:rsid w:val="00205A34"/>
    <w:rsid w:val="00205A99"/>
    <w:rsid w:val="00205B06"/>
    <w:rsid w:val="00205EA8"/>
    <w:rsid w:val="00206116"/>
    <w:rsid w:val="00206841"/>
    <w:rsid w:val="002072DB"/>
    <w:rsid w:val="0020792B"/>
    <w:rsid w:val="00207DA4"/>
    <w:rsid w:val="00210082"/>
    <w:rsid w:val="002108A2"/>
    <w:rsid w:val="0021161F"/>
    <w:rsid w:val="002122B9"/>
    <w:rsid w:val="00213935"/>
    <w:rsid w:val="00214407"/>
    <w:rsid w:val="002154EB"/>
    <w:rsid w:val="00215A45"/>
    <w:rsid w:val="00215F13"/>
    <w:rsid w:val="00216D01"/>
    <w:rsid w:val="00217F95"/>
    <w:rsid w:val="002202AE"/>
    <w:rsid w:val="0022039C"/>
    <w:rsid w:val="00220C2D"/>
    <w:rsid w:val="00220C4A"/>
    <w:rsid w:val="00221169"/>
    <w:rsid w:val="00221A3C"/>
    <w:rsid w:val="00221FBA"/>
    <w:rsid w:val="002220F4"/>
    <w:rsid w:val="00222598"/>
    <w:rsid w:val="00222723"/>
    <w:rsid w:val="002227F2"/>
    <w:rsid w:val="00222DAB"/>
    <w:rsid w:val="002240AB"/>
    <w:rsid w:val="00224293"/>
    <w:rsid w:val="002244C2"/>
    <w:rsid w:val="00224527"/>
    <w:rsid w:val="00224809"/>
    <w:rsid w:val="00224F86"/>
    <w:rsid w:val="00225119"/>
    <w:rsid w:val="00226B66"/>
    <w:rsid w:val="00226D58"/>
    <w:rsid w:val="0022777A"/>
    <w:rsid w:val="00227D05"/>
    <w:rsid w:val="0023055C"/>
    <w:rsid w:val="00230660"/>
    <w:rsid w:val="00230834"/>
    <w:rsid w:val="00230A30"/>
    <w:rsid w:val="002310ED"/>
    <w:rsid w:val="00231297"/>
    <w:rsid w:val="00231AC6"/>
    <w:rsid w:val="00232739"/>
    <w:rsid w:val="00233776"/>
    <w:rsid w:val="00233A00"/>
    <w:rsid w:val="00234748"/>
    <w:rsid w:val="0023501D"/>
    <w:rsid w:val="00235043"/>
    <w:rsid w:val="00235421"/>
    <w:rsid w:val="0023547E"/>
    <w:rsid w:val="00235963"/>
    <w:rsid w:val="00235AEB"/>
    <w:rsid w:val="00236A0F"/>
    <w:rsid w:val="00236EB5"/>
    <w:rsid w:val="002371C7"/>
    <w:rsid w:val="002373F5"/>
    <w:rsid w:val="00240005"/>
    <w:rsid w:val="0024004E"/>
    <w:rsid w:val="002419A0"/>
    <w:rsid w:val="00242A7E"/>
    <w:rsid w:val="00242CF0"/>
    <w:rsid w:val="00242E59"/>
    <w:rsid w:val="002434E4"/>
    <w:rsid w:val="0024399F"/>
    <w:rsid w:val="00243B26"/>
    <w:rsid w:val="0024407A"/>
    <w:rsid w:val="002444EE"/>
    <w:rsid w:val="00244A87"/>
    <w:rsid w:val="00245031"/>
    <w:rsid w:val="00245A97"/>
    <w:rsid w:val="0024760A"/>
    <w:rsid w:val="00247655"/>
    <w:rsid w:val="00247691"/>
    <w:rsid w:val="002477C5"/>
    <w:rsid w:val="00251E6A"/>
    <w:rsid w:val="00251F67"/>
    <w:rsid w:val="00252E20"/>
    <w:rsid w:val="0025320D"/>
    <w:rsid w:val="00253615"/>
    <w:rsid w:val="002536EA"/>
    <w:rsid w:val="0025374A"/>
    <w:rsid w:val="00254A31"/>
    <w:rsid w:val="00254CB0"/>
    <w:rsid w:val="00255932"/>
    <w:rsid w:val="002559A8"/>
    <w:rsid w:val="0025627B"/>
    <w:rsid w:val="00256CE0"/>
    <w:rsid w:val="00257276"/>
    <w:rsid w:val="002578DA"/>
    <w:rsid w:val="002605C9"/>
    <w:rsid w:val="002606A8"/>
    <w:rsid w:val="00260D13"/>
    <w:rsid w:val="00260F08"/>
    <w:rsid w:val="0026141E"/>
    <w:rsid w:val="002618AF"/>
    <w:rsid w:val="00261FEF"/>
    <w:rsid w:val="00262143"/>
    <w:rsid w:val="0026244D"/>
    <w:rsid w:val="002629AD"/>
    <w:rsid w:val="0026304E"/>
    <w:rsid w:val="00263170"/>
    <w:rsid w:val="002631BD"/>
    <w:rsid w:val="002636DA"/>
    <w:rsid w:val="00263E07"/>
    <w:rsid w:val="002648A7"/>
    <w:rsid w:val="00264E80"/>
    <w:rsid w:val="00265473"/>
    <w:rsid w:val="00265AB7"/>
    <w:rsid w:val="00265AF9"/>
    <w:rsid w:val="00265E9A"/>
    <w:rsid w:val="00265F96"/>
    <w:rsid w:val="0026603E"/>
    <w:rsid w:val="002666AA"/>
    <w:rsid w:val="002667B2"/>
    <w:rsid w:val="002677A2"/>
    <w:rsid w:val="002678DA"/>
    <w:rsid w:val="00270122"/>
    <w:rsid w:val="0027066B"/>
    <w:rsid w:val="00270732"/>
    <w:rsid w:val="00270B02"/>
    <w:rsid w:val="002711AA"/>
    <w:rsid w:val="00271227"/>
    <w:rsid w:val="002717F5"/>
    <w:rsid w:val="0027244E"/>
    <w:rsid w:val="002728D9"/>
    <w:rsid w:val="00272ACE"/>
    <w:rsid w:val="00272B14"/>
    <w:rsid w:val="00272CD2"/>
    <w:rsid w:val="00272D2D"/>
    <w:rsid w:val="002731E6"/>
    <w:rsid w:val="00273914"/>
    <w:rsid w:val="00273DF9"/>
    <w:rsid w:val="0027451C"/>
    <w:rsid w:val="00274F3A"/>
    <w:rsid w:val="00275C48"/>
    <w:rsid w:val="002761FC"/>
    <w:rsid w:val="00276502"/>
    <w:rsid w:val="0027650E"/>
    <w:rsid w:val="00276D25"/>
    <w:rsid w:val="00277233"/>
    <w:rsid w:val="002772CD"/>
    <w:rsid w:val="00277822"/>
    <w:rsid w:val="0027794E"/>
    <w:rsid w:val="00277B54"/>
    <w:rsid w:val="00277F24"/>
    <w:rsid w:val="0028037A"/>
    <w:rsid w:val="00280541"/>
    <w:rsid w:val="0028096C"/>
    <w:rsid w:val="00281E0F"/>
    <w:rsid w:val="002823C8"/>
    <w:rsid w:val="00283114"/>
    <w:rsid w:val="00283843"/>
    <w:rsid w:val="00283C39"/>
    <w:rsid w:val="00283F1F"/>
    <w:rsid w:val="00284526"/>
    <w:rsid w:val="00284745"/>
    <w:rsid w:val="00284879"/>
    <w:rsid w:val="00284DAB"/>
    <w:rsid w:val="002850F0"/>
    <w:rsid w:val="00285233"/>
    <w:rsid w:val="00285438"/>
    <w:rsid w:val="00285CF3"/>
    <w:rsid w:val="0029034D"/>
    <w:rsid w:val="00291011"/>
    <w:rsid w:val="00293E37"/>
    <w:rsid w:val="00293E3E"/>
    <w:rsid w:val="00295012"/>
    <w:rsid w:val="00295222"/>
    <w:rsid w:val="00296400"/>
    <w:rsid w:val="002964ED"/>
    <w:rsid w:val="002A03FE"/>
    <w:rsid w:val="002A0C4C"/>
    <w:rsid w:val="002A111C"/>
    <w:rsid w:val="002A1792"/>
    <w:rsid w:val="002A1C21"/>
    <w:rsid w:val="002A1D73"/>
    <w:rsid w:val="002A1E44"/>
    <w:rsid w:val="002A1FFF"/>
    <w:rsid w:val="002A21DA"/>
    <w:rsid w:val="002A2753"/>
    <w:rsid w:val="002A2950"/>
    <w:rsid w:val="002A3284"/>
    <w:rsid w:val="002A337B"/>
    <w:rsid w:val="002A3ADF"/>
    <w:rsid w:val="002A4854"/>
    <w:rsid w:val="002A4E8F"/>
    <w:rsid w:val="002A5944"/>
    <w:rsid w:val="002A5B68"/>
    <w:rsid w:val="002A5EB4"/>
    <w:rsid w:val="002A6E4A"/>
    <w:rsid w:val="002B0624"/>
    <w:rsid w:val="002B0D5F"/>
    <w:rsid w:val="002B166C"/>
    <w:rsid w:val="002B2138"/>
    <w:rsid w:val="002B39EE"/>
    <w:rsid w:val="002B4418"/>
    <w:rsid w:val="002B4B08"/>
    <w:rsid w:val="002B4BCF"/>
    <w:rsid w:val="002B505A"/>
    <w:rsid w:val="002B5D25"/>
    <w:rsid w:val="002B5D7F"/>
    <w:rsid w:val="002B628C"/>
    <w:rsid w:val="002B65F3"/>
    <w:rsid w:val="002B6D5A"/>
    <w:rsid w:val="002B7024"/>
    <w:rsid w:val="002B71DE"/>
    <w:rsid w:val="002C1972"/>
    <w:rsid w:val="002C3131"/>
    <w:rsid w:val="002C3BC6"/>
    <w:rsid w:val="002C3DCB"/>
    <w:rsid w:val="002C3EA6"/>
    <w:rsid w:val="002C4453"/>
    <w:rsid w:val="002C4455"/>
    <w:rsid w:val="002C4D1E"/>
    <w:rsid w:val="002C54A8"/>
    <w:rsid w:val="002C5BCA"/>
    <w:rsid w:val="002C5E5A"/>
    <w:rsid w:val="002C5EF8"/>
    <w:rsid w:val="002C66B1"/>
    <w:rsid w:val="002C6CC7"/>
    <w:rsid w:val="002C6FB6"/>
    <w:rsid w:val="002D0183"/>
    <w:rsid w:val="002D05E8"/>
    <w:rsid w:val="002D2CF6"/>
    <w:rsid w:val="002D2E79"/>
    <w:rsid w:val="002D3E49"/>
    <w:rsid w:val="002D4056"/>
    <w:rsid w:val="002D414B"/>
    <w:rsid w:val="002D44E1"/>
    <w:rsid w:val="002D4940"/>
    <w:rsid w:val="002D4E86"/>
    <w:rsid w:val="002D4FDD"/>
    <w:rsid w:val="002D5272"/>
    <w:rsid w:val="002D534A"/>
    <w:rsid w:val="002D5FDA"/>
    <w:rsid w:val="002D6253"/>
    <w:rsid w:val="002D6705"/>
    <w:rsid w:val="002D6815"/>
    <w:rsid w:val="002D6A94"/>
    <w:rsid w:val="002D7A2B"/>
    <w:rsid w:val="002D7CE6"/>
    <w:rsid w:val="002E00EC"/>
    <w:rsid w:val="002E072F"/>
    <w:rsid w:val="002E0A7A"/>
    <w:rsid w:val="002E0CBB"/>
    <w:rsid w:val="002E180A"/>
    <w:rsid w:val="002E19E1"/>
    <w:rsid w:val="002E1ACB"/>
    <w:rsid w:val="002E1C50"/>
    <w:rsid w:val="002E2270"/>
    <w:rsid w:val="002E23BC"/>
    <w:rsid w:val="002E2B0D"/>
    <w:rsid w:val="002E2E2B"/>
    <w:rsid w:val="002E328E"/>
    <w:rsid w:val="002E3966"/>
    <w:rsid w:val="002E3AA5"/>
    <w:rsid w:val="002E3B52"/>
    <w:rsid w:val="002E3CDB"/>
    <w:rsid w:val="002E4460"/>
    <w:rsid w:val="002E4B27"/>
    <w:rsid w:val="002E4D13"/>
    <w:rsid w:val="002E578A"/>
    <w:rsid w:val="002E5828"/>
    <w:rsid w:val="002E5DB0"/>
    <w:rsid w:val="002E66EF"/>
    <w:rsid w:val="002E6D74"/>
    <w:rsid w:val="002E74BA"/>
    <w:rsid w:val="002E78F3"/>
    <w:rsid w:val="002E7DFD"/>
    <w:rsid w:val="002F0640"/>
    <w:rsid w:val="002F0FE7"/>
    <w:rsid w:val="002F135C"/>
    <w:rsid w:val="002F1F53"/>
    <w:rsid w:val="002F24B0"/>
    <w:rsid w:val="002F2775"/>
    <w:rsid w:val="002F3DBB"/>
    <w:rsid w:val="002F3F85"/>
    <w:rsid w:val="002F47AF"/>
    <w:rsid w:val="002F4B74"/>
    <w:rsid w:val="002F526C"/>
    <w:rsid w:val="002F571C"/>
    <w:rsid w:val="002F59CD"/>
    <w:rsid w:val="002F6E78"/>
    <w:rsid w:val="002F711D"/>
    <w:rsid w:val="002F7BA5"/>
    <w:rsid w:val="002F7DAB"/>
    <w:rsid w:val="0030018B"/>
    <w:rsid w:val="00300594"/>
    <w:rsid w:val="0030076F"/>
    <w:rsid w:val="00300D7E"/>
    <w:rsid w:val="00300FB6"/>
    <w:rsid w:val="003010A7"/>
    <w:rsid w:val="0030116F"/>
    <w:rsid w:val="0030178D"/>
    <w:rsid w:val="00302E33"/>
    <w:rsid w:val="00303793"/>
    <w:rsid w:val="003039AC"/>
    <w:rsid w:val="00303A45"/>
    <w:rsid w:val="003042EA"/>
    <w:rsid w:val="00304AEB"/>
    <w:rsid w:val="0030745A"/>
    <w:rsid w:val="003074A7"/>
    <w:rsid w:val="003077DF"/>
    <w:rsid w:val="00310B66"/>
    <w:rsid w:val="00311E00"/>
    <w:rsid w:val="00312B31"/>
    <w:rsid w:val="00312E66"/>
    <w:rsid w:val="00312EC6"/>
    <w:rsid w:val="00313D2A"/>
    <w:rsid w:val="00313DBE"/>
    <w:rsid w:val="00313E10"/>
    <w:rsid w:val="00315A7A"/>
    <w:rsid w:val="00315BAE"/>
    <w:rsid w:val="0031616E"/>
    <w:rsid w:val="003162E7"/>
    <w:rsid w:val="003163EC"/>
    <w:rsid w:val="003171F9"/>
    <w:rsid w:val="00317485"/>
    <w:rsid w:val="003174F4"/>
    <w:rsid w:val="00320C07"/>
    <w:rsid w:val="003211F2"/>
    <w:rsid w:val="00321449"/>
    <w:rsid w:val="003221F4"/>
    <w:rsid w:val="00322790"/>
    <w:rsid w:val="00322855"/>
    <w:rsid w:val="0032356D"/>
    <w:rsid w:val="00323951"/>
    <w:rsid w:val="00324635"/>
    <w:rsid w:val="00330722"/>
    <w:rsid w:val="00330D17"/>
    <w:rsid w:val="00330F47"/>
    <w:rsid w:val="003317F7"/>
    <w:rsid w:val="00331973"/>
    <w:rsid w:val="00331C76"/>
    <w:rsid w:val="003324BA"/>
    <w:rsid w:val="00332A79"/>
    <w:rsid w:val="003330FE"/>
    <w:rsid w:val="00333898"/>
    <w:rsid w:val="00333DB7"/>
    <w:rsid w:val="0033429D"/>
    <w:rsid w:val="00335B55"/>
    <w:rsid w:val="00335B5F"/>
    <w:rsid w:val="003365BF"/>
    <w:rsid w:val="003376A9"/>
    <w:rsid w:val="00337914"/>
    <w:rsid w:val="00337B9A"/>
    <w:rsid w:val="0034001C"/>
    <w:rsid w:val="00340B65"/>
    <w:rsid w:val="0034102A"/>
    <w:rsid w:val="003412EA"/>
    <w:rsid w:val="0034131A"/>
    <w:rsid w:val="003417AD"/>
    <w:rsid w:val="00341C22"/>
    <w:rsid w:val="00342F7F"/>
    <w:rsid w:val="00343141"/>
    <w:rsid w:val="003433CA"/>
    <w:rsid w:val="003434FB"/>
    <w:rsid w:val="00343AF3"/>
    <w:rsid w:val="003442E0"/>
    <w:rsid w:val="003445E6"/>
    <w:rsid w:val="00345094"/>
    <w:rsid w:val="003453DC"/>
    <w:rsid w:val="00345AA5"/>
    <w:rsid w:val="003464A9"/>
    <w:rsid w:val="00346949"/>
    <w:rsid w:val="00347662"/>
    <w:rsid w:val="003479EF"/>
    <w:rsid w:val="00347BCC"/>
    <w:rsid w:val="0035008D"/>
    <w:rsid w:val="003508FF"/>
    <w:rsid w:val="00350E6D"/>
    <w:rsid w:val="003518E4"/>
    <w:rsid w:val="003522A8"/>
    <w:rsid w:val="00352512"/>
    <w:rsid w:val="00352A0F"/>
    <w:rsid w:val="00352FFC"/>
    <w:rsid w:val="003530F1"/>
    <w:rsid w:val="0035347B"/>
    <w:rsid w:val="003534DB"/>
    <w:rsid w:val="00353F9C"/>
    <w:rsid w:val="003540F5"/>
    <w:rsid w:val="003541FC"/>
    <w:rsid w:val="003543C3"/>
    <w:rsid w:val="00354C2F"/>
    <w:rsid w:val="00355AAB"/>
    <w:rsid w:val="00355C24"/>
    <w:rsid w:val="00355FDA"/>
    <w:rsid w:val="0035641B"/>
    <w:rsid w:val="00356CB5"/>
    <w:rsid w:val="003571B8"/>
    <w:rsid w:val="0035741C"/>
    <w:rsid w:val="003575CD"/>
    <w:rsid w:val="003577BF"/>
    <w:rsid w:val="00357DDE"/>
    <w:rsid w:val="00357F81"/>
    <w:rsid w:val="00360242"/>
    <w:rsid w:val="00360496"/>
    <w:rsid w:val="00360698"/>
    <w:rsid w:val="00361590"/>
    <w:rsid w:val="0036175A"/>
    <w:rsid w:val="0036268D"/>
    <w:rsid w:val="003626B4"/>
    <w:rsid w:val="00362898"/>
    <w:rsid w:val="00362AB4"/>
    <w:rsid w:val="00362EA6"/>
    <w:rsid w:val="00363740"/>
    <w:rsid w:val="003637D6"/>
    <w:rsid w:val="00363CDA"/>
    <w:rsid w:val="00364845"/>
    <w:rsid w:val="003664BF"/>
    <w:rsid w:val="0036675B"/>
    <w:rsid w:val="00366783"/>
    <w:rsid w:val="00366954"/>
    <w:rsid w:val="003669D5"/>
    <w:rsid w:val="00366B7E"/>
    <w:rsid w:val="00366F84"/>
    <w:rsid w:val="00370EFF"/>
    <w:rsid w:val="003714CF"/>
    <w:rsid w:val="003724FD"/>
    <w:rsid w:val="0037272C"/>
    <w:rsid w:val="00372AF8"/>
    <w:rsid w:val="00372E70"/>
    <w:rsid w:val="00372E82"/>
    <w:rsid w:val="003730A6"/>
    <w:rsid w:val="003741CE"/>
    <w:rsid w:val="003749D8"/>
    <w:rsid w:val="00374FF3"/>
    <w:rsid w:val="003751B4"/>
    <w:rsid w:val="00375381"/>
    <w:rsid w:val="00375B30"/>
    <w:rsid w:val="00376005"/>
    <w:rsid w:val="0037620B"/>
    <w:rsid w:val="003763DA"/>
    <w:rsid w:val="00376DFE"/>
    <w:rsid w:val="00377829"/>
    <w:rsid w:val="00377B0E"/>
    <w:rsid w:val="0038012B"/>
    <w:rsid w:val="0038101A"/>
    <w:rsid w:val="003811F9"/>
    <w:rsid w:val="003812BC"/>
    <w:rsid w:val="0038167F"/>
    <w:rsid w:val="00381F2A"/>
    <w:rsid w:val="00381F32"/>
    <w:rsid w:val="00382072"/>
    <w:rsid w:val="00382A82"/>
    <w:rsid w:val="00382B6A"/>
    <w:rsid w:val="00382C99"/>
    <w:rsid w:val="00382D6E"/>
    <w:rsid w:val="00382D8D"/>
    <w:rsid w:val="00383589"/>
    <w:rsid w:val="00383AA3"/>
    <w:rsid w:val="003845AE"/>
    <w:rsid w:val="003846CF"/>
    <w:rsid w:val="00384909"/>
    <w:rsid w:val="0038577E"/>
    <w:rsid w:val="0038632D"/>
    <w:rsid w:val="00386A2A"/>
    <w:rsid w:val="0038702B"/>
    <w:rsid w:val="0038789C"/>
    <w:rsid w:val="00387E05"/>
    <w:rsid w:val="00390067"/>
    <w:rsid w:val="003909A0"/>
    <w:rsid w:val="0039142B"/>
    <w:rsid w:val="00391F21"/>
    <w:rsid w:val="00392203"/>
    <w:rsid w:val="003940E2"/>
    <w:rsid w:val="0039411E"/>
    <w:rsid w:val="0039433D"/>
    <w:rsid w:val="0039451B"/>
    <w:rsid w:val="00394578"/>
    <w:rsid w:val="00394A95"/>
    <w:rsid w:val="00394D75"/>
    <w:rsid w:val="00394F27"/>
    <w:rsid w:val="003956F1"/>
    <w:rsid w:val="0039575D"/>
    <w:rsid w:val="00395C49"/>
    <w:rsid w:val="00396801"/>
    <w:rsid w:val="00396C96"/>
    <w:rsid w:val="00396F99"/>
    <w:rsid w:val="003A00EB"/>
    <w:rsid w:val="003A0523"/>
    <w:rsid w:val="003A07BA"/>
    <w:rsid w:val="003A113B"/>
    <w:rsid w:val="003A11ED"/>
    <w:rsid w:val="003A12B4"/>
    <w:rsid w:val="003A1B28"/>
    <w:rsid w:val="003A1B5D"/>
    <w:rsid w:val="003A1D8A"/>
    <w:rsid w:val="003A1EE3"/>
    <w:rsid w:val="003A1F68"/>
    <w:rsid w:val="003A210E"/>
    <w:rsid w:val="003A3A71"/>
    <w:rsid w:val="003A3E39"/>
    <w:rsid w:val="003A45DD"/>
    <w:rsid w:val="003A4D42"/>
    <w:rsid w:val="003A5521"/>
    <w:rsid w:val="003A6F12"/>
    <w:rsid w:val="003A799A"/>
    <w:rsid w:val="003A7D57"/>
    <w:rsid w:val="003B2399"/>
    <w:rsid w:val="003B2EDC"/>
    <w:rsid w:val="003B3937"/>
    <w:rsid w:val="003B3AB8"/>
    <w:rsid w:val="003B3B23"/>
    <w:rsid w:val="003B3C68"/>
    <w:rsid w:val="003B42C0"/>
    <w:rsid w:val="003B472C"/>
    <w:rsid w:val="003B5972"/>
    <w:rsid w:val="003B6C26"/>
    <w:rsid w:val="003B763D"/>
    <w:rsid w:val="003B7F78"/>
    <w:rsid w:val="003C00B3"/>
    <w:rsid w:val="003C06A1"/>
    <w:rsid w:val="003C08BE"/>
    <w:rsid w:val="003C0C05"/>
    <w:rsid w:val="003C11A8"/>
    <w:rsid w:val="003C1412"/>
    <w:rsid w:val="003C162B"/>
    <w:rsid w:val="003C1C58"/>
    <w:rsid w:val="003C243F"/>
    <w:rsid w:val="003C2495"/>
    <w:rsid w:val="003C2E4C"/>
    <w:rsid w:val="003C2FB0"/>
    <w:rsid w:val="003C38F5"/>
    <w:rsid w:val="003C41E9"/>
    <w:rsid w:val="003C4398"/>
    <w:rsid w:val="003C48AB"/>
    <w:rsid w:val="003C4ED9"/>
    <w:rsid w:val="003C5748"/>
    <w:rsid w:val="003C5A6A"/>
    <w:rsid w:val="003C5B57"/>
    <w:rsid w:val="003C5C40"/>
    <w:rsid w:val="003C5C76"/>
    <w:rsid w:val="003C6F52"/>
    <w:rsid w:val="003C73B5"/>
    <w:rsid w:val="003C7A4D"/>
    <w:rsid w:val="003D0990"/>
    <w:rsid w:val="003D0D25"/>
    <w:rsid w:val="003D1642"/>
    <w:rsid w:val="003D16EF"/>
    <w:rsid w:val="003D2403"/>
    <w:rsid w:val="003D2867"/>
    <w:rsid w:val="003D2D2E"/>
    <w:rsid w:val="003D32A2"/>
    <w:rsid w:val="003D3764"/>
    <w:rsid w:val="003D3F2D"/>
    <w:rsid w:val="003D3FCB"/>
    <w:rsid w:val="003D3FDA"/>
    <w:rsid w:val="003D4029"/>
    <w:rsid w:val="003D45D8"/>
    <w:rsid w:val="003D5A39"/>
    <w:rsid w:val="003D6048"/>
    <w:rsid w:val="003D63A1"/>
    <w:rsid w:val="003D7C6E"/>
    <w:rsid w:val="003E086A"/>
    <w:rsid w:val="003E0937"/>
    <w:rsid w:val="003E0942"/>
    <w:rsid w:val="003E0D91"/>
    <w:rsid w:val="003E13DE"/>
    <w:rsid w:val="003E166D"/>
    <w:rsid w:val="003E2B63"/>
    <w:rsid w:val="003E3058"/>
    <w:rsid w:val="003E34E8"/>
    <w:rsid w:val="003E3ED9"/>
    <w:rsid w:val="003E4004"/>
    <w:rsid w:val="003E4568"/>
    <w:rsid w:val="003E4E3B"/>
    <w:rsid w:val="003E5EB4"/>
    <w:rsid w:val="003E6E21"/>
    <w:rsid w:val="003E7180"/>
    <w:rsid w:val="003E7B07"/>
    <w:rsid w:val="003F0153"/>
    <w:rsid w:val="003F0209"/>
    <w:rsid w:val="003F0982"/>
    <w:rsid w:val="003F0AB0"/>
    <w:rsid w:val="003F0AB4"/>
    <w:rsid w:val="003F0B04"/>
    <w:rsid w:val="003F1CD7"/>
    <w:rsid w:val="003F2D9D"/>
    <w:rsid w:val="003F2DB4"/>
    <w:rsid w:val="003F33B8"/>
    <w:rsid w:val="003F3854"/>
    <w:rsid w:val="003F39CE"/>
    <w:rsid w:val="003F3A1C"/>
    <w:rsid w:val="003F3B71"/>
    <w:rsid w:val="003F3C15"/>
    <w:rsid w:val="003F49A1"/>
    <w:rsid w:val="003F55F8"/>
    <w:rsid w:val="003F56AB"/>
    <w:rsid w:val="003F5C68"/>
    <w:rsid w:val="003F6295"/>
    <w:rsid w:val="003F6A02"/>
    <w:rsid w:val="00400360"/>
    <w:rsid w:val="00400966"/>
    <w:rsid w:val="00400C05"/>
    <w:rsid w:val="004010F7"/>
    <w:rsid w:val="0040113F"/>
    <w:rsid w:val="00401B71"/>
    <w:rsid w:val="004026BB"/>
    <w:rsid w:val="00402911"/>
    <w:rsid w:val="00402F8D"/>
    <w:rsid w:val="00403446"/>
    <w:rsid w:val="00403B2C"/>
    <w:rsid w:val="0040402C"/>
    <w:rsid w:val="00404532"/>
    <w:rsid w:val="004047D8"/>
    <w:rsid w:val="00404AC6"/>
    <w:rsid w:val="00404E0E"/>
    <w:rsid w:val="00404FA4"/>
    <w:rsid w:val="00405161"/>
    <w:rsid w:val="004053B8"/>
    <w:rsid w:val="004055BC"/>
    <w:rsid w:val="004064DF"/>
    <w:rsid w:val="00406D57"/>
    <w:rsid w:val="004073A1"/>
    <w:rsid w:val="00407796"/>
    <w:rsid w:val="004079E5"/>
    <w:rsid w:val="004104C4"/>
    <w:rsid w:val="00410F69"/>
    <w:rsid w:val="004113A3"/>
    <w:rsid w:val="0041186C"/>
    <w:rsid w:val="004126A4"/>
    <w:rsid w:val="00412E49"/>
    <w:rsid w:val="00412E9D"/>
    <w:rsid w:val="00412FAA"/>
    <w:rsid w:val="00413875"/>
    <w:rsid w:val="00413A22"/>
    <w:rsid w:val="00413F18"/>
    <w:rsid w:val="00414235"/>
    <w:rsid w:val="0041489D"/>
    <w:rsid w:val="004148DA"/>
    <w:rsid w:val="004154C8"/>
    <w:rsid w:val="0041644E"/>
    <w:rsid w:val="00416791"/>
    <w:rsid w:val="00416ACC"/>
    <w:rsid w:val="00416E23"/>
    <w:rsid w:val="0041728D"/>
    <w:rsid w:val="004201D7"/>
    <w:rsid w:val="00420E11"/>
    <w:rsid w:val="00420E38"/>
    <w:rsid w:val="00420F0A"/>
    <w:rsid w:val="004213C1"/>
    <w:rsid w:val="00423145"/>
    <w:rsid w:val="00423384"/>
    <w:rsid w:val="00423DC2"/>
    <w:rsid w:val="00423F96"/>
    <w:rsid w:val="00424436"/>
    <w:rsid w:val="00424661"/>
    <w:rsid w:val="00424F78"/>
    <w:rsid w:val="0042529F"/>
    <w:rsid w:val="00425375"/>
    <w:rsid w:val="00425BE8"/>
    <w:rsid w:val="00426249"/>
    <w:rsid w:val="004273EE"/>
    <w:rsid w:val="00430B06"/>
    <w:rsid w:val="00430C50"/>
    <w:rsid w:val="00430D24"/>
    <w:rsid w:val="00431798"/>
    <w:rsid w:val="0043250E"/>
    <w:rsid w:val="00432E1A"/>
    <w:rsid w:val="004339AF"/>
    <w:rsid w:val="00434785"/>
    <w:rsid w:val="0043486C"/>
    <w:rsid w:val="00434AE1"/>
    <w:rsid w:val="00434D7B"/>
    <w:rsid w:val="0043503D"/>
    <w:rsid w:val="004356D5"/>
    <w:rsid w:val="00435846"/>
    <w:rsid w:val="00435AB3"/>
    <w:rsid w:val="004364CB"/>
    <w:rsid w:val="004373E3"/>
    <w:rsid w:val="00437728"/>
    <w:rsid w:val="00437B02"/>
    <w:rsid w:val="00440350"/>
    <w:rsid w:val="0044091D"/>
    <w:rsid w:val="00440C18"/>
    <w:rsid w:val="00440E26"/>
    <w:rsid w:val="0044102B"/>
    <w:rsid w:val="0044105A"/>
    <w:rsid w:val="004411C0"/>
    <w:rsid w:val="00441F0D"/>
    <w:rsid w:val="004429A1"/>
    <w:rsid w:val="00442B75"/>
    <w:rsid w:val="00443222"/>
    <w:rsid w:val="00443E03"/>
    <w:rsid w:val="0044430A"/>
    <w:rsid w:val="0044446B"/>
    <w:rsid w:val="0044492A"/>
    <w:rsid w:val="004450FE"/>
    <w:rsid w:val="00445415"/>
    <w:rsid w:val="004456A9"/>
    <w:rsid w:val="00445A8E"/>
    <w:rsid w:val="00446EB0"/>
    <w:rsid w:val="00446FFD"/>
    <w:rsid w:val="00447126"/>
    <w:rsid w:val="004473D7"/>
    <w:rsid w:val="0044786D"/>
    <w:rsid w:val="00447A25"/>
    <w:rsid w:val="00447F48"/>
    <w:rsid w:val="00447FB6"/>
    <w:rsid w:val="00450387"/>
    <w:rsid w:val="00450F30"/>
    <w:rsid w:val="00450FA3"/>
    <w:rsid w:val="004514A0"/>
    <w:rsid w:val="0045180E"/>
    <w:rsid w:val="00452104"/>
    <w:rsid w:val="004525CE"/>
    <w:rsid w:val="00452834"/>
    <w:rsid w:val="00452E69"/>
    <w:rsid w:val="004531D9"/>
    <w:rsid w:val="00453403"/>
    <w:rsid w:val="004537EB"/>
    <w:rsid w:val="00454CC0"/>
    <w:rsid w:val="004558D4"/>
    <w:rsid w:val="00455D18"/>
    <w:rsid w:val="00456547"/>
    <w:rsid w:val="00456C23"/>
    <w:rsid w:val="00456DFA"/>
    <w:rsid w:val="00457099"/>
    <w:rsid w:val="004576CE"/>
    <w:rsid w:val="0046036E"/>
    <w:rsid w:val="004608CF"/>
    <w:rsid w:val="004609DB"/>
    <w:rsid w:val="00460EB4"/>
    <w:rsid w:val="004613AC"/>
    <w:rsid w:val="004613BF"/>
    <w:rsid w:val="0046144A"/>
    <w:rsid w:val="00461EFF"/>
    <w:rsid w:val="00462578"/>
    <w:rsid w:val="00462A2B"/>
    <w:rsid w:val="00462C15"/>
    <w:rsid w:val="004630A6"/>
    <w:rsid w:val="00463281"/>
    <w:rsid w:val="00463304"/>
    <w:rsid w:val="0046338B"/>
    <w:rsid w:val="00463659"/>
    <w:rsid w:val="00463F44"/>
    <w:rsid w:val="0046488F"/>
    <w:rsid w:val="00464D62"/>
    <w:rsid w:val="00464EAE"/>
    <w:rsid w:val="00465537"/>
    <w:rsid w:val="00465650"/>
    <w:rsid w:val="0046595F"/>
    <w:rsid w:val="004659E5"/>
    <w:rsid w:val="00465FAA"/>
    <w:rsid w:val="0046615D"/>
    <w:rsid w:val="00466179"/>
    <w:rsid w:val="0046694E"/>
    <w:rsid w:val="00466A82"/>
    <w:rsid w:val="00467042"/>
    <w:rsid w:val="004670C8"/>
    <w:rsid w:val="00467223"/>
    <w:rsid w:val="00467294"/>
    <w:rsid w:val="00470360"/>
    <w:rsid w:val="0047064A"/>
    <w:rsid w:val="0047073D"/>
    <w:rsid w:val="00471170"/>
    <w:rsid w:val="00472DF5"/>
    <w:rsid w:val="004730D9"/>
    <w:rsid w:val="004732B5"/>
    <w:rsid w:val="004733C3"/>
    <w:rsid w:val="004736A1"/>
    <w:rsid w:val="00473F1E"/>
    <w:rsid w:val="0047455E"/>
    <w:rsid w:val="00474AF5"/>
    <w:rsid w:val="00475D52"/>
    <w:rsid w:val="00476426"/>
    <w:rsid w:val="00477496"/>
    <w:rsid w:val="00477754"/>
    <w:rsid w:val="00477909"/>
    <w:rsid w:val="00477E30"/>
    <w:rsid w:val="00480219"/>
    <w:rsid w:val="00480AB2"/>
    <w:rsid w:val="004812AD"/>
    <w:rsid w:val="004816A9"/>
    <w:rsid w:val="004824AE"/>
    <w:rsid w:val="004827FE"/>
    <w:rsid w:val="00482EC9"/>
    <w:rsid w:val="004830BC"/>
    <w:rsid w:val="00483A3D"/>
    <w:rsid w:val="00483B60"/>
    <w:rsid w:val="00483D18"/>
    <w:rsid w:val="0048426B"/>
    <w:rsid w:val="00484859"/>
    <w:rsid w:val="00485470"/>
    <w:rsid w:val="004859D7"/>
    <w:rsid w:val="00485BC8"/>
    <w:rsid w:val="00485FBE"/>
    <w:rsid w:val="0048630D"/>
    <w:rsid w:val="004869EF"/>
    <w:rsid w:val="00487237"/>
    <w:rsid w:val="0048794A"/>
    <w:rsid w:val="00487A69"/>
    <w:rsid w:val="00487A9E"/>
    <w:rsid w:val="004905FD"/>
    <w:rsid w:val="004909AA"/>
    <w:rsid w:val="00490D4B"/>
    <w:rsid w:val="00490DB8"/>
    <w:rsid w:val="00490F8C"/>
    <w:rsid w:val="00491098"/>
    <w:rsid w:val="00491654"/>
    <w:rsid w:val="00491715"/>
    <w:rsid w:val="004918D2"/>
    <w:rsid w:val="00491BE4"/>
    <w:rsid w:val="00491BFD"/>
    <w:rsid w:val="00491FEC"/>
    <w:rsid w:val="00492E5F"/>
    <w:rsid w:val="00493134"/>
    <w:rsid w:val="00493AD6"/>
    <w:rsid w:val="00493CA0"/>
    <w:rsid w:val="004940AE"/>
    <w:rsid w:val="00494259"/>
    <w:rsid w:val="00494D59"/>
    <w:rsid w:val="00494D8F"/>
    <w:rsid w:val="00495A7C"/>
    <w:rsid w:val="00495B22"/>
    <w:rsid w:val="004964BE"/>
    <w:rsid w:val="00497710"/>
    <w:rsid w:val="00497AD5"/>
    <w:rsid w:val="004A0075"/>
    <w:rsid w:val="004A08CB"/>
    <w:rsid w:val="004A11C8"/>
    <w:rsid w:val="004A1DBC"/>
    <w:rsid w:val="004A1E3C"/>
    <w:rsid w:val="004A2517"/>
    <w:rsid w:val="004A2C3E"/>
    <w:rsid w:val="004A35D2"/>
    <w:rsid w:val="004A3E69"/>
    <w:rsid w:val="004A43D5"/>
    <w:rsid w:val="004A455F"/>
    <w:rsid w:val="004A46B7"/>
    <w:rsid w:val="004A4F04"/>
    <w:rsid w:val="004A5BFC"/>
    <w:rsid w:val="004A5CE2"/>
    <w:rsid w:val="004A6843"/>
    <w:rsid w:val="004A6E59"/>
    <w:rsid w:val="004B00A6"/>
    <w:rsid w:val="004B0839"/>
    <w:rsid w:val="004B0C33"/>
    <w:rsid w:val="004B1F39"/>
    <w:rsid w:val="004B22F9"/>
    <w:rsid w:val="004B2639"/>
    <w:rsid w:val="004B284A"/>
    <w:rsid w:val="004B28A1"/>
    <w:rsid w:val="004B37ED"/>
    <w:rsid w:val="004B3C2D"/>
    <w:rsid w:val="004B40EC"/>
    <w:rsid w:val="004B5733"/>
    <w:rsid w:val="004B5786"/>
    <w:rsid w:val="004B6A46"/>
    <w:rsid w:val="004B6F40"/>
    <w:rsid w:val="004B7123"/>
    <w:rsid w:val="004B78F4"/>
    <w:rsid w:val="004B7B7A"/>
    <w:rsid w:val="004B7E81"/>
    <w:rsid w:val="004B7ED8"/>
    <w:rsid w:val="004C0075"/>
    <w:rsid w:val="004C0140"/>
    <w:rsid w:val="004C04A3"/>
    <w:rsid w:val="004C0632"/>
    <w:rsid w:val="004C1003"/>
    <w:rsid w:val="004C1992"/>
    <w:rsid w:val="004C1F59"/>
    <w:rsid w:val="004C21DC"/>
    <w:rsid w:val="004C21ED"/>
    <w:rsid w:val="004C2313"/>
    <w:rsid w:val="004C2BFA"/>
    <w:rsid w:val="004C31DB"/>
    <w:rsid w:val="004C326E"/>
    <w:rsid w:val="004C32FC"/>
    <w:rsid w:val="004C3376"/>
    <w:rsid w:val="004C375F"/>
    <w:rsid w:val="004C3AE8"/>
    <w:rsid w:val="004C3D61"/>
    <w:rsid w:val="004C4230"/>
    <w:rsid w:val="004C4DC1"/>
    <w:rsid w:val="004C507B"/>
    <w:rsid w:val="004C5389"/>
    <w:rsid w:val="004C5B34"/>
    <w:rsid w:val="004C61C5"/>
    <w:rsid w:val="004C6A09"/>
    <w:rsid w:val="004C6E97"/>
    <w:rsid w:val="004C7421"/>
    <w:rsid w:val="004C7B8B"/>
    <w:rsid w:val="004D00EC"/>
    <w:rsid w:val="004D051F"/>
    <w:rsid w:val="004D0997"/>
    <w:rsid w:val="004D0EEA"/>
    <w:rsid w:val="004D11A9"/>
    <w:rsid w:val="004D1AB9"/>
    <w:rsid w:val="004D1D19"/>
    <w:rsid w:val="004D251A"/>
    <w:rsid w:val="004D285D"/>
    <w:rsid w:val="004D2A75"/>
    <w:rsid w:val="004D2AFD"/>
    <w:rsid w:val="004D2E72"/>
    <w:rsid w:val="004D37F5"/>
    <w:rsid w:val="004D3A15"/>
    <w:rsid w:val="004D4032"/>
    <w:rsid w:val="004D4529"/>
    <w:rsid w:val="004D4644"/>
    <w:rsid w:val="004D48A2"/>
    <w:rsid w:val="004D505D"/>
    <w:rsid w:val="004D5169"/>
    <w:rsid w:val="004D5961"/>
    <w:rsid w:val="004D5C9B"/>
    <w:rsid w:val="004D60CC"/>
    <w:rsid w:val="004D66B1"/>
    <w:rsid w:val="004D7091"/>
    <w:rsid w:val="004D7205"/>
    <w:rsid w:val="004D7504"/>
    <w:rsid w:val="004D7719"/>
    <w:rsid w:val="004E049B"/>
    <w:rsid w:val="004E0706"/>
    <w:rsid w:val="004E0B2F"/>
    <w:rsid w:val="004E0BBE"/>
    <w:rsid w:val="004E0C89"/>
    <w:rsid w:val="004E0D07"/>
    <w:rsid w:val="004E0D23"/>
    <w:rsid w:val="004E163B"/>
    <w:rsid w:val="004E1683"/>
    <w:rsid w:val="004E24A7"/>
    <w:rsid w:val="004E25B4"/>
    <w:rsid w:val="004E29F2"/>
    <w:rsid w:val="004E2A4B"/>
    <w:rsid w:val="004E2D5E"/>
    <w:rsid w:val="004E2F0E"/>
    <w:rsid w:val="004E328F"/>
    <w:rsid w:val="004E39C5"/>
    <w:rsid w:val="004E3B37"/>
    <w:rsid w:val="004E43C0"/>
    <w:rsid w:val="004E44CB"/>
    <w:rsid w:val="004E4BCE"/>
    <w:rsid w:val="004E4D97"/>
    <w:rsid w:val="004E4ED3"/>
    <w:rsid w:val="004E5C0A"/>
    <w:rsid w:val="004E5C84"/>
    <w:rsid w:val="004E5CCC"/>
    <w:rsid w:val="004E5F60"/>
    <w:rsid w:val="004E6C98"/>
    <w:rsid w:val="004E6ECF"/>
    <w:rsid w:val="004E7198"/>
    <w:rsid w:val="004F0F23"/>
    <w:rsid w:val="004F152B"/>
    <w:rsid w:val="004F161E"/>
    <w:rsid w:val="004F296B"/>
    <w:rsid w:val="004F37ED"/>
    <w:rsid w:val="004F46F3"/>
    <w:rsid w:val="004F486A"/>
    <w:rsid w:val="004F4B78"/>
    <w:rsid w:val="004F516C"/>
    <w:rsid w:val="004F51AC"/>
    <w:rsid w:val="004F5308"/>
    <w:rsid w:val="004F5852"/>
    <w:rsid w:val="004F5B52"/>
    <w:rsid w:val="004F6545"/>
    <w:rsid w:val="004F69C2"/>
    <w:rsid w:val="004F6AB8"/>
    <w:rsid w:val="005001C4"/>
    <w:rsid w:val="00500B2F"/>
    <w:rsid w:val="005012AB"/>
    <w:rsid w:val="005017EE"/>
    <w:rsid w:val="00501D43"/>
    <w:rsid w:val="00502271"/>
    <w:rsid w:val="00502606"/>
    <w:rsid w:val="005053DB"/>
    <w:rsid w:val="00505D04"/>
    <w:rsid w:val="00505F65"/>
    <w:rsid w:val="005061FA"/>
    <w:rsid w:val="0050776D"/>
    <w:rsid w:val="00507B13"/>
    <w:rsid w:val="00510351"/>
    <w:rsid w:val="0051048E"/>
    <w:rsid w:val="00510568"/>
    <w:rsid w:val="00511059"/>
    <w:rsid w:val="00511B8F"/>
    <w:rsid w:val="00511E00"/>
    <w:rsid w:val="00512DD8"/>
    <w:rsid w:val="00512F03"/>
    <w:rsid w:val="005133B1"/>
    <w:rsid w:val="00513AF7"/>
    <w:rsid w:val="0051410C"/>
    <w:rsid w:val="005144B1"/>
    <w:rsid w:val="00514900"/>
    <w:rsid w:val="00514F3C"/>
    <w:rsid w:val="005154E1"/>
    <w:rsid w:val="005155F7"/>
    <w:rsid w:val="00515FB1"/>
    <w:rsid w:val="00516707"/>
    <w:rsid w:val="00516871"/>
    <w:rsid w:val="00517554"/>
    <w:rsid w:val="0052069F"/>
    <w:rsid w:val="005209DC"/>
    <w:rsid w:val="00520D50"/>
    <w:rsid w:val="00520DA5"/>
    <w:rsid w:val="00521005"/>
    <w:rsid w:val="005229E4"/>
    <w:rsid w:val="00522CC9"/>
    <w:rsid w:val="005230DD"/>
    <w:rsid w:val="005231B0"/>
    <w:rsid w:val="00523219"/>
    <w:rsid w:val="0052327D"/>
    <w:rsid w:val="0052372D"/>
    <w:rsid w:val="00523783"/>
    <w:rsid w:val="005238A9"/>
    <w:rsid w:val="005248DE"/>
    <w:rsid w:val="00525270"/>
    <w:rsid w:val="00525C63"/>
    <w:rsid w:val="00525E89"/>
    <w:rsid w:val="00526825"/>
    <w:rsid w:val="005278D3"/>
    <w:rsid w:val="00527A35"/>
    <w:rsid w:val="00530CC7"/>
    <w:rsid w:val="005317D2"/>
    <w:rsid w:val="00531AA7"/>
    <w:rsid w:val="00531E7B"/>
    <w:rsid w:val="00532183"/>
    <w:rsid w:val="00532F7B"/>
    <w:rsid w:val="005330D0"/>
    <w:rsid w:val="005338DF"/>
    <w:rsid w:val="005348C0"/>
    <w:rsid w:val="0053497B"/>
    <w:rsid w:val="00534E57"/>
    <w:rsid w:val="0053548E"/>
    <w:rsid w:val="0053568C"/>
    <w:rsid w:val="00535DD0"/>
    <w:rsid w:val="00535E1E"/>
    <w:rsid w:val="005369B2"/>
    <w:rsid w:val="00536A1B"/>
    <w:rsid w:val="00536E45"/>
    <w:rsid w:val="00536F2B"/>
    <w:rsid w:val="005371D0"/>
    <w:rsid w:val="00537F0D"/>
    <w:rsid w:val="005404F4"/>
    <w:rsid w:val="00540506"/>
    <w:rsid w:val="00540576"/>
    <w:rsid w:val="00541419"/>
    <w:rsid w:val="00541482"/>
    <w:rsid w:val="00541859"/>
    <w:rsid w:val="00541D5D"/>
    <w:rsid w:val="00541ED8"/>
    <w:rsid w:val="00542100"/>
    <w:rsid w:val="00542942"/>
    <w:rsid w:val="00542999"/>
    <w:rsid w:val="005429DB"/>
    <w:rsid w:val="005430A9"/>
    <w:rsid w:val="0054363D"/>
    <w:rsid w:val="0054396C"/>
    <w:rsid w:val="00543B23"/>
    <w:rsid w:val="00544428"/>
    <w:rsid w:val="005451BD"/>
    <w:rsid w:val="005453D7"/>
    <w:rsid w:val="00545A4A"/>
    <w:rsid w:val="00545EC3"/>
    <w:rsid w:val="005462B8"/>
    <w:rsid w:val="00546B27"/>
    <w:rsid w:val="005503F0"/>
    <w:rsid w:val="00550C1C"/>
    <w:rsid w:val="005512D7"/>
    <w:rsid w:val="005520CC"/>
    <w:rsid w:val="00552172"/>
    <w:rsid w:val="0055230F"/>
    <w:rsid w:val="00552349"/>
    <w:rsid w:val="00552644"/>
    <w:rsid w:val="005526B6"/>
    <w:rsid w:val="005528F2"/>
    <w:rsid w:val="00552F4E"/>
    <w:rsid w:val="005533BB"/>
    <w:rsid w:val="0055439B"/>
    <w:rsid w:val="00554583"/>
    <w:rsid w:val="005547B5"/>
    <w:rsid w:val="00554B60"/>
    <w:rsid w:val="00554B82"/>
    <w:rsid w:val="00554DAC"/>
    <w:rsid w:val="00554E48"/>
    <w:rsid w:val="00555637"/>
    <w:rsid w:val="00555677"/>
    <w:rsid w:val="00555FC6"/>
    <w:rsid w:val="00556310"/>
    <w:rsid w:val="00556484"/>
    <w:rsid w:val="005567B4"/>
    <w:rsid w:val="00556961"/>
    <w:rsid w:val="00557472"/>
    <w:rsid w:val="00560311"/>
    <w:rsid w:val="00560BC3"/>
    <w:rsid w:val="0056107D"/>
    <w:rsid w:val="0056194C"/>
    <w:rsid w:val="00561C03"/>
    <w:rsid w:val="00563413"/>
    <w:rsid w:val="00563558"/>
    <w:rsid w:val="00563700"/>
    <w:rsid w:val="00563D1C"/>
    <w:rsid w:val="0056483B"/>
    <w:rsid w:val="005649ED"/>
    <w:rsid w:val="00565347"/>
    <w:rsid w:val="00565641"/>
    <w:rsid w:val="00565C09"/>
    <w:rsid w:val="005665A4"/>
    <w:rsid w:val="00567850"/>
    <w:rsid w:val="00567F75"/>
    <w:rsid w:val="00570133"/>
    <w:rsid w:val="00570C35"/>
    <w:rsid w:val="00570D50"/>
    <w:rsid w:val="00571085"/>
    <w:rsid w:val="005714EE"/>
    <w:rsid w:val="005718E8"/>
    <w:rsid w:val="00571A53"/>
    <w:rsid w:val="0057210E"/>
    <w:rsid w:val="0057213C"/>
    <w:rsid w:val="005735C9"/>
    <w:rsid w:val="00573E98"/>
    <w:rsid w:val="00574E39"/>
    <w:rsid w:val="00575148"/>
    <w:rsid w:val="005755DC"/>
    <w:rsid w:val="00576AC4"/>
    <w:rsid w:val="00577199"/>
    <w:rsid w:val="00577268"/>
    <w:rsid w:val="00577314"/>
    <w:rsid w:val="005776C2"/>
    <w:rsid w:val="005777E2"/>
    <w:rsid w:val="005777EE"/>
    <w:rsid w:val="00577D9A"/>
    <w:rsid w:val="0058048B"/>
    <w:rsid w:val="00580553"/>
    <w:rsid w:val="00580574"/>
    <w:rsid w:val="005809F4"/>
    <w:rsid w:val="00580F73"/>
    <w:rsid w:val="0058155A"/>
    <w:rsid w:val="00581DFA"/>
    <w:rsid w:val="00581EDA"/>
    <w:rsid w:val="00581FFB"/>
    <w:rsid w:val="005827ED"/>
    <w:rsid w:val="0058333E"/>
    <w:rsid w:val="00583CFB"/>
    <w:rsid w:val="00583F20"/>
    <w:rsid w:val="00583F35"/>
    <w:rsid w:val="0058530A"/>
    <w:rsid w:val="00585476"/>
    <w:rsid w:val="00585B53"/>
    <w:rsid w:val="0058723E"/>
    <w:rsid w:val="005876A9"/>
    <w:rsid w:val="00587954"/>
    <w:rsid w:val="0059017F"/>
    <w:rsid w:val="00590D44"/>
    <w:rsid w:val="0059105E"/>
    <w:rsid w:val="005916A6"/>
    <w:rsid w:val="005923F7"/>
    <w:rsid w:val="005924E1"/>
    <w:rsid w:val="00592B3B"/>
    <w:rsid w:val="00593A34"/>
    <w:rsid w:val="00593AF6"/>
    <w:rsid w:val="00594B6A"/>
    <w:rsid w:val="00594EE0"/>
    <w:rsid w:val="00594F13"/>
    <w:rsid w:val="0059511D"/>
    <w:rsid w:val="00595730"/>
    <w:rsid w:val="00595E7F"/>
    <w:rsid w:val="0059658D"/>
    <w:rsid w:val="00596E84"/>
    <w:rsid w:val="00597300"/>
    <w:rsid w:val="00597649"/>
    <w:rsid w:val="005A0050"/>
    <w:rsid w:val="005A0979"/>
    <w:rsid w:val="005A0FDF"/>
    <w:rsid w:val="005A123A"/>
    <w:rsid w:val="005A1483"/>
    <w:rsid w:val="005A1F90"/>
    <w:rsid w:val="005A202E"/>
    <w:rsid w:val="005A245E"/>
    <w:rsid w:val="005A2B91"/>
    <w:rsid w:val="005A323C"/>
    <w:rsid w:val="005A3338"/>
    <w:rsid w:val="005A3445"/>
    <w:rsid w:val="005A3CE4"/>
    <w:rsid w:val="005A3D18"/>
    <w:rsid w:val="005A4252"/>
    <w:rsid w:val="005A4480"/>
    <w:rsid w:val="005A48DF"/>
    <w:rsid w:val="005A4CD2"/>
    <w:rsid w:val="005A4E07"/>
    <w:rsid w:val="005A5346"/>
    <w:rsid w:val="005A57DD"/>
    <w:rsid w:val="005A5A88"/>
    <w:rsid w:val="005A63AE"/>
    <w:rsid w:val="005A66F5"/>
    <w:rsid w:val="005A6D9B"/>
    <w:rsid w:val="005A74D5"/>
    <w:rsid w:val="005A777E"/>
    <w:rsid w:val="005A784B"/>
    <w:rsid w:val="005B02EB"/>
    <w:rsid w:val="005B0651"/>
    <w:rsid w:val="005B0FF0"/>
    <w:rsid w:val="005B1079"/>
    <w:rsid w:val="005B10C9"/>
    <w:rsid w:val="005B1246"/>
    <w:rsid w:val="005B14F8"/>
    <w:rsid w:val="005B22F2"/>
    <w:rsid w:val="005B2F54"/>
    <w:rsid w:val="005B30DC"/>
    <w:rsid w:val="005B319E"/>
    <w:rsid w:val="005B35BB"/>
    <w:rsid w:val="005B394B"/>
    <w:rsid w:val="005B3998"/>
    <w:rsid w:val="005B3E9D"/>
    <w:rsid w:val="005B4F3E"/>
    <w:rsid w:val="005B508F"/>
    <w:rsid w:val="005B53CD"/>
    <w:rsid w:val="005B5604"/>
    <w:rsid w:val="005B5865"/>
    <w:rsid w:val="005B5C15"/>
    <w:rsid w:val="005B65FF"/>
    <w:rsid w:val="005B6D7A"/>
    <w:rsid w:val="005B76F2"/>
    <w:rsid w:val="005B7AF1"/>
    <w:rsid w:val="005B7D77"/>
    <w:rsid w:val="005C02B3"/>
    <w:rsid w:val="005C121E"/>
    <w:rsid w:val="005C1835"/>
    <w:rsid w:val="005C1BED"/>
    <w:rsid w:val="005C2763"/>
    <w:rsid w:val="005C2B37"/>
    <w:rsid w:val="005C2DB9"/>
    <w:rsid w:val="005C32C8"/>
    <w:rsid w:val="005C35E3"/>
    <w:rsid w:val="005C3711"/>
    <w:rsid w:val="005C39A3"/>
    <w:rsid w:val="005C39C8"/>
    <w:rsid w:val="005C39F6"/>
    <w:rsid w:val="005C3AA9"/>
    <w:rsid w:val="005C3F62"/>
    <w:rsid w:val="005C45F5"/>
    <w:rsid w:val="005C4CC0"/>
    <w:rsid w:val="005C4E97"/>
    <w:rsid w:val="005C53AB"/>
    <w:rsid w:val="005C5542"/>
    <w:rsid w:val="005C5A7A"/>
    <w:rsid w:val="005C6237"/>
    <w:rsid w:val="005C6ADF"/>
    <w:rsid w:val="005C6E1E"/>
    <w:rsid w:val="005C714C"/>
    <w:rsid w:val="005C7167"/>
    <w:rsid w:val="005C71AC"/>
    <w:rsid w:val="005C7BD6"/>
    <w:rsid w:val="005D01E8"/>
    <w:rsid w:val="005D047C"/>
    <w:rsid w:val="005D0959"/>
    <w:rsid w:val="005D26DF"/>
    <w:rsid w:val="005D2A72"/>
    <w:rsid w:val="005D412B"/>
    <w:rsid w:val="005D415D"/>
    <w:rsid w:val="005D432F"/>
    <w:rsid w:val="005D4678"/>
    <w:rsid w:val="005D4838"/>
    <w:rsid w:val="005D4C7C"/>
    <w:rsid w:val="005D4EF6"/>
    <w:rsid w:val="005D50B7"/>
    <w:rsid w:val="005D53E1"/>
    <w:rsid w:val="005D57DE"/>
    <w:rsid w:val="005D5D16"/>
    <w:rsid w:val="005D6215"/>
    <w:rsid w:val="005D6A88"/>
    <w:rsid w:val="005D73EA"/>
    <w:rsid w:val="005D7427"/>
    <w:rsid w:val="005D76C9"/>
    <w:rsid w:val="005D7799"/>
    <w:rsid w:val="005E04C0"/>
    <w:rsid w:val="005E070C"/>
    <w:rsid w:val="005E22D7"/>
    <w:rsid w:val="005E28FF"/>
    <w:rsid w:val="005E32CF"/>
    <w:rsid w:val="005E3A4F"/>
    <w:rsid w:val="005E3B28"/>
    <w:rsid w:val="005E3B77"/>
    <w:rsid w:val="005E5414"/>
    <w:rsid w:val="005E65A2"/>
    <w:rsid w:val="005E7539"/>
    <w:rsid w:val="005F0678"/>
    <w:rsid w:val="005F07BC"/>
    <w:rsid w:val="005F0D46"/>
    <w:rsid w:val="005F15A2"/>
    <w:rsid w:val="005F1981"/>
    <w:rsid w:val="005F199D"/>
    <w:rsid w:val="005F1D31"/>
    <w:rsid w:val="005F2BE9"/>
    <w:rsid w:val="005F2C43"/>
    <w:rsid w:val="005F3156"/>
    <w:rsid w:val="005F322E"/>
    <w:rsid w:val="005F32A7"/>
    <w:rsid w:val="005F34A8"/>
    <w:rsid w:val="005F359A"/>
    <w:rsid w:val="005F463B"/>
    <w:rsid w:val="005F5496"/>
    <w:rsid w:val="005F5C71"/>
    <w:rsid w:val="005F5DE2"/>
    <w:rsid w:val="005F5E4F"/>
    <w:rsid w:val="005F66FE"/>
    <w:rsid w:val="005F703C"/>
    <w:rsid w:val="00600DE9"/>
    <w:rsid w:val="00601690"/>
    <w:rsid w:val="00601EA3"/>
    <w:rsid w:val="00602336"/>
    <w:rsid w:val="006025F0"/>
    <w:rsid w:val="00602830"/>
    <w:rsid w:val="006029A1"/>
    <w:rsid w:val="00602AA0"/>
    <w:rsid w:val="006032AD"/>
    <w:rsid w:val="006035F8"/>
    <w:rsid w:val="00603C54"/>
    <w:rsid w:val="006046F1"/>
    <w:rsid w:val="00604C1D"/>
    <w:rsid w:val="006055CE"/>
    <w:rsid w:val="00606B27"/>
    <w:rsid w:val="00606F1B"/>
    <w:rsid w:val="006106BC"/>
    <w:rsid w:val="00610851"/>
    <w:rsid w:val="00611062"/>
    <w:rsid w:val="00611551"/>
    <w:rsid w:val="0061157C"/>
    <w:rsid w:val="0061178B"/>
    <w:rsid w:val="006118B5"/>
    <w:rsid w:val="00611FE7"/>
    <w:rsid w:val="00612AE1"/>
    <w:rsid w:val="00612EB8"/>
    <w:rsid w:val="00612EC3"/>
    <w:rsid w:val="00613726"/>
    <w:rsid w:val="00614268"/>
    <w:rsid w:val="00614CAB"/>
    <w:rsid w:val="00614F80"/>
    <w:rsid w:val="00616152"/>
    <w:rsid w:val="00616526"/>
    <w:rsid w:val="00617A8C"/>
    <w:rsid w:val="006203F2"/>
    <w:rsid w:val="00620836"/>
    <w:rsid w:val="00620AED"/>
    <w:rsid w:val="00620C80"/>
    <w:rsid w:val="00621292"/>
    <w:rsid w:val="00622245"/>
    <w:rsid w:val="00622EA6"/>
    <w:rsid w:val="00622EC8"/>
    <w:rsid w:val="00623883"/>
    <w:rsid w:val="0062424F"/>
    <w:rsid w:val="00624273"/>
    <w:rsid w:val="00625866"/>
    <w:rsid w:val="006259F0"/>
    <w:rsid w:val="0062645D"/>
    <w:rsid w:val="00626A45"/>
    <w:rsid w:val="00626B03"/>
    <w:rsid w:val="00627423"/>
    <w:rsid w:val="00630919"/>
    <w:rsid w:val="00630928"/>
    <w:rsid w:val="00630BF0"/>
    <w:rsid w:val="006315D3"/>
    <w:rsid w:val="00631661"/>
    <w:rsid w:val="0063171E"/>
    <w:rsid w:val="006317E5"/>
    <w:rsid w:val="00631A60"/>
    <w:rsid w:val="00632429"/>
    <w:rsid w:val="0063267B"/>
    <w:rsid w:val="0063274E"/>
    <w:rsid w:val="00632E23"/>
    <w:rsid w:val="00632EA6"/>
    <w:rsid w:val="00632FB5"/>
    <w:rsid w:val="00633196"/>
    <w:rsid w:val="00633F76"/>
    <w:rsid w:val="0063460A"/>
    <w:rsid w:val="0063470F"/>
    <w:rsid w:val="006348A2"/>
    <w:rsid w:val="006359F4"/>
    <w:rsid w:val="00636009"/>
    <w:rsid w:val="006367FF"/>
    <w:rsid w:val="00636B74"/>
    <w:rsid w:val="00637196"/>
    <w:rsid w:val="00637A01"/>
    <w:rsid w:val="00640522"/>
    <w:rsid w:val="00640BAA"/>
    <w:rsid w:val="00640FCE"/>
    <w:rsid w:val="006410A5"/>
    <w:rsid w:val="00641F8B"/>
    <w:rsid w:val="00642022"/>
    <w:rsid w:val="00642676"/>
    <w:rsid w:val="006429EA"/>
    <w:rsid w:val="00643067"/>
    <w:rsid w:val="00643310"/>
    <w:rsid w:val="006436C9"/>
    <w:rsid w:val="00643DDE"/>
    <w:rsid w:val="00643E83"/>
    <w:rsid w:val="00643F98"/>
    <w:rsid w:val="0064411D"/>
    <w:rsid w:val="00644EE0"/>
    <w:rsid w:val="0064587B"/>
    <w:rsid w:val="0064647E"/>
    <w:rsid w:val="00647FF2"/>
    <w:rsid w:val="00650042"/>
    <w:rsid w:val="0065039D"/>
    <w:rsid w:val="006504FA"/>
    <w:rsid w:val="0065088A"/>
    <w:rsid w:val="00650B98"/>
    <w:rsid w:val="00651554"/>
    <w:rsid w:val="006518E6"/>
    <w:rsid w:val="006522EA"/>
    <w:rsid w:val="00652D3D"/>
    <w:rsid w:val="00653081"/>
    <w:rsid w:val="006534D6"/>
    <w:rsid w:val="00653B8E"/>
    <w:rsid w:val="00654BCB"/>
    <w:rsid w:val="006556BE"/>
    <w:rsid w:val="00655D91"/>
    <w:rsid w:val="00655E8C"/>
    <w:rsid w:val="00656267"/>
    <w:rsid w:val="0065744A"/>
    <w:rsid w:val="006575E1"/>
    <w:rsid w:val="006600FE"/>
    <w:rsid w:val="006601EB"/>
    <w:rsid w:val="0066022B"/>
    <w:rsid w:val="0066071D"/>
    <w:rsid w:val="0066166F"/>
    <w:rsid w:val="0066167D"/>
    <w:rsid w:val="0066199D"/>
    <w:rsid w:val="00661F92"/>
    <w:rsid w:val="00662446"/>
    <w:rsid w:val="00662802"/>
    <w:rsid w:val="00664469"/>
    <w:rsid w:val="00665349"/>
    <w:rsid w:val="0066570A"/>
    <w:rsid w:val="006668CA"/>
    <w:rsid w:val="00666E4A"/>
    <w:rsid w:val="00667640"/>
    <w:rsid w:val="00667888"/>
    <w:rsid w:val="00667EE0"/>
    <w:rsid w:val="0067205C"/>
    <w:rsid w:val="00672D2D"/>
    <w:rsid w:val="00672FEC"/>
    <w:rsid w:val="0067344F"/>
    <w:rsid w:val="00673736"/>
    <w:rsid w:val="006737D1"/>
    <w:rsid w:val="00673834"/>
    <w:rsid w:val="00673A5B"/>
    <w:rsid w:val="00673E08"/>
    <w:rsid w:val="00673E8A"/>
    <w:rsid w:val="0067459E"/>
    <w:rsid w:val="0067475F"/>
    <w:rsid w:val="00675572"/>
    <w:rsid w:val="006759EC"/>
    <w:rsid w:val="00676017"/>
    <w:rsid w:val="006762DC"/>
    <w:rsid w:val="00676560"/>
    <w:rsid w:val="00676684"/>
    <w:rsid w:val="0067682C"/>
    <w:rsid w:val="00676EB1"/>
    <w:rsid w:val="006770E9"/>
    <w:rsid w:val="00677A4B"/>
    <w:rsid w:val="00680387"/>
    <w:rsid w:val="00680596"/>
    <w:rsid w:val="00680632"/>
    <w:rsid w:val="0068086D"/>
    <w:rsid w:val="00680A1D"/>
    <w:rsid w:val="00680ED3"/>
    <w:rsid w:val="006816F8"/>
    <w:rsid w:val="00682278"/>
    <w:rsid w:val="00682882"/>
    <w:rsid w:val="0068315E"/>
    <w:rsid w:val="00683855"/>
    <w:rsid w:val="006838DA"/>
    <w:rsid w:val="00683E1A"/>
    <w:rsid w:val="0068401E"/>
    <w:rsid w:val="006846FC"/>
    <w:rsid w:val="00684EB5"/>
    <w:rsid w:val="006851CA"/>
    <w:rsid w:val="00686105"/>
    <w:rsid w:val="00686187"/>
    <w:rsid w:val="00686793"/>
    <w:rsid w:val="0068682B"/>
    <w:rsid w:val="00686971"/>
    <w:rsid w:val="00687442"/>
    <w:rsid w:val="00687C41"/>
    <w:rsid w:val="00690111"/>
    <w:rsid w:val="0069041A"/>
    <w:rsid w:val="0069184D"/>
    <w:rsid w:val="00691B4A"/>
    <w:rsid w:val="00691DAA"/>
    <w:rsid w:val="00692690"/>
    <w:rsid w:val="006929C7"/>
    <w:rsid w:val="00692F4B"/>
    <w:rsid w:val="00693699"/>
    <w:rsid w:val="00693818"/>
    <w:rsid w:val="006939F0"/>
    <w:rsid w:val="006944CE"/>
    <w:rsid w:val="00694A5D"/>
    <w:rsid w:val="00694A7B"/>
    <w:rsid w:val="00694A9C"/>
    <w:rsid w:val="006956A0"/>
    <w:rsid w:val="00695C1A"/>
    <w:rsid w:val="00696269"/>
    <w:rsid w:val="00696A55"/>
    <w:rsid w:val="00696ECC"/>
    <w:rsid w:val="00697388"/>
    <w:rsid w:val="006978FF"/>
    <w:rsid w:val="00697D8F"/>
    <w:rsid w:val="006A029E"/>
    <w:rsid w:val="006A0EF0"/>
    <w:rsid w:val="006A0FB9"/>
    <w:rsid w:val="006A1819"/>
    <w:rsid w:val="006A1E93"/>
    <w:rsid w:val="006A20BF"/>
    <w:rsid w:val="006A2E46"/>
    <w:rsid w:val="006A3CA0"/>
    <w:rsid w:val="006A3D97"/>
    <w:rsid w:val="006A3ED0"/>
    <w:rsid w:val="006A41D0"/>
    <w:rsid w:val="006A473F"/>
    <w:rsid w:val="006A4A5D"/>
    <w:rsid w:val="006A4BCB"/>
    <w:rsid w:val="006A4C09"/>
    <w:rsid w:val="006A4EC7"/>
    <w:rsid w:val="006A51BC"/>
    <w:rsid w:val="006A555D"/>
    <w:rsid w:val="006A5994"/>
    <w:rsid w:val="006A63F3"/>
    <w:rsid w:val="006A7194"/>
    <w:rsid w:val="006A72AC"/>
    <w:rsid w:val="006A7532"/>
    <w:rsid w:val="006A76A3"/>
    <w:rsid w:val="006A7919"/>
    <w:rsid w:val="006B015A"/>
    <w:rsid w:val="006B072D"/>
    <w:rsid w:val="006B0919"/>
    <w:rsid w:val="006B0EBE"/>
    <w:rsid w:val="006B1391"/>
    <w:rsid w:val="006B1842"/>
    <w:rsid w:val="006B1ACB"/>
    <w:rsid w:val="006B24E4"/>
    <w:rsid w:val="006B3CBC"/>
    <w:rsid w:val="006B3FBD"/>
    <w:rsid w:val="006B4323"/>
    <w:rsid w:val="006B4480"/>
    <w:rsid w:val="006B47D2"/>
    <w:rsid w:val="006B4A05"/>
    <w:rsid w:val="006B537E"/>
    <w:rsid w:val="006B593C"/>
    <w:rsid w:val="006B5A50"/>
    <w:rsid w:val="006C088B"/>
    <w:rsid w:val="006C11F8"/>
    <w:rsid w:val="006C1415"/>
    <w:rsid w:val="006C1E6D"/>
    <w:rsid w:val="006C1ED6"/>
    <w:rsid w:val="006C211E"/>
    <w:rsid w:val="006C2518"/>
    <w:rsid w:val="006C3163"/>
    <w:rsid w:val="006C3782"/>
    <w:rsid w:val="006C3F96"/>
    <w:rsid w:val="006C41CD"/>
    <w:rsid w:val="006C42D2"/>
    <w:rsid w:val="006C45E0"/>
    <w:rsid w:val="006C4CB2"/>
    <w:rsid w:val="006C4E40"/>
    <w:rsid w:val="006C5275"/>
    <w:rsid w:val="006C53EF"/>
    <w:rsid w:val="006C54C5"/>
    <w:rsid w:val="006C55AA"/>
    <w:rsid w:val="006C57C9"/>
    <w:rsid w:val="006C5ABF"/>
    <w:rsid w:val="006C5CE0"/>
    <w:rsid w:val="006C60DC"/>
    <w:rsid w:val="006C612A"/>
    <w:rsid w:val="006C68B3"/>
    <w:rsid w:val="006C724E"/>
    <w:rsid w:val="006C7CCA"/>
    <w:rsid w:val="006C7ED7"/>
    <w:rsid w:val="006D0273"/>
    <w:rsid w:val="006D0456"/>
    <w:rsid w:val="006D0E08"/>
    <w:rsid w:val="006D1557"/>
    <w:rsid w:val="006D2040"/>
    <w:rsid w:val="006D25DB"/>
    <w:rsid w:val="006D2A90"/>
    <w:rsid w:val="006D3336"/>
    <w:rsid w:val="006D35BF"/>
    <w:rsid w:val="006D3AF0"/>
    <w:rsid w:val="006D4200"/>
    <w:rsid w:val="006D4270"/>
    <w:rsid w:val="006D4D6B"/>
    <w:rsid w:val="006D4DEE"/>
    <w:rsid w:val="006D4EA9"/>
    <w:rsid w:val="006D61B0"/>
    <w:rsid w:val="006D6502"/>
    <w:rsid w:val="006D651B"/>
    <w:rsid w:val="006D6F8C"/>
    <w:rsid w:val="006D7216"/>
    <w:rsid w:val="006D74F1"/>
    <w:rsid w:val="006D772E"/>
    <w:rsid w:val="006D7D19"/>
    <w:rsid w:val="006E0384"/>
    <w:rsid w:val="006E069B"/>
    <w:rsid w:val="006E113A"/>
    <w:rsid w:val="006E12CD"/>
    <w:rsid w:val="006E1AB4"/>
    <w:rsid w:val="006E1C2C"/>
    <w:rsid w:val="006E3E2B"/>
    <w:rsid w:val="006E4195"/>
    <w:rsid w:val="006E41A7"/>
    <w:rsid w:val="006E4576"/>
    <w:rsid w:val="006E4C78"/>
    <w:rsid w:val="006E58D9"/>
    <w:rsid w:val="006E5988"/>
    <w:rsid w:val="006E5A36"/>
    <w:rsid w:val="006E5C97"/>
    <w:rsid w:val="006E6125"/>
    <w:rsid w:val="006E6E51"/>
    <w:rsid w:val="006E791E"/>
    <w:rsid w:val="006F0A60"/>
    <w:rsid w:val="006F1F1E"/>
    <w:rsid w:val="006F2244"/>
    <w:rsid w:val="006F2A92"/>
    <w:rsid w:val="006F2AFF"/>
    <w:rsid w:val="006F30B6"/>
    <w:rsid w:val="006F3C6A"/>
    <w:rsid w:val="006F459C"/>
    <w:rsid w:val="006F4A89"/>
    <w:rsid w:val="006F4D74"/>
    <w:rsid w:val="006F5D88"/>
    <w:rsid w:val="006F6105"/>
    <w:rsid w:val="006F6683"/>
    <w:rsid w:val="006F6F51"/>
    <w:rsid w:val="006F710B"/>
    <w:rsid w:val="006F7126"/>
    <w:rsid w:val="006F725D"/>
    <w:rsid w:val="006F7B18"/>
    <w:rsid w:val="006F7B64"/>
    <w:rsid w:val="006F7C59"/>
    <w:rsid w:val="006F7D39"/>
    <w:rsid w:val="007001C9"/>
    <w:rsid w:val="00701202"/>
    <w:rsid w:val="0070213D"/>
    <w:rsid w:val="00702684"/>
    <w:rsid w:val="00705822"/>
    <w:rsid w:val="00705C96"/>
    <w:rsid w:val="00705D8D"/>
    <w:rsid w:val="00705FA9"/>
    <w:rsid w:val="00706A29"/>
    <w:rsid w:val="00706F7B"/>
    <w:rsid w:val="00707003"/>
    <w:rsid w:val="00707A38"/>
    <w:rsid w:val="00707CE1"/>
    <w:rsid w:val="00710179"/>
    <w:rsid w:val="00710724"/>
    <w:rsid w:val="007107FF"/>
    <w:rsid w:val="007108B9"/>
    <w:rsid w:val="00711263"/>
    <w:rsid w:val="00711E8B"/>
    <w:rsid w:val="00711FEF"/>
    <w:rsid w:val="00712033"/>
    <w:rsid w:val="00712911"/>
    <w:rsid w:val="00712D26"/>
    <w:rsid w:val="007133DE"/>
    <w:rsid w:val="00714CDD"/>
    <w:rsid w:val="00715741"/>
    <w:rsid w:val="0071589D"/>
    <w:rsid w:val="00715AC7"/>
    <w:rsid w:val="0071618A"/>
    <w:rsid w:val="0071619F"/>
    <w:rsid w:val="007163AE"/>
    <w:rsid w:val="00716ECA"/>
    <w:rsid w:val="007170CC"/>
    <w:rsid w:val="00717F59"/>
    <w:rsid w:val="00720020"/>
    <w:rsid w:val="00720465"/>
    <w:rsid w:val="00720681"/>
    <w:rsid w:val="00720972"/>
    <w:rsid w:val="00721A05"/>
    <w:rsid w:val="00721E37"/>
    <w:rsid w:val="007224C3"/>
    <w:rsid w:val="00722BCE"/>
    <w:rsid w:val="00722D62"/>
    <w:rsid w:val="00723347"/>
    <w:rsid w:val="00723CB4"/>
    <w:rsid w:val="00723F60"/>
    <w:rsid w:val="00724675"/>
    <w:rsid w:val="007247F0"/>
    <w:rsid w:val="007248CF"/>
    <w:rsid w:val="007257F3"/>
    <w:rsid w:val="00725ACE"/>
    <w:rsid w:val="0072617D"/>
    <w:rsid w:val="0072726E"/>
    <w:rsid w:val="007274CC"/>
    <w:rsid w:val="00727801"/>
    <w:rsid w:val="00730129"/>
    <w:rsid w:val="007303EC"/>
    <w:rsid w:val="00730754"/>
    <w:rsid w:val="00730B1D"/>
    <w:rsid w:val="00730B86"/>
    <w:rsid w:val="00732549"/>
    <w:rsid w:val="00732C96"/>
    <w:rsid w:val="00732EB0"/>
    <w:rsid w:val="00732EBE"/>
    <w:rsid w:val="00733001"/>
    <w:rsid w:val="00733892"/>
    <w:rsid w:val="007338CA"/>
    <w:rsid w:val="00733F31"/>
    <w:rsid w:val="007344DB"/>
    <w:rsid w:val="00734A4F"/>
    <w:rsid w:val="007350CC"/>
    <w:rsid w:val="007351C0"/>
    <w:rsid w:val="007373EA"/>
    <w:rsid w:val="007377B8"/>
    <w:rsid w:val="00737B4D"/>
    <w:rsid w:val="00740A57"/>
    <w:rsid w:val="00740E54"/>
    <w:rsid w:val="00741161"/>
    <w:rsid w:val="00741517"/>
    <w:rsid w:val="0074175F"/>
    <w:rsid w:val="007422D2"/>
    <w:rsid w:val="00742501"/>
    <w:rsid w:val="00742CD6"/>
    <w:rsid w:val="00742E49"/>
    <w:rsid w:val="007439BB"/>
    <w:rsid w:val="007442EF"/>
    <w:rsid w:val="00744413"/>
    <w:rsid w:val="00744568"/>
    <w:rsid w:val="00744CC0"/>
    <w:rsid w:val="0074514B"/>
    <w:rsid w:val="00745911"/>
    <w:rsid w:val="00746076"/>
    <w:rsid w:val="0074674A"/>
    <w:rsid w:val="00746FE7"/>
    <w:rsid w:val="007470FC"/>
    <w:rsid w:val="0075084D"/>
    <w:rsid w:val="00751107"/>
    <w:rsid w:val="007512CA"/>
    <w:rsid w:val="00751686"/>
    <w:rsid w:val="00752287"/>
    <w:rsid w:val="00753379"/>
    <w:rsid w:val="007533EF"/>
    <w:rsid w:val="00753442"/>
    <w:rsid w:val="00753F25"/>
    <w:rsid w:val="00754351"/>
    <w:rsid w:val="00754CCC"/>
    <w:rsid w:val="00754DDA"/>
    <w:rsid w:val="007550CE"/>
    <w:rsid w:val="00755345"/>
    <w:rsid w:val="00755905"/>
    <w:rsid w:val="00755972"/>
    <w:rsid w:val="00755EDC"/>
    <w:rsid w:val="00756410"/>
    <w:rsid w:val="00756E4A"/>
    <w:rsid w:val="00756F00"/>
    <w:rsid w:val="0075702B"/>
    <w:rsid w:val="007579FF"/>
    <w:rsid w:val="007600D2"/>
    <w:rsid w:val="007619BF"/>
    <w:rsid w:val="00761C52"/>
    <w:rsid w:val="00761FDF"/>
    <w:rsid w:val="007622CC"/>
    <w:rsid w:val="00762476"/>
    <w:rsid w:val="00762910"/>
    <w:rsid w:val="007629DC"/>
    <w:rsid w:val="00762D1D"/>
    <w:rsid w:val="00763868"/>
    <w:rsid w:val="00763F50"/>
    <w:rsid w:val="007642F1"/>
    <w:rsid w:val="00764399"/>
    <w:rsid w:val="007647FC"/>
    <w:rsid w:val="0076519D"/>
    <w:rsid w:val="0076542A"/>
    <w:rsid w:val="00765BAE"/>
    <w:rsid w:val="00766DC9"/>
    <w:rsid w:val="00766EC2"/>
    <w:rsid w:val="00767611"/>
    <w:rsid w:val="00767687"/>
    <w:rsid w:val="007679A0"/>
    <w:rsid w:val="00767D0B"/>
    <w:rsid w:val="00770CF1"/>
    <w:rsid w:val="00772293"/>
    <w:rsid w:val="00772C13"/>
    <w:rsid w:val="0077361C"/>
    <w:rsid w:val="00773FAC"/>
    <w:rsid w:val="0077447D"/>
    <w:rsid w:val="00774881"/>
    <w:rsid w:val="00774C57"/>
    <w:rsid w:val="00774CB2"/>
    <w:rsid w:val="00774DDC"/>
    <w:rsid w:val="00774F9C"/>
    <w:rsid w:val="00774FB0"/>
    <w:rsid w:val="00775BA3"/>
    <w:rsid w:val="007767C7"/>
    <w:rsid w:val="0077730A"/>
    <w:rsid w:val="00777BE9"/>
    <w:rsid w:val="00777EA5"/>
    <w:rsid w:val="00777FCF"/>
    <w:rsid w:val="007803B2"/>
    <w:rsid w:val="007809FC"/>
    <w:rsid w:val="00780F25"/>
    <w:rsid w:val="00781112"/>
    <w:rsid w:val="0078159D"/>
    <w:rsid w:val="00782695"/>
    <w:rsid w:val="007826E8"/>
    <w:rsid w:val="00783F02"/>
    <w:rsid w:val="0078444C"/>
    <w:rsid w:val="0078471D"/>
    <w:rsid w:val="0078490F"/>
    <w:rsid w:val="00785758"/>
    <w:rsid w:val="0078593A"/>
    <w:rsid w:val="00785CF1"/>
    <w:rsid w:val="007869E6"/>
    <w:rsid w:val="00786AF1"/>
    <w:rsid w:val="00786FC8"/>
    <w:rsid w:val="00787118"/>
    <w:rsid w:val="00790296"/>
    <w:rsid w:val="00790EC0"/>
    <w:rsid w:val="00791379"/>
    <w:rsid w:val="007914EE"/>
    <w:rsid w:val="00791B88"/>
    <w:rsid w:val="00791F9E"/>
    <w:rsid w:val="0079309B"/>
    <w:rsid w:val="0079329D"/>
    <w:rsid w:val="00793A5C"/>
    <w:rsid w:val="00793A88"/>
    <w:rsid w:val="00794096"/>
    <w:rsid w:val="00794794"/>
    <w:rsid w:val="00794AF1"/>
    <w:rsid w:val="00794E97"/>
    <w:rsid w:val="007956F9"/>
    <w:rsid w:val="0079583F"/>
    <w:rsid w:val="00795FC2"/>
    <w:rsid w:val="00795FF7"/>
    <w:rsid w:val="0079665E"/>
    <w:rsid w:val="007966C9"/>
    <w:rsid w:val="00797926"/>
    <w:rsid w:val="00797A97"/>
    <w:rsid w:val="00797B11"/>
    <w:rsid w:val="007A079D"/>
    <w:rsid w:val="007A0811"/>
    <w:rsid w:val="007A0B97"/>
    <w:rsid w:val="007A236B"/>
    <w:rsid w:val="007A27D8"/>
    <w:rsid w:val="007A280C"/>
    <w:rsid w:val="007A2A0C"/>
    <w:rsid w:val="007A335F"/>
    <w:rsid w:val="007A38AE"/>
    <w:rsid w:val="007A3CB1"/>
    <w:rsid w:val="007A4345"/>
    <w:rsid w:val="007A4360"/>
    <w:rsid w:val="007A46A8"/>
    <w:rsid w:val="007A4DAD"/>
    <w:rsid w:val="007A5001"/>
    <w:rsid w:val="007A5097"/>
    <w:rsid w:val="007A5A58"/>
    <w:rsid w:val="007A5AB8"/>
    <w:rsid w:val="007A5AC3"/>
    <w:rsid w:val="007A76FB"/>
    <w:rsid w:val="007A7C51"/>
    <w:rsid w:val="007A7E58"/>
    <w:rsid w:val="007B01D5"/>
    <w:rsid w:val="007B0A1B"/>
    <w:rsid w:val="007B0B37"/>
    <w:rsid w:val="007B1237"/>
    <w:rsid w:val="007B158E"/>
    <w:rsid w:val="007B1794"/>
    <w:rsid w:val="007B2808"/>
    <w:rsid w:val="007B307D"/>
    <w:rsid w:val="007B35FF"/>
    <w:rsid w:val="007B387C"/>
    <w:rsid w:val="007B47E0"/>
    <w:rsid w:val="007B50A7"/>
    <w:rsid w:val="007B521A"/>
    <w:rsid w:val="007B5C51"/>
    <w:rsid w:val="007B615F"/>
    <w:rsid w:val="007B628E"/>
    <w:rsid w:val="007B66B2"/>
    <w:rsid w:val="007B6D92"/>
    <w:rsid w:val="007B6E7B"/>
    <w:rsid w:val="007B6EA7"/>
    <w:rsid w:val="007B70E6"/>
    <w:rsid w:val="007B76AC"/>
    <w:rsid w:val="007B7B0C"/>
    <w:rsid w:val="007B7E29"/>
    <w:rsid w:val="007C069F"/>
    <w:rsid w:val="007C08D6"/>
    <w:rsid w:val="007C17A2"/>
    <w:rsid w:val="007C1B16"/>
    <w:rsid w:val="007C1D05"/>
    <w:rsid w:val="007C1D89"/>
    <w:rsid w:val="007C1FAD"/>
    <w:rsid w:val="007C2A50"/>
    <w:rsid w:val="007C2BB5"/>
    <w:rsid w:val="007C2E6C"/>
    <w:rsid w:val="007C360F"/>
    <w:rsid w:val="007C3FB4"/>
    <w:rsid w:val="007C48BA"/>
    <w:rsid w:val="007C53AF"/>
    <w:rsid w:val="007C6B81"/>
    <w:rsid w:val="007C6F7D"/>
    <w:rsid w:val="007C7CC7"/>
    <w:rsid w:val="007D0632"/>
    <w:rsid w:val="007D1E14"/>
    <w:rsid w:val="007D23A9"/>
    <w:rsid w:val="007D244F"/>
    <w:rsid w:val="007D2515"/>
    <w:rsid w:val="007D28C8"/>
    <w:rsid w:val="007D2E04"/>
    <w:rsid w:val="007D39E0"/>
    <w:rsid w:val="007D45CD"/>
    <w:rsid w:val="007D5452"/>
    <w:rsid w:val="007D58AA"/>
    <w:rsid w:val="007D5B12"/>
    <w:rsid w:val="007D642B"/>
    <w:rsid w:val="007D6683"/>
    <w:rsid w:val="007D6DB3"/>
    <w:rsid w:val="007D7417"/>
    <w:rsid w:val="007D7880"/>
    <w:rsid w:val="007D78F5"/>
    <w:rsid w:val="007D7F1B"/>
    <w:rsid w:val="007E00CA"/>
    <w:rsid w:val="007E04BC"/>
    <w:rsid w:val="007E05C7"/>
    <w:rsid w:val="007E086E"/>
    <w:rsid w:val="007E10A3"/>
    <w:rsid w:val="007E1230"/>
    <w:rsid w:val="007E161D"/>
    <w:rsid w:val="007E1978"/>
    <w:rsid w:val="007E247F"/>
    <w:rsid w:val="007E2531"/>
    <w:rsid w:val="007E25A4"/>
    <w:rsid w:val="007E32A7"/>
    <w:rsid w:val="007E47E5"/>
    <w:rsid w:val="007E4D50"/>
    <w:rsid w:val="007E4E59"/>
    <w:rsid w:val="007E5064"/>
    <w:rsid w:val="007E54EA"/>
    <w:rsid w:val="007E5F36"/>
    <w:rsid w:val="007E61D8"/>
    <w:rsid w:val="007E64EE"/>
    <w:rsid w:val="007E7AD5"/>
    <w:rsid w:val="007E7C56"/>
    <w:rsid w:val="007F0551"/>
    <w:rsid w:val="007F105B"/>
    <w:rsid w:val="007F19DF"/>
    <w:rsid w:val="007F1A4E"/>
    <w:rsid w:val="007F277A"/>
    <w:rsid w:val="007F2A7D"/>
    <w:rsid w:val="007F30D0"/>
    <w:rsid w:val="007F32D1"/>
    <w:rsid w:val="007F3880"/>
    <w:rsid w:val="007F3970"/>
    <w:rsid w:val="007F445B"/>
    <w:rsid w:val="007F58B9"/>
    <w:rsid w:val="007F5DE2"/>
    <w:rsid w:val="007F5E6D"/>
    <w:rsid w:val="007F66BB"/>
    <w:rsid w:val="007F7262"/>
    <w:rsid w:val="007F744F"/>
    <w:rsid w:val="007F7A1A"/>
    <w:rsid w:val="00800278"/>
    <w:rsid w:val="00800415"/>
    <w:rsid w:val="00800B2F"/>
    <w:rsid w:val="00800B87"/>
    <w:rsid w:val="008017F4"/>
    <w:rsid w:val="0080269B"/>
    <w:rsid w:val="00803190"/>
    <w:rsid w:val="008031BA"/>
    <w:rsid w:val="0080344A"/>
    <w:rsid w:val="00803F89"/>
    <w:rsid w:val="008041EC"/>
    <w:rsid w:val="008042EA"/>
    <w:rsid w:val="008047CE"/>
    <w:rsid w:val="00804866"/>
    <w:rsid w:val="00805919"/>
    <w:rsid w:val="00806063"/>
    <w:rsid w:val="00806802"/>
    <w:rsid w:val="00806CFF"/>
    <w:rsid w:val="0080754E"/>
    <w:rsid w:val="00807E7F"/>
    <w:rsid w:val="00810625"/>
    <w:rsid w:val="00810DA3"/>
    <w:rsid w:val="00810E3D"/>
    <w:rsid w:val="00810F5F"/>
    <w:rsid w:val="00811FD7"/>
    <w:rsid w:val="008123C2"/>
    <w:rsid w:val="00812472"/>
    <w:rsid w:val="00813FDB"/>
    <w:rsid w:val="0081438A"/>
    <w:rsid w:val="00814471"/>
    <w:rsid w:val="00814D89"/>
    <w:rsid w:val="0081530C"/>
    <w:rsid w:val="00815C54"/>
    <w:rsid w:val="00816B3E"/>
    <w:rsid w:val="0082050E"/>
    <w:rsid w:val="00820F45"/>
    <w:rsid w:val="008217EE"/>
    <w:rsid w:val="0082196E"/>
    <w:rsid w:val="00821B39"/>
    <w:rsid w:val="00821BD3"/>
    <w:rsid w:val="00821C69"/>
    <w:rsid w:val="00821DCF"/>
    <w:rsid w:val="00822301"/>
    <w:rsid w:val="00822AF9"/>
    <w:rsid w:val="00823053"/>
    <w:rsid w:val="0082338D"/>
    <w:rsid w:val="008237C2"/>
    <w:rsid w:val="00823957"/>
    <w:rsid w:val="00824804"/>
    <w:rsid w:val="00824ABE"/>
    <w:rsid w:val="00824B79"/>
    <w:rsid w:val="00824C67"/>
    <w:rsid w:val="00824E7D"/>
    <w:rsid w:val="00825307"/>
    <w:rsid w:val="00825331"/>
    <w:rsid w:val="00825B96"/>
    <w:rsid w:val="00825D13"/>
    <w:rsid w:val="00826469"/>
    <w:rsid w:val="00826A4E"/>
    <w:rsid w:val="00826A9A"/>
    <w:rsid w:val="00826AA1"/>
    <w:rsid w:val="008273DB"/>
    <w:rsid w:val="0082760F"/>
    <w:rsid w:val="008278BA"/>
    <w:rsid w:val="00830466"/>
    <w:rsid w:val="00830815"/>
    <w:rsid w:val="00830A76"/>
    <w:rsid w:val="00830D4E"/>
    <w:rsid w:val="0083187E"/>
    <w:rsid w:val="0083255D"/>
    <w:rsid w:val="008325F6"/>
    <w:rsid w:val="00832844"/>
    <w:rsid w:val="00832AB3"/>
    <w:rsid w:val="00832BEB"/>
    <w:rsid w:val="008330AB"/>
    <w:rsid w:val="008339BB"/>
    <w:rsid w:val="00833A22"/>
    <w:rsid w:val="00833BCE"/>
    <w:rsid w:val="00834C3C"/>
    <w:rsid w:val="00834DE3"/>
    <w:rsid w:val="00835819"/>
    <w:rsid w:val="008359EF"/>
    <w:rsid w:val="00835ABB"/>
    <w:rsid w:val="0083633E"/>
    <w:rsid w:val="008366DE"/>
    <w:rsid w:val="00836718"/>
    <w:rsid w:val="00836A0B"/>
    <w:rsid w:val="00836A51"/>
    <w:rsid w:val="00836C89"/>
    <w:rsid w:val="00837166"/>
    <w:rsid w:val="00837C46"/>
    <w:rsid w:val="0084226B"/>
    <w:rsid w:val="00842486"/>
    <w:rsid w:val="00842B15"/>
    <w:rsid w:val="00843454"/>
    <w:rsid w:val="008438D5"/>
    <w:rsid w:val="00843985"/>
    <w:rsid w:val="00844B51"/>
    <w:rsid w:val="00844DD1"/>
    <w:rsid w:val="008457D7"/>
    <w:rsid w:val="00845AD1"/>
    <w:rsid w:val="00845BF7"/>
    <w:rsid w:val="00846056"/>
    <w:rsid w:val="008465A4"/>
    <w:rsid w:val="00847126"/>
    <w:rsid w:val="0084739B"/>
    <w:rsid w:val="008478BA"/>
    <w:rsid w:val="00847D1B"/>
    <w:rsid w:val="00850165"/>
    <w:rsid w:val="0085029B"/>
    <w:rsid w:val="008502CB"/>
    <w:rsid w:val="00850B23"/>
    <w:rsid w:val="00850D27"/>
    <w:rsid w:val="00851005"/>
    <w:rsid w:val="008517C9"/>
    <w:rsid w:val="008518FF"/>
    <w:rsid w:val="00851A3C"/>
    <w:rsid w:val="00852140"/>
    <w:rsid w:val="00852558"/>
    <w:rsid w:val="0085371A"/>
    <w:rsid w:val="00853CCE"/>
    <w:rsid w:val="00854011"/>
    <w:rsid w:val="00854AD7"/>
    <w:rsid w:val="00855299"/>
    <w:rsid w:val="00855761"/>
    <w:rsid w:val="008558B5"/>
    <w:rsid w:val="00855C98"/>
    <w:rsid w:val="00856588"/>
    <w:rsid w:val="008575F2"/>
    <w:rsid w:val="00857F22"/>
    <w:rsid w:val="00860083"/>
    <w:rsid w:val="00860325"/>
    <w:rsid w:val="0086051C"/>
    <w:rsid w:val="00860671"/>
    <w:rsid w:val="0086071A"/>
    <w:rsid w:val="00860769"/>
    <w:rsid w:val="0086148F"/>
    <w:rsid w:val="00861906"/>
    <w:rsid w:val="00861996"/>
    <w:rsid w:val="00862F34"/>
    <w:rsid w:val="00862F5F"/>
    <w:rsid w:val="008637CF"/>
    <w:rsid w:val="00863895"/>
    <w:rsid w:val="008649AF"/>
    <w:rsid w:val="00864ED8"/>
    <w:rsid w:val="0086621A"/>
    <w:rsid w:val="00866C0E"/>
    <w:rsid w:val="00866E7D"/>
    <w:rsid w:val="00867282"/>
    <w:rsid w:val="00867916"/>
    <w:rsid w:val="00867B71"/>
    <w:rsid w:val="00870365"/>
    <w:rsid w:val="0087036A"/>
    <w:rsid w:val="00870945"/>
    <w:rsid w:val="00870FE9"/>
    <w:rsid w:val="008710BC"/>
    <w:rsid w:val="00871241"/>
    <w:rsid w:val="008715BC"/>
    <w:rsid w:val="00871C6F"/>
    <w:rsid w:val="008726AB"/>
    <w:rsid w:val="008726D1"/>
    <w:rsid w:val="008737A8"/>
    <w:rsid w:val="00873A1F"/>
    <w:rsid w:val="008740B6"/>
    <w:rsid w:val="008740DE"/>
    <w:rsid w:val="00874C1E"/>
    <w:rsid w:val="008757DF"/>
    <w:rsid w:val="00875B3A"/>
    <w:rsid w:val="0087617A"/>
    <w:rsid w:val="0087668F"/>
    <w:rsid w:val="008767D5"/>
    <w:rsid w:val="00876A2D"/>
    <w:rsid w:val="008771E7"/>
    <w:rsid w:val="008776B6"/>
    <w:rsid w:val="0088041F"/>
    <w:rsid w:val="00880B5C"/>
    <w:rsid w:val="0088139D"/>
    <w:rsid w:val="008813B5"/>
    <w:rsid w:val="008814D0"/>
    <w:rsid w:val="008818C4"/>
    <w:rsid w:val="00881ACE"/>
    <w:rsid w:val="0088320E"/>
    <w:rsid w:val="00883310"/>
    <w:rsid w:val="00883502"/>
    <w:rsid w:val="0088354E"/>
    <w:rsid w:val="00883807"/>
    <w:rsid w:val="0088389B"/>
    <w:rsid w:val="0088421F"/>
    <w:rsid w:val="00884951"/>
    <w:rsid w:val="008855B0"/>
    <w:rsid w:val="00885699"/>
    <w:rsid w:val="00886286"/>
    <w:rsid w:val="00886C98"/>
    <w:rsid w:val="00887172"/>
    <w:rsid w:val="008876AF"/>
    <w:rsid w:val="00891085"/>
    <w:rsid w:val="0089113C"/>
    <w:rsid w:val="008911F5"/>
    <w:rsid w:val="00891503"/>
    <w:rsid w:val="00892B12"/>
    <w:rsid w:val="00892B46"/>
    <w:rsid w:val="00892B57"/>
    <w:rsid w:val="00892C6B"/>
    <w:rsid w:val="00892D2E"/>
    <w:rsid w:val="00892EE7"/>
    <w:rsid w:val="0089330E"/>
    <w:rsid w:val="00893A08"/>
    <w:rsid w:val="00895AE4"/>
    <w:rsid w:val="00895CBE"/>
    <w:rsid w:val="00895EC1"/>
    <w:rsid w:val="008965B5"/>
    <w:rsid w:val="0089697E"/>
    <w:rsid w:val="008972A5"/>
    <w:rsid w:val="008A006F"/>
    <w:rsid w:val="008A017F"/>
    <w:rsid w:val="008A059D"/>
    <w:rsid w:val="008A11CE"/>
    <w:rsid w:val="008A1737"/>
    <w:rsid w:val="008A1FA2"/>
    <w:rsid w:val="008A33B5"/>
    <w:rsid w:val="008A3736"/>
    <w:rsid w:val="008A42B2"/>
    <w:rsid w:val="008A4374"/>
    <w:rsid w:val="008A49F1"/>
    <w:rsid w:val="008A4C04"/>
    <w:rsid w:val="008A5301"/>
    <w:rsid w:val="008A5615"/>
    <w:rsid w:val="008A5C29"/>
    <w:rsid w:val="008A5F98"/>
    <w:rsid w:val="008A61A7"/>
    <w:rsid w:val="008A671F"/>
    <w:rsid w:val="008A6BA7"/>
    <w:rsid w:val="008A6C34"/>
    <w:rsid w:val="008A722F"/>
    <w:rsid w:val="008A79D5"/>
    <w:rsid w:val="008A7A6C"/>
    <w:rsid w:val="008A7B1F"/>
    <w:rsid w:val="008B03DA"/>
    <w:rsid w:val="008B0670"/>
    <w:rsid w:val="008B086B"/>
    <w:rsid w:val="008B11E7"/>
    <w:rsid w:val="008B1400"/>
    <w:rsid w:val="008B1673"/>
    <w:rsid w:val="008B1859"/>
    <w:rsid w:val="008B187E"/>
    <w:rsid w:val="008B2158"/>
    <w:rsid w:val="008B2DC8"/>
    <w:rsid w:val="008B34AF"/>
    <w:rsid w:val="008B3FE4"/>
    <w:rsid w:val="008B4481"/>
    <w:rsid w:val="008B4495"/>
    <w:rsid w:val="008B44A1"/>
    <w:rsid w:val="008B45EB"/>
    <w:rsid w:val="008B45F4"/>
    <w:rsid w:val="008B4655"/>
    <w:rsid w:val="008B54F8"/>
    <w:rsid w:val="008B5C34"/>
    <w:rsid w:val="008B5C45"/>
    <w:rsid w:val="008B5C64"/>
    <w:rsid w:val="008B6141"/>
    <w:rsid w:val="008B6899"/>
    <w:rsid w:val="008B6BBB"/>
    <w:rsid w:val="008B6C71"/>
    <w:rsid w:val="008B6DFF"/>
    <w:rsid w:val="008B789C"/>
    <w:rsid w:val="008B7A89"/>
    <w:rsid w:val="008B7E26"/>
    <w:rsid w:val="008C043A"/>
    <w:rsid w:val="008C1C14"/>
    <w:rsid w:val="008C2539"/>
    <w:rsid w:val="008C2765"/>
    <w:rsid w:val="008C29BA"/>
    <w:rsid w:val="008C3721"/>
    <w:rsid w:val="008C3880"/>
    <w:rsid w:val="008C3C1C"/>
    <w:rsid w:val="008C4CB6"/>
    <w:rsid w:val="008C580D"/>
    <w:rsid w:val="008C6203"/>
    <w:rsid w:val="008C6659"/>
    <w:rsid w:val="008C72BC"/>
    <w:rsid w:val="008C7D4C"/>
    <w:rsid w:val="008D08F5"/>
    <w:rsid w:val="008D1702"/>
    <w:rsid w:val="008D1C08"/>
    <w:rsid w:val="008D1D9B"/>
    <w:rsid w:val="008D1F61"/>
    <w:rsid w:val="008D2109"/>
    <w:rsid w:val="008D2F8D"/>
    <w:rsid w:val="008D369E"/>
    <w:rsid w:val="008D3A4A"/>
    <w:rsid w:val="008D409A"/>
    <w:rsid w:val="008D5D5A"/>
    <w:rsid w:val="008D5EDF"/>
    <w:rsid w:val="008D620F"/>
    <w:rsid w:val="008D6AA4"/>
    <w:rsid w:val="008D6FB6"/>
    <w:rsid w:val="008D6FEE"/>
    <w:rsid w:val="008D7386"/>
    <w:rsid w:val="008D74D7"/>
    <w:rsid w:val="008E0606"/>
    <w:rsid w:val="008E0CE9"/>
    <w:rsid w:val="008E12A2"/>
    <w:rsid w:val="008E1ADC"/>
    <w:rsid w:val="008E1E24"/>
    <w:rsid w:val="008E1F7C"/>
    <w:rsid w:val="008E1FFD"/>
    <w:rsid w:val="008E24CB"/>
    <w:rsid w:val="008E2ACB"/>
    <w:rsid w:val="008E33F4"/>
    <w:rsid w:val="008E374E"/>
    <w:rsid w:val="008E3997"/>
    <w:rsid w:val="008E4A58"/>
    <w:rsid w:val="008E4CD7"/>
    <w:rsid w:val="008E4DAF"/>
    <w:rsid w:val="008E4E38"/>
    <w:rsid w:val="008E5A72"/>
    <w:rsid w:val="008E6D60"/>
    <w:rsid w:val="008E6EE1"/>
    <w:rsid w:val="008E71CA"/>
    <w:rsid w:val="008E76D6"/>
    <w:rsid w:val="008E7809"/>
    <w:rsid w:val="008E7C6D"/>
    <w:rsid w:val="008E7E0A"/>
    <w:rsid w:val="008F073D"/>
    <w:rsid w:val="008F08E9"/>
    <w:rsid w:val="008F0E54"/>
    <w:rsid w:val="008F1023"/>
    <w:rsid w:val="008F18AB"/>
    <w:rsid w:val="008F1C48"/>
    <w:rsid w:val="008F1E43"/>
    <w:rsid w:val="008F25C4"/>
    <w:rsid w:val="008F275F"/>
    <w:rsid w:val="008F30AB"/>
    <w:rsid w:val="008F32CD"/>
    <w:rsid w:val="008F43C9"/>
    <w:rsid w:val="008F4A54"/>
    <w:rsid w:val="008F5261"/>
    <w:rsid w:val="008F5443"/>
    <w:rsid w:val="008F5591"/>
    <w:rsid w:val="008F5C7B"/>
    <w:rsid w:val="008F5E9D"/>
    <w:rsid w:val="008F6271"/>
    <w:rsid w:val="008F6450"/>
    <w:rsid w:val="008F6A86"/>
    <w:rsid w:val="008F6B52"/>
    <w:rsid w:val="008F7D4F"/>
    <w:rsid w:val="008F7DAB"/>
    <w:rsid w:val="00900718"/>
    <w:rsid w:val="00900829"/>
    <w:rsid w:val="009020FB"/>
    <w:rsid w:val="00902113"/>
    <w:rsid w:val="009028BA"/>
    <w:rsid w:val="00902A96"/>
    <w:rsid w:val="00903259"/>
    <w:rsid w:val="00903D89"/>
    <w:rsid w:val="00904180"/>
    <w:rsid w:val="00904B01"/>
    <w:rsid w:val="00904C98"/>
    <w:rsid w:val="00904E9D"/>
    <w:rsid w:val="00904F3E"/>
    <w:rsid w:val="00905335"/>
    <w:rsid w:val="00905CDE"/>
    <w:rsid w:val="0090668D"/>
    <w:rsid w:val="00907A31"/>
    <w:rsid w:val="00907D22"/>
    <w:rsid w:val="0091013E"/>
    <w:rsid w:val="0091087E"/>
    <w:rsid w:val="009108A6"/>
    <w:rsid w:val="009121F0"/>
    <w:rsid w:val="00912D1F"/>
    <w:rsid w:val="00912F70"/>
    <w:rsid w:val="009136C2"/>
    <w:rsid w:val="00914055"/>
    <w:rsid w:val="00914466"/>
    <w:rsid w:val="009157AE"/>
    <w:rsid w:val="009160A4"/>
    <w:rsid w:val="009160FE"/>
    <w:rsid w:val="00916AFE"/>
    <w:rsid w:val="00916E6C"/>
    <w:rsid w:val="0092039B"/>
    <w:rsid w:val="00920462"/>
    <w:rsid w:val="009213EA"/>
    <w:rsid w:val="00921CD0"/>
    <w:rsid w:val="00922393"/>
    <w:rsid w:val="00922517"/>
    <w:rsid w:val="009226B1"/>
    <w:rsid w:val="00922A9B"/>
    <w:rsid w:val="009244DC"/>
    <w:rsid w:val="00924647"/>
    <w:rsid w:val="00924B98"/>
    <w:rsid w:val="00924FCD"/>
    <w:rsid w:val="00924FF9"/>
    <w:rsid w:val="009254FC"/>
    <w:rsid w:val="00926453"/>
    <w:rsid w:val="0092670B"/>
    <w:rsid w:val="009269B9"/>
    <w:rsid w:val="00926AC1"/>
    <w:rsid w:val="00927048"/>
    <w:rsid w:val="00927108"/>
    <w:rsid w:val="009275DF"/>
    <w:rsid w:val="00927774"/>
    <w:rsid w:val="00927E3F"/>
    <w:rsid w:val="00930972"/>
    <w:rsid w:val="00930CF4"/>
    <w:rsid w:val="00930F38"/>
    <w:rsid w:val="00931775"/>
    <w:rsid w:val="00932021"/>
    <w:rsid w:val="00932F4E"/>
    <w:rsid w:val="00933FF8"/>
    <w:rsid w:val="00934534"/>
    <w:rsid w:val="00934C0A"/>
    <w:rsid w:val="00934D80"/>
    <w:rsid w:val="00934E3B"/>
    <w:rsid w:val="0093506C"/>
    <w:rsid w:val="00935489"/>
    <w:rsid w:val="00936DA6"/>
    <w:rsid w:val="009370A9"/>
    <w:rsid w:val="00937856"/>
    <w:rsid w:val="00937CB2"/>
    <w:rsid w:val="009400BE"/>
    <w:rsid w:val="0094024D"/>
    <w:rsid w:val="00940CF4"/>
    <w:rsid w:val="00940F6E"/>
    <w:rsid w:val="00941476"/>
    <w:rsid w:val="0094248A"/>
    <w:rsid w:val="009425BB"/>
    <w:rsid w:val="00942D35"/>
    <w:rsid w:val="00943B00"/>
    <w:rsid w:val="009440D1"/>
    <w:rsid w:val="00944490"/>
    <w:rsid w:val="009452F5"/>
    <w:rsid w:val="00946031"/>
    <w:rsid w:val="00946526"/>
    <w:rsid w:val="00947402"/>
    <w:rsid w:val="009476E8"/>
    <w:rsid w:val="009478B6"/>
    <w:rsid w:val="00947E95"/>
    <w:rsid w:val="00947FF2"/>
    <w:rsid w:val="009503C4"/>
    <w:rsid w:val="00950C81"/>
    <w:rsid w:val="00951066"/>
    <w:rsid w:val="009517D0"/>
    <w:rsid w:val="00951BB1"/>
    <w:rsid w:val="00951CCE"/>
    <w:rsid w:val="00951F21"/>
    <w:rsid w:val="0095399E"/>
    <w:rsid w:val="00954360"/>
    <w:rsid w:val="00954845"/>
    <w:rsid w:val="00955310"/>
    <w:rsid w:val="00955675"/>
    <w:rsid w:val="00955A15"/>
    <w:rsid w:val="00955FB4"/>
    <w:rsid w:val="00956F68"/>
    <w:rsid w:val="00957058"/>
    <w:rsid w:val="00957170"/>
    <w:rsid w:val="0096022D"/>
    <w:rsid w:val="00960B21"/>
    <w:rsid w:val="00960EDF"/>
    <w:rsid w:val="00960EF2"/>
    <w:rsid w:val="009612FB"/>
    <w:rsid w:val="0096210E"/>
    <w:rsid w:val="00962355"/>
    <w:rsid w:val="00962CAF"/>
    <w:rsid w:val="009630BC"/>
    <w:rsid w:val="0096375C"/>
    <w:rsid w:val="00963829"/>
    <w:rsid w:val="0096405B"/>
    <w:rsid w:val="009643B6"/>
    <w:rsid w:val="00964F35"/>
    <w:rsid w:val="00965283"/>
    <w:rsid w:val="00965949"/>
    <w:rsid w:val="009659BE"/>
    <w:rsid w:val="009667BB"/>
    <w:rsid w:val="009672C6"/>
    <w:rsid w:val="009679DA"/>
    <w:rsid w:val="00967F92"/>
    <w:rsid w:val="009707D3"/>
    <w:rsid w:val="00970815"/>
    <w:rsid w:val="00970B60"/>
    <w:rsid w:val="00971D60"/>
    <w:rsid w:val="0097229F"/>
    <w:rsid w:val="009723AB"/>
    <w:rsid w:val="00972E65"/>
    <w:rsid w:val="00972EC4"/>
    <w:rsid w:val="00973060"/>
    <w:rsid w:val="009733BC"/>
    <w:rsid w:val="00973E52"/>
    <w:rsid w:val="0097474D"/>
    <w:rsid w:val="00975258"/>
    <w:rsid w:val="009754A6"/>
    <w:rsid w:val="00975951"/>
    <w:rsid w:val="00976613"/>
    <w:rsid w:val="00976675"/>
    <w:rsid w:val="00976736"/>
    <w:rsid w:val="00976F9E"/>
    <w:rsid w:val="00977382"/>
    <w:rsid w:val="00977408"/>
    <w:rsid w:val="00977F38"/>
    <w:rsid w:val="0098087D"/>
    <w:rsid w:val="00981302"/>
    <w:rsid w:val="00981398"/>
    <w:rsid w:val="0098180F"/>
    <w:rsid w:val="00981C1D"/>
    <w:rsid w:val="00982334"/>
    <w:rsid w:val="009829EE"/>
    <w:rsid w:val="00982C96"/>
    <w:rsid w:val="009833B0"/>
    <w:rsid w:val="00983CA7"/>
    <w:rsid w:val="00983EF6"/>
    <w:rsid w:val="00983FFE"/>
    <w:rsid w:val="00984466"/>
    <w:rsid w:val="0098447E"/>
    <w:rsid w:val="00984CA4"/>
    <w:rsid w:val="0098617D"/>
    <w:rsid w:val="0098656E"/>
    <w:rsid w:val="00986A8C"/>
    <w:rsid w:val="00986C21"/>
    <w:rsid w:val="00987F99"/>
    <w:rsid w:val="0099012B"/>
    <w:rsid w:val="0099096E"/>
    <w:rsid w:val="00990C5D"/>
    <w:rsid w:val="00990DA3"/>
    <w:rsid w:val="00990EDA"/>
    <w:rsid w:val="00991046"/>
    <w:rsid w:val="009911F9"/>
    <w:rsid w:val="00991332"/>
    <w:rsid w:val="00991E8B"/>
    <w:rsid w:val="009921D8"/>
    <w:rsid w:val="00992377"/>
    <w:rsid w:val="009935B0"/>
    <w:rsid w:val="0099378E"/>
    <w:rsid w:val="00993D93"/>
    <w:rsid w:val="0099475D"/>
    <w:rsid w:val="009949C9"/>
    <w:rsid w:val="00994AD4"/>
    <w:rsid w:val="009951E1"/>
    <w:rsid w:val="009955A5"/>
    <w:rsid w:val="009955D4"/>
    <w:rsid w:val="00996A3F"/>
    <w:rsid w:val="00996A70"/>
    <w:rsid w:val="00996E34"/>
    <w:rsid w:val="00996E4B"/>
    <w:rsid w:val="0099721E"/>
    <w:rsid w:val="00997237"/>
    <w:rsid w:val="0099797A"/>
    <w:rsid w:val="009A09CA"/>
    <w:rsid w:val="009A0A44"/>
    <w:rsid w:val="009A160D"/>
    <w:rsid w:val="009A274A"/>
    <w:rsid w:val="009A2E61"/>
    <w:rsid w:val="009A3695"/>
    <w:rsid w:val="009A3BAC"/>
    <w:rsid w:val="009A4DE4"/>
    <w:rsid w:val="009A4F0F"/>
    <w:rsid w:val="009A5414"/>
    <w:rsid w:val="009A576D"/>
    <w:rsid w:val="009A5CCA"/>
    <w:rsid w:val="009A5F7A"/>
    <w:rsid w:val="009A6496"/>
    <w:rsid w:val="009A697D"/>
    <w:rsid w:val="009A7660"/>
    <w:rsid w:val="009A7AE0"/>
    <w:rsid w:val="009A7DBF"/>
    <w:rsid w:val="009A7FD1"/>
    <w:rsid w:val="009B03FD"/>
    <w:rsid w:val="009B0550"/>
    <w:rsid w:val="009B0866"/>
    <w:rsid w:val="009B0D77"/>
    <w:rsid w:val="009B0D98"/>
    <w:rsid w:val="009B0E06"/>
    <w:rsid w:val="009B14D0"/>
    <w:rsid w:val="009B1708"/>
    <w:rsid w:val="009B2826"/>
    <w:rsid w:val="009B33D6"/>
    <w:rsid w:val="009B46D3"/>
    <w:rsid w:val="009B4E64"/>
    <w:rsid w:val="009B569A"/>
    <w:rsid w:val="009B693A"/>
    <w:rsid w:val="009B6A1C"/>
    <w:rsid w:val="009B7795"/>
    <w:rsid w:val="009B78ED"/>
    <w:rsid w:val="009C008D"/>
    <w:rsid w:val="009C0F92"/>
    <w:rsid w:val="009C1C99"/>
    <w:rsid w:val="009C1DB6"/>
    <w:rsid w:val="009C1F8D"/>
    <w:rsid w:val="009C29BD"/>
    <w:rsid w:val="009C2FFE"/>
    <w:rsid w:val="009C321D"/>
    <w:rsid w:val="009C3ED6"/>
    <w:rsid w:val="009C44B5"/>
    <w:rsid w:val="009C49C9"/>
    <w:rsid w:val="009C4FDB"/>
    <w:rsid w:val="009C520C"/>
    <w:rsid w:val="009C539D"/>
    <w:rsid w:val="009C5DD0"/>
    <w:rsid w:val="009C6627"/>
    <w:rsid w:val="009C6851"/>
    <w:rsid w:val="009C6ADD"/>
    <w:rsid w:val="009C6C3D"/>
    <w:rsid w:val="009D005C"/>
    <w:rsid w:val="009D0861"/>
    <w:rsid w:val="009D0AF2"/>
    <w:rsid w:val="009D0B1A"/>
    <w:rsid w:val="009D1C80"/>
    <w:rsid w:val="009D3C90"/>
    <w:rsid w:val="009D3DDA"/>
    <w:rsid w:val="009D3F88"/>
    <w:rsid w:val="009D4060"/>
    <w:rsid w:val="009D4F1A"/>
    <w:rsid w:val="009D5CC9"/>
    <w:rsid w:val="009D60DC"/>
    <w:rsid w:val="009D614A"/>
    <w:rsid w:val="009D6817"/>
    <w:rsid w:val="009D6A52"/>
    <w:rsid w:val="009D79A8"/>
    <w:rsid w:val="009E009D"/>
    <w:rsid w:val="009E2497"/>
    <w:rsid w:val="009E2B85"/>
    <w:rsid w:val="009E371D"/>
    <w:rsid w:val="009E3945"/>
    <w:rsid w:val="009E3E97"/>
    <w:rsid w:val="009E4BF9"/>
    <w:rsid w:val="009E5EDA"/>
    <w:rsid w:val="009E6A6D"/>
    <w:rsid w:val="009E785C"/>
    <w:rsid w:val="009F03A6"/>
    <w:rsid w:val="009F087C"/>
    <w:rsid w:val="009F0F00"/>
    <w:rsid w:val="009F1834"/>
    <w:rsid w:val="009F1F73"/>
    <w:rsid w:val="009F201C"/>
    <w:rsid w:val="009F263C"/>
    <w:rsid w:val="009F3A99"/>
    <w:rsid w:val="009F53BE"/>
    <w:rsid w:val="009F6165"/>
    <w:rsid w:val="009F6D66"/>
    <w:rsid w:val="009F7231"/>
    <w:rsid w:val="009F7DC5"/>
    <w:rsid w:val="00A0050F"/>
    <w:rsid w:val="00A00778"/>
    <w:rsid w:val="00A015DB"/>
    <w:rsid w:val="00A018C5"/>
    <w:rsid w:val="00A019AF"/>
    <w:rsid w:val="00A02177"/>
    <w:rsid w:val="00A03711"/>
    <w:rsid w:val="00A0468F"/>
    <w:rsid w:val="00A04D14"/>
    <w:rsid w:val="00A04FE7"/>
    <w:rsid w:val="00A05018"/>
    <w:rsid w:val="00A053E7"/>
    <w:rsid w:val="00A05541"/>
    <w:rsid w:val="00A062B9"/>
    <w:rsid w:val="00A0651A"/>
    <w:rsid w:val="00A06B45"/>
    <w:rsid w:val="00A07399"/>
    <w:rsid w:val="00A100D3"/>
    <w:rsid w:val="00A10387"/>
    <w:rsid w:val="00A105ED"/>
    <w:rsid w:val="00A11711"/>
    <w:rsid w:val="00A11B4C"/>
    <w:rsid w:val="00A11B60"/>
    <w:rsid w:val="00A12505"/>
    <w:rsid w:val="00A12BCD"/>
    <w:rsid w:val="00A12D29"/>
    <w:rsid w:val="00A13261"/>
    <w:rsid w:val="00A132E9"/>
    <w:rsid w:val="00A13B0E"/>
    <w:rsid w:val="00A149CF"/>
    <w:rsid w:val="00A14A28"/>
    <w:rsid w:val="00A14A39"/>
    <w:rsid w:val="00A14A77"/>
    <w:rsid w:val="00A14E05"/>
    <w:rsid w:val="00A14E10"/>
    <w:rsid w:val="00A15292"/>
    <w:rsid w:val="00A15663"/>
    <w:rsid w:val="00A1588D"/>
    <w:rsid w:val="00A16B50"/>
    <w:rsid w:val="00A17007"/>
    <w:rsid w:val="00A171D5"/>
    <w:rsid w:val="00A1747A"/>
    <w:rsid w:val="00A179B9"/>
    <w:rsid w:val="00A17BB6"/>
    <w:rsid w:val="00A20390"/>
    <w:rsid w:val="00A20550"/>
    <w:rsid w:val="00A215E3"/>
    <w:rsid w:val="00A21CE7"/>
    <w:rsid w:val="00A21ECD"/>
    <w:rsid w:val="00A229F2"/>
    <w:rsid w:val="00A236A7"/>
    <w:rsid w:val="00A23D60"/>
    <w:rsid w:val="00A23EEE"/>
    <w:rsid w:val="00A25B69"/>
    <w:rsid w:val="00A263FB"/>
    <w:rsid w:val="00A2647F"/>
    <w:rsid w:val="00A26F64"/>
    <w:rsid w:val="00A276A6"/>
    <w:rsid w:val="00A2784B"/>
    <w:rsid w:val="00A27F0B"/>
    <w:rsid w:val="00A308E4"/>
    <w:rsid w:val="00A30F69"/>
    <w:rsid w:val="00A31090"/>
    <w:rsid w:val="00A32A23"/>
    <w:rsid w:val="00A335A6"/>
    <w:rsid w:val="00A33ABE"/>
    <w:rsid w:val="00A34FB3"/>
    <w:rsid w:val="00A35003"/>
    <w:rsid w:val="00A359A7"/>
    <w:rsid w:val="00A370CD"/>
    <w:rsid w:val="00A37555"/>
    <w:rsid w:val="00A4055F"/>
    <w:rsid w:val="00A4066D"/>
    <w:rsid w:val="00A40718"/>
    <w:rsid w:val="00A40C2E"/>
    <w:rsid w:val="00A40E0C"/>
    <w:rsid w:val="00A40FD6"/>
    <w:rsid w:val="00A410C4"/>
    <w:rsid w:val="00A41A1D"/>
    <w:rsid w:val="00A426DD"/>
    <w:rsid w:val="00A433E8"/>
    <w:rsid w:val="00A43868"/>
    <w:rsid w:val="00A45E29"/>
    <w:rsid w:val="00A45FEB"/>
    <w:rsid w:val="00A465C8"/>
    <w:rsid w:val="00A46E66"/>
    <w:rsid w:val="00A46FF2"/>
    <w:rsid w:val="00A5000D"/>
    <w:rsid w:val="00A507BB"/>
    <w:rsid w:val="00A51220"/>
    <w:rsid w:val="00A51BA3"/>
    <w:rsid w:val="00A529DE"/>
    <w:rsid w:val="00A52AE6"/>
    <w:rsid w:val="00A53D42"/>
    <w:rsid w:val="00A54423"/>
    <w:rsid w:val="00A54841"/>
    <w:rsid w:val="00A54A75"/>
    <w:rsid w:val="00A54D4A"/>
    <w:rsid w:val="00A54F04"/>
    <w:rsid w:val="00A550FD"/>
    <w:rsid w:val="00A552EF"/>
    <w:rsid w:val="00A5628B"/>
    <w:rsid w:val="00A563F2"/>
    <w:rsid w:val="00A56544"/>
    <w:rsid w:val="00A5665A"/>
    <w:rsid w:val="00A56C12"/>
    <w:rsid w:val="00A60393"/>
    <w:rsid w:val="00A60B48"/>
    <w:rsid w:val="00A60D85"/>
    <w:rsid w:val="00A621D7"/>
    <w:rsid w:val="00A621E3"/>
    <w:rsid w:val="00A62564"/>
    <w:rsid w:val="00A62A21"/>
    <w:rsid w:val="00A62CBF"/>
    <w:rsid w:val="00A63291"/>
    <w:rsid w:val="00A6390C"/>
    <w:rsid w:val="00A63CCB"/>
    <w:rsid w:val="00A63EFD"/>
    <w:rsid w:val="00A64974"/>
    <w:rsid w:val="00A64C93"/>
    <w:rsid w:val="00A64ECB"/>
    <w:rsid w:val="00A651F8"/>
    <w:rsid w:val="00A652E1"/>
    <w:rsid w:val="00A65899"/>
    <w:rsid w:val="00A65BCB"/>
    <w:rsid w:val="00A66238"/>
    <w:rsid w:val="00A670B3"/>
    <w:rsid w:val="00A675F9"/>
    <w:rsid w:val="00A6793D"/>
    <w:rsid w:val="00A7026B"/>
    <w:rsid w:val="00A704D8"/>
    <w:rsid w:val="00A7054A"/>
    <w:rsid w:val="00A70AD9"/>
    <w:rsid w:val="00A71021"/>
    <w:rsid w:val="00A710F3"/>
    <w:rsid w:val="00A72633"/>
    <w:rsid w:val="00A72F27"/>
    <w:rsid w:val="00A736CA"/>
    <w:rsid w:val="00A7475A"/>
    <w:rsid w:val="00A747D3"/>
    <w:rsid w:val="00A74AF6"/>
    <w:rsid w:val="00A7564A"/>
    <w:rsid w:val="00A756F0"/>
    <w:rsid w:val="00A7592A"/>
    <w:rsid w:val="00A75A58"/>
    <w:rsid w:val="00A75B4B"/>
    <w:rsid w:val="00A75CBD"/>
    <w:rsid w:val="00A766D8"/>
    <w:rsid w:val="00A77379"/>
    <w:rsid w:val="00A7772D"/>
    <w:rsid w:val="00A7788B"/>
    <w:rsid w:val="00A7791F"/>
    <w:rsid w:val="00A81B53"/>
    <w:rsid w:val="00A81E41"/>
    <w:rsid w:val="00A81F16"/>
    <w:rsid w:val="00A82BA1"/>
    <w:rsid w:val="00A83AAE"/>
    <w:rsid w:val="00A83B44"/>
    <w:rsid w:val="00A83BBE"/>
    <w:rsid w:val="00A84706"/>
    <w:rsid w:val="00A84E2C"/>
    <w:rsid w:val="00A852E5"/>
    <w:rsid w:val="00A85E0C"/>
    <w:rsid w:val="00A86203"/>
    <w:rsid w:val="00A864DF"/>
    <w:rsid w:val="00A86A31"/>
    <w:rsid w:val="00A86CC9"/>
    <w:rsid w:val="00A86DD3"/>
    <w:rsid w:val="00A86F70"/>
    <w:rsid w:val="00A87820"/>
    <w:rsid w:val="00A8799A"/>
    <w:rsid w:val="00A87A7E"/>
    <w:rsid w:val="00A90393"/>
    <w:rsid w:val="00A91063"/>
    <w:rsid w:val="00A91E37"/>
    <w:rsid w:val="00A91FA2"/>
    <w:rsid w:val="00A93930"/>
    <w:rsid w:val="00A950A6"/>
    <w:rsid w:val="00A9530D"/>
    <w:rsid w:val="00A95BD7"/>
    <w:rsid w:val="00A95D24"/>
    <w:rsid w:val="00A95D36"/>
    <w:rsid w:val="00A96123"/>
    <w:rsid w:val="00A96133"/>
    <w:rsid w:val="00A967D0"/>
    <w:rsid w:val="00A96D0F"/>
    <w:rsid w:val="00A96D3A"/>
    <w:rsid w:val="00A96D86"/>
    <w:rsid w:val="00A96E84"/>
    <w:rsid w:val="00A97939"/>
    <w:rsid w:val="00A97D22"/>
    <w:rsid w:val="00AA01B4"/>
    <w:rsid w:val="00AA021C"/>
    <w:rsid w:val="00AA0303"/>
    <w:rsid w:val="00AA0564"/>
    <w:rsid w:val="00AA0CBA"/>
    <w:rsid w:val="00AA14F1"/>
    <w:rsid w:val="00AA189F"/>
    <w:rsid w:val="00AA18C4"/>
    <w:rsid w:val="00AA199A"/>
    <w:rsid w:val="00AA1E2A"/>
    <w:rsid w:val="00AA251F"/>
    <w:rsid w:val="00AA2BB8"/>
    <w:rsid w:val="00AA3067"/>
    <w:rsid w:val="00AA30CB"/>
    <w:rsid w:val="00AA32F6"/>
    <w:rsid w:val="00AA33F0"/>
    <w:rsid w:val="00AA369B"/>
    <w:rsid w:val="00AA36E3"/>
    <w:rsid w:val="00AA38D6"/>
    <w:rsid w:val="00AA3906"/>
    <w:rsid w:val="00AA3ADE"/>
    <w:rsid w:val="00AA3B39"/>
    <w:rsid w:val="00AA3ECE"/>
    <w:rsid w:val="00AA4039"/>
    <w:rsid w:val="00AA474D"/>
    <w:rsid w:val="00AA5B5E"/>
    <w:rsid w:val="00AA62CA"/>
    <w:rsid w:val="00AA63F9"/>
    <w:rsid w:val="00AA642F"/>
    <w:rsid w:val="00AA6502"/>
    <w:rsid w:val="00AA68AA"/>
    <w:rsid w:val="00AA6D7E"/>
    <w:rsid w:val="00AA71CF"/>
    <w:rsid w:val="00AA73AA"/>
    <w:rsid w:val="00AA7E18"/>
    <w:rsid w:val="00AB0B03"/>
    <w:rsid w:val="00AB0BAA"/>
    <w:rsid w:val="00AB104E"/>
    <w:rsid w:val="00AB123B"/>
    <w:rsid w:val="00AB2ADC"/>
    <w:rsid w:val="00AB2BC2"/>
    <w:rsid w:val="00AB3039"/>
    <w:rsid w:val="00AB3140"/>
    <w:rsid w:val="00AB3330"/>
    <w:rsid w:val="00AB33F5"/>
    <w:rsid w:val="00AB3B90"/>
    <w:rsid w:val="00AB3D53"/>
    <w:rsid w:val="00AB4D09"/>
    <w:rsid w:val="00AB507A"/>
    <w:rsid w:val="00AB548B"/>
    <w:rsid w:val="00AB5FA5"/>
    <w:rsid w:val="00AB60B5"/>
    <w:rsid w:val="00AB65C1"/>
    <w:rsid w:val="00AB6B9B"/>
    <w:rsid w:val="00AB71B5"/>
    <w:rsid w:val="00AC079D"/>
    <w:rsid w:val="00AC0E5B"/>
    <w:rsid w:val="00AC1075"/>
    <w:rsid w:val="00AC1192"/>
    <w:rsid w:val="00AC2CD4"/>
    <w:rsid w:val="00AC36B9"/>
    <w:rsid w:val="00AC3A69"/>
    <w:rsid w:val="00AC5B4F"/>
    <w:rsid w:val="00AC61EA"/>
    <w:rsid w:val="00AC6E48"/>
    <w:rsid w:val="00AD028F"/>
    <w:rsid w:val="00AD08B7"/>
    <w:rsid w:val="00AD097A"/>
    <w:rsid w:val="00AD1571"/>
    <w:rsid w:val="00AD1883"/>
    <w:rsid w:val="00AD1D1F"/>
    <w:rsid w:val="00AD1E09"/>
    <w:rsid w:val="00AD2822"/>
    <w:rsid w:val="00AD2951"/>
    <w:rsid w:val="00AD2DC9"/>
    <w:rsid w:val="00AD36C2"/>
    <w:rsid w:val="00AD3AEC"/>
    <w:rsid w:val="00AD3B22"/>
    <w:rsid w:val="00AD537E"/>
    <w:rsid w:val="00AD56CC"/>
    <w:rsid w:val="00AD57D6"/>
    <w:rsid w:val="00AD5883"/>
    <w:rsid w:val="00AD5D76"/>
    <w:rsid w:val="00AD5E08"/>
    <w:rsid w:val="00AD71C9"/>
    <w:rsid w:val="00AD7280"/>
    <w:rsid w:val="00AD7E93"/>
    <w:rsid w:val="00AD7FB0"/>
    <w:rsid w:val="00AE0011"/>
    <w:rsid w:val="00AE040A"/>
    <w:rsid w:val="00AE206B"/>
    <w:rsid w:val="00AE22C1"/>
    <w:rsid w:val="00AE2847"/>
    <w:rsid w:val="00AE28DC"/>
    <w:rsid w:val="00AE2D46"/>
    <w:rsid w:val="00AE34A5"/>
    <w:rsid w:val="00AE3B89"/>
    <w:rsid w:val="00AE3C62"/>
    <w:rsid w:val="00AE4161"/>
    <w:rsid w:val="00AE41B1"/>
    <w:rsid w:val="00AE4393"/>
    <w:rsid w:val="00AE471B"/>
    <w:rsid w:val="00AE4A8F"/>
    <w:rsid w:val="00AE5645"/>
    <w:rsid w:val="00AE5722"/>
    <w:rsid w:val="00AE59A4"/>
    <w:rsid w:val="00AE6481"/>
    <w:rsid w:val="00AE76C9"/>
    <w:rsid w:val="00AE7F18"/>
    <w:rsid w:val="00AE7FE8"/>
    <w:rsid w:val="00AF01EC"/>
    <w:rsid w:val="00AF0FC1"/>
    <w:rsid w:val="00AF13AB"/>
    <w:rsid w:val="00AF16EF"/>
    <w:rsid w:val="00AF172B"/>
    <w:rsid w:val="00AF179A"/>
    <w:rsid w:val="00AF1905"/>
    <w:rsid w:val="00AF1A89"/>
    <w:rsid w:val="00AF1B57"/>
    <w:rsid w:val="00AF20F6"/>
    <w:rsid w:val="00AF24DE"/>
    <w:rsid w:val="00AF2716"/>
    <w:rsid w:val="00AF280B"/>
    <w:rsid w:val="00AF2D2B"/>
    <w:rsid w:val="00AF3552"/>
    <w:rsid w:val="00AF3AE7"/>
    <w:rsid w:val="00AF4454"/>
    <w:rsid w:val="00AF4767"/>
    <w:rsid w:val="00AF4817"/>
    <w:rsid w:val="00AF4978"/>
    <w:rsid w:val="00AF51FB"/>
    <w:rsid w:val="00AF53FA"/>
    <w:rsid w:val="00AF58A4"/>
    <w:rsid w:val="00AF5D46"/>
    <w:rsid w:val="00AF5D47"/>
    <w:rsid w:val="00AF6665"/>
    <w:rsid w:val="00AF6803"/>
    <w:rsid w:val="00AF6815"/>
    <w:rsid w:val="00AF74C3"/>
    <w:rsid w:val="00AF7FB4"/>
    <w:rsid w:val="00B0066D"/>
    <w:rsid w:val="00B00755"/>
    <w:rsid w:val="00B00982"/>
    <w:rsid w:val="00B00AD4"/>
    <w:rsid w:val="00B0107A"/>
    <w:rsid w:val="00B015B8"/>
    <w:rsid w:val="00B0242E"/>
    <w:rsid w:val="00B03AE1"/>
    <w:rsid w:val="00B03BE8"/>
    <w:rsid w:val="00B0448A"/>
    <w:rsid w:val="00B0457E"/>
    <w:rsid w:val="00B049E7"/>
    <w:rsid w:val="00B05461"/>
    <w:rsid w:val="00B065EF"/>
    <w:rsid w:val="00B06D51"/>
    <w:rsid w:val="00B079F9"/>
    <w:rsid w:val="00B07CF2"/>
    <w:rsid w:val="00B07E57"/>
    <w:rsid w:val="00B10BA5"/>
    <w:rsid w:val="00B10EBF"/>
    <w:rsid w:val="00B10F38"/>
    <w:rsid w:val="00B11161"/>
    <w:rsid w:val="00B1222B"/>
    <w:rsid w:val="00B1273D"/>
    <w:rsid w:val="00B12791"/>
    <w:rsid w:val="00B12C69"/>
    <w:rsid w:val="00B1385B"/>
    <w:rsid w:val="00B13C89"/>
    <w:rsid w:val="00B1470F"/>
    <w:rsid w:val="00B1472F"/>
    <w:rsid w:val="00B14877"/>
    <w:rsid w:val="00B14D67"/>
    <w:rsid w:val="00B14EB5"/>
    <w:rsid w:val="00B16077"/>
    <w:rsid w:val="00B162D6"/>
    <w:rsid w:val="00B16A9F"/>
    <w:rsid w:val="00B17288"/>
    <w:rsid w:val="00B20FB4"/>
    <w:rsid w:val="00B210DC"/>
    <w:rsid w:val="00B211E1"/>
    <w:rsid w:val="00B21204"/>
    <w:rsid w:val="00B21CB0"/>
    <w:rsid w:val="00B22142"/>
    <w:rsid w:val="00B229E2"/>
    <w:rsid w:val="00B23D48"/>
    <w:rsid w:val="00B2487E"/>
    <w:rsid w:val="00B2489D"/>
    <w:rsid w:val="00B24D0B"/>
    <w:rsid w:val="00B24D7F"/>
    <w:rsid w:val="00B26F58"/>
    <w:rsid w:val="00B27DC1"/>
    <w:rsid w:val="00B27DCF"/>
    <w:rsid w:val="00B27F07"/>
    <w:rsid w:val="00B3007E"/>
    <w:rsid w:val="00B30BD2"/>
    <w:rsid w:val="00B30C13"/>
    <w:rsid w:val="00B31062"/>
    <w:rsid w:val="00B313E9"/>
    <w:rsid w:val="00B3189D"/>
    <w:rsid w:val="00B318E1"/>
    <w:rsid w:val="00B31C81"/>
    <w:rsid w:val="00B3208D"/>
    <w:rsid w:val="00B326EA"/>
    <w:rsid w:val="00B329A5"/>
    <w:rsid w:val="00B32FA5"/>
    <w:rsid w:val="00B333C7"/>
    <w:rsid w:val="00B337FF"/>
    <w:rsid w:val="00B342A5"/>
    <w:rsid w:val="00B34BB9"/>
    <w:rsid w:val="00B34CA6"/>
    <w:rsid w:val="00B351CF"/>
    <w:rsid w:val="00B35523"/>
    <w:rsid w:val="00B357CC"/>
    <w:rsid w:val="00B35D72"/>
    <w:rsid w:val="00B35FC7"/>
    <w:rsid w:val="00B36638"/>
    <w:rsid w:val="00B36A4D"/>
    <w:rsid w:val="00B378C1"/>
    <w:rsid w:val="00B378D1"/>
    <w:rsid w:val="00B37F93"/>
    <w:rsid w:val="00B40B75"/>
    <w:rsid w:val="00B40E5B"/>
    <w:rsid w:val="00B4105E"/>
    <w:rsid w:val="00B4216F"/>
    <w:rsid w:val="00B4241A"/>
    <w:rsid w:val="00B42B6B"/>
    <w:rsid w:val="00B43177"/>
    <w:rsid w:val="00B43746"/>
    <w:rsid w:val="00B43CBF"/>
    <w:rsid w:val="00B448E3"/>
    <w:rsid w:val="00B4531C"/>
    <w:rsid w:val="00B4571C"/>
    <w:rsid w:val="00B45989"/>
    <w:rsid w:val="00B45CF5"/>
    <w:rsid w:val="00B46236"/>
    <w:rsid w:val="00B46A78"/>
    <w:rsid w:val="00B46EA3"/>
    <w:rsid w:val="00B46EC3"/>
    <w:rsid w:val="00B471AA"/>
    <w:rsid w:val="00B473E2"/>
    <w:rsid w:val="00B47B84"/>
    <w:rsid w:val="00B47CDE"/>
    <w:rsid w:val="00B5022E"/>
    <w:rsid w:val="00B5114A"/>
    <w:rsid w:val="00B512B3"/>
    <w:rsid w:val="00B51B60"/>
    <w:rsid w:val="00B51C93"/>
    <w:rsid w:val="00B52D32"/>
    <w:rsid w:val="00B533CA"/>
    <w:rsid w:val="00B53C5F"/>
    <w:rsid w:val="00B53E63"/>
    <w:rsid w:val="00B541DF"/>
    <w:rsid w:val="00B543FC"/>
    <w:rsid w:val="00B54868"/>
    <w:rsid w:val="00B548F0"/>
    <w:rsid w:val="00B56269"/>
    <w:rsid w:val="00B56A96"/>
    <w:rsid w:val="00B56BA9"/>
    <w:rsid w:val="00B601E5"/>
    <w:rsid w:val="00B608A8"/>
    <w:rsid w:val="00B60938"/>
    <w:rsid w:val="00B60C28"/>
    <w:rsid w:val="00B612C0"/>
    <w:rsid w:val="00B61A65"/>
    <w:rsid w:val="00B6221A"/>
    <w:rsid w:val="00B6244E"/>
    <w:rsid w:val="00B62CAE"/>
    <w:rsid w:val="00B63DA1"/>
    <w:rsid w:val="00B64324"/>
    <w:rsid w:val="00B6451E"/>
    <w:rsid w:val="00B64577"/>
    <w:rsid w:val="00B64C04"/>
    <w:rsid w:val="00B64DBE"/>
    <w:rsid w:val="00B6528C"/>
    <w:rsid w:val="00B652F6"/>
    <w:rsid w:val="00B672CB"/>
    <w:rsid w:val="00B67C1D"/>
    <w:rsid w:val="00B67C4B"/>
    <w:rsid w:val="00B67E1F"/>
    <w:rsid w:val="00B704B7"/>
    <w:rsid w:val="00B71E37"/>
    <w:rsid w:val="00B73B38"/>
    <w:rsid w:val="00B73CA6"/>
    <w:rsid w:val="00B748A2"/>
    <w:rsid w:val="00B760FF"/>
    <w:rsid w:val="00B768B3"/>
    <w:rsid w:val="00B777C6"/>
    <w:rsid w:val="00B77CD6"/>
    <w:rsid w:val="00B77FFD"/>
    <w:rsid w:val="00B80164"/>
    <w:rsid w:val="00B80379"/>
    <w:rsid w:val="00B81653"/>
    <w:rsid w:val="00B81BC2"/>
    <w:rsid w:val="00B8333E"/>
    <w:rsid w:val="00B8339A"/>
    <w:rsid w:val="00B8389C"/>
    <w:rsid w:val="00B83BED"/>
    <w:rsid w:val="00B83CCA"/>
    <w:rsid w:val="00B84138"/>
    <w:rsid w:val="00B84880"/>
    <w:rsid w:val="00B8563B"/>
    <w:rsid w:val="00B85AE5"/>
    <w:rsid w:val="00B85B4E"/>
    <w:rsid w:val="00B8653D"/>
    <w:rsid w:val="00B86DB1"/>
    <w:rsid w:val="00B87A0E"/>
    <w:rsid w:val="00B90B66"/>
    <w:rsid w:val="00B91CA9"/>
    <w:rsid w:val="00B91D44"/>
    <w:rsid w:val="00B91F19"/>
    <w:rsid w:val="00B92180"/>
    <w:rsid w:val="00B922A7"/>
    <w:rsid w:val="00B9286E"/>
    <w:rsid w:val="00B92C16"/>
    <w:rsid w:val="00B9381F"/>
    <w:rsid w:val="00B9389A"/>
    <w:rsid w:val="00B93C30"/>
    <w:rsid w:val="00B9422D"/>
    <w:rsid w:val="00B94A97"/>
    <w:rsid w:val="00B94BB8"/>
    <w:rsid w:val="00B95FF5"/>
    <w:rsid w:val="00B96722"/>
    <w:rsid w:val="00B97306"/>
    <w:rsid w:val="00B979FF"/>
    <w:rsid w:val="00B97D94"/>
    <w:rsid w:val="00BA064E"/>
    <w:rsid w:val="00BA1431"/>
    <w:rsid w:val="00BA1575"/>
    <w:rsid w:val="00BA1658"/>
    <w:rsid w:val="00BA273D"/>
    <w:rsid w:val="00BA2EBD"/>
    <w:rsid w:val="00BA3F48"/>
    <w:rsid w:val="00BA4018"/>
    <w:rsid w:val="00BA40CB"/>
    <w:rsid w:val="00BA4FC4"/>
    <w:rsid w:val="00BA5960"/>
    <w:rsid w:val="00BA5E9D"/>
    <w:rsid w:val="00BA647A"/>
    <w:rsid w:val="00BA6A64"/>
    <w:rsid w:val="00BA6F4F"/>
    <w:rsid w:val="00BA7C95"/>
    <w:rsid w:val="00BB00AB"/>
    <w:rsid w:val="00BB121F"/>
    <w:rsid w:val="00BB19BA"/>
    <w:rsid w:val="00BB19E7"/>
    <w:rsid w:val="00BB1D29"/>
    <w:rsid w:val="00BB1F6C"/>
    <w:rsid w:val="00BB2580"/>
    <w:rsid w:val="00BB29F8"/>
    <w:rsid w:val="00BB2BA1"/>
    <w:rsid w:val="00BB3959"/>
    <w:rsid w:val="00BB3AC2"/>
    <w:rsid w:val="00BB3B1A"/>
    <w:rsid w:val="00BB3CA5"/>
    <w:rsid w:val="00BB4185"/>
    <w:rsid w:val="00BB4695"/>
    <w:rsid w:val="00BB49FF"/>
    <w:rsid w:val="00BB4B8E"/>
    <w:rsid w:val="00BB54E2"/>
    <w:rsid w:val="00BB5DD2"/>
    <w:rsid w:val="00BB5FCC"/>
    <w:rsid w:val="00BB67BA"/>
    <w:rsid w:val="00BB7346"/>
    <w:rsid w:val="00BB76CD"/>
    <w:rsid w:val="00BB7724"/>
    <w:rsid w:val="00BB7B33"/>
    <w:rsid w:val="00BC02F9"/>
    <w:rsid w:val="00BC03D5"/>
    <w:rsid w:val="00BC068A"/>
    <w:rsid w:val="00BC08DB"/>
    <w:rsid w:val="00BC1019"/>
    <w:rsid w:val="00BC140F"/>
    <w:rsid w:val="00BC14E9"/>
    <w:rsid w:val="00BC1B4D"/>
    <w:rsid w:val="00BC1DCB"/>
    <w:rsid w:val="00BC1DD5"/>
    <w:rsid w:val="00BC234D"/>
    <w:rsid w:val="00BC24A7"/>
    <w:rsid w:val="00BC2DD8"/>
    <w:rsid w:val="00BC30AE"/>
    <w:rsid w:val="00BC31DA"/>
    <w:rsid w:val="00BC3E74"/>
    <w:rsid w:val="00BC41D2"/>
    <w:rsid w:val="00BC434C"/>
    <w:rsid w:val="00BC4962"/>
    <w:rsid w:val="00BC746C"/>
    <w:rsid w:val="00BC7ADA"/>
    <w:rsid w:val="00BC7B99"/>
    <w:rsid w:val="00BD006B"/>
    <w:rsid w:val="00BD0B2C"/>
    <w:rsid w:val="00BD0BD4"/>
    <w:rsid w:val="00BD0FB2"/>
    <w:rsid w:val="00BD1210"/>
    <w:rsid w:val="00BD18CC"/>
    <w:rsid w:val="00BD340A"/>
    <w:rsid w:val="00BD405A"/>
    <w:rsid w:val="00BD42C6"/>
    <w:rsid w:val="00BD4D86"/>
    <w:rsid w:val="00BD4F60"/>
    <w:rsid w:val="00BD65AE"/>
    <w:rsid w:val="00BD6A2B"/>
    <w:rsid w:val="00BD6D63"/>
    <w:rsid w:val="00BD74C6"/>
    <w:rsid w:val="00BD7884"/>
    <w:rsid w:val="00BD7D08"/>
    <w:rsid w:val="00BD7D99"/>
    <w:rsid w:val="00BE04DC"/>
    <w:rsid w:val="00BE0DDF"/>
    <w:rsid w:val="00BE0F7C"/>
    <w:rsid w:val="00BE137D"/>
    <w:rsid w:val="00BE1AB2"/>
    <w:rsid w:val="00BE1F7E"/>
    <w:rsid w:val="00BE22F2"/>
    <w:rsid w:val="00BE280B"/>
    <w:rsid w:val="00BE3346"/>
    <w:rsid w:val="00BE3641"/>
    <w:rsid w:val="00BE37AB"/>
    <w:rsid w:val="00BE38AD"/>
    <w:rsid w:val="00BE3CE9"/>
    <w:rsid w:val="00BE3D60"/>
    <w:rsid w:val="00BE3E2A"/>
    <w:rsid w:val="00BE4A31"/>
    <w:rsid w:val="00BE5C98"/>
    <w:rsid w:val="00BE5E6A"/>
    <w:rsid w:val="00BE6A38"/>
    <w:rsid w:val="00BE6FF4"/>
    <w:rsid w:val="00BE7F1B"/>
    <w:rsid w:val="00BF0048"/>
    <w:rsid w:val="00BF02FE"/>
    <w:rsid w:val="00BF0DCD"/>
    <w:rsid w:val="00BF0FC8"/>
    <w:rsid w:val="00BF14EC"/>
    <w:rsid w:val="00BF1656"/>
    <w:rsid w:val="00BF217A"/>
    <w:rsid w:val="00BF2B56"/>
    <w:rsid w:val="00BF3340"/>
    <w:rsid w:val="00BF3C57"/>
    <w:rsid w:val="00BF3FD0"/>
    <w:rsid w:val="00BF4007"/>
    <w:rsid w:val="00BF4A45"/>
    <w:rsid w:val="00BF5366"/>
    <w:rsid w:val="00BF57EC"/>
    <w:rsid w:val="00BF6120"/>
    <w:rsid w:val="00BF6C2D"/>
    <w:rsid w:val="00BF7BDA"/>
    <w:rsid w:val="00C00721"/>
    <w:rsid w:val="00C008DF"/>
    <w:rsid w:val="00C01C30"/>
    <w:rsid w:val="00C02078"/>
    <w:rsid w:val="00C0313D"/>
    <w:rsid w:val="00C033C1"/>
    <w:rsid w:val="00C03DCA"/>
    <w:rsid w:val="00C03E7B"/>
    <w:rsid w:val="00C04316"/>
    <w:rsid w:val="00C04579"/>
    <w:rsid w:val="00C04B1A"/>
    <w:rsid w:val="00C05455"/>
    <w:rsid w:val="00C05924"/>
    <w:rsid w:val="00C05D86"/>
    <w:rsid w:val="00C05F96"/>
    <w:rsid w:val="00C06206"/>
    <w:rsid w:val="00C0621D"/>
    <w:rsid w:val="00C06433"/>
    <w:rsid w:val="00C067F3"/>
    <w:rsid w:val="00C06B0D"/>
    <w:rsid w:val="00C07521"/>
    <w:rsid w:val="00C07790"/>
    <w:rsid w:val="00C10185"/>
    <w:rsid w:val="00C1057F"/>
    <w:rsid w:val="00C10758"/>
    <w:rsid w:val="00C11872"/>
    <w:rsid w:val="00C11AC9"/>
    <w:rsid w:val="00C11B57"/>
    <w:rsid w:val="00C123ED"/>
    <w:rsid w:val="00C12446"/>
    <w:rsid w:val="00C12C73"/>
    <w:rsid w:val="00C133A6"/>
    <w:rsid w:val="00C1347B"/>
    <w:rsid w:val="00C1412A"/>
    <w:rsid w:val="00C1428A"/>
    <w:rsid w:val="00C145D2"/>
    <w:rsid w:val="00C14AB4"/>
    <w:rsid w:val="00C159DF"/>
    <w:rsid w:val="00C15BE2"/>
    <w:rsid w:val="00C162EF"/>
    <w:rsid w:val="00C16318"/>
    <w:rsid w:val="00C1664F"/>
    <w:rsid w:val="00C169BE"/>
    <w:rsid w:val="00C16AC6"/>
    <w:rsid w:val="00C17000"/>
    <w:rsid w:val="00C17633"/>
    <w:rsid w:val="00C17635"/>
    <w:rsid w:val="00C17C83"/>
    <w:rsid w:val="00C21423"/>
    <w:rsid w:val="00C21809"/>
    <w:rsid w:val="00C22186"/>
    <w:rsid w:val="00C225FA"/>
    <w:rsid w:val="00C226F1"/>
    <w:rsid w:val="00C22CE7"/>
    <w:rsid w:val="00C232C2"/>
    <w:rsid w:val="00C23560"/>
    <w:rsid w:val="00C23AA3"/>
    <w:rsid w:val="00C23D37"/>
    <w:rsid w:val="00C243FB"/>
    <w:rsid w:val="00C244D8"/>
    <w:rsid w:val="00C24EFA"/>
    <w:rsid w:val="00C257C9"/>
    <w:rsid w:val="00C259FC"/>
    <w:rsid w:val="00C2622A"/>
    <w:rsid w:val="00C2630A"/>
    <w:rsid w:val="00C264E1"/>
    <w:rsid w:val="00C27B09"/>
    <w:rsid w:val="00C27D12"/>
    <w:rsid w:val="00C3067D"/>
    <w:rsid w:val="00C31E14"/>
    <w:rsid w:val="00C31ED3"/>
    <w:rsid w:val="00C32619"/>
    <w:rsid w:val="00C32B27"/>
    <w:rsid w:val="00C32F02"/>
    <w:rsid w:val="00C332D1"/>
    <w:rsid w:val="00C33668"/>
    <w:rsid w:val="00C33A7E"/>
    <w:rsid w:val="00C33A9A"/>
    <w:rsid w:val="00C33D7F"/>
    <w:rsid w:val="00C33E82"/>
    <w:rsid w:val="00C33FC8"/>
    <w:rsid w:val="00C340DE"/>
    <w:rsid w:val="00C34191"/>
    <w:rsid w:val="00C3452C"/>
    <w:rsid w:val="00C345D2"/>
    <w:rsid w:val="00C347BE"/>
    <w:rsid w:val="00C35213"/>
    <w:rsid w:val="00C354B1"/>
    <w:rsid w:val="00C356D8"/>
    <w:rsid w:val="00C3610D"/>
    <w:rsid w:val="00C3641E"/>
    <w:rsid w:val="00C36ED1"/>
    <w:rsid w:val="00C37269"/>
    <w:rsid w:val="00C37943"/>
    <w:rsid w:val="00C407BB"/>
    <w:rsid w:val="00C41556"/>
    <w:rsid w:val="00C41F6A"/>
    <w:rsid w:val="00C4225E"/>
    <w:rsid w:val="00C424EE"/>
    <w:rsid w:val="00C42EE7"/>
    <w:rsid w:val="00C43D60"/>
    <w:rsid w:val="00C43EC2"/>
    <w:rsid w:val="00C44671"/>
    <w:rsid w:val="00C4479D"/>
    <w:rsid w:val="00C44E77"/>
    <w:rsid w:val="00C45630"/>
    <w:rsid w:val="00C45740"/>
    <w:rsid w:val="00C45B88"/>
    <w:rsid w:val="00C46032"/>
    <w:rsid w:val="00C461B1"/>
    <w:rsid w:val="00C46328"/>
    <w:rsid w:val="00C4636E"/>
    <w:rsid w:val="00C46370"/>
    <w:rsid w:val="00C468AC"/>
    <w:rsid w:val="00C46D30"/>
    <w:rsid w:val="00C46E25"/>
    <w:rsid w:val="00C47055"/>
    <w:rsid w:val="00C477AF"/>
    <w:rsid w:val="00C47B21"/>
    <w:rsid w:val="00C5008F"/>
    <w:rsid w:val="00C500B3"/>
    <w:rsid w:val="00C5031A"/>
    <w:rsid w:val="00C505F1"/>
    <w:rsid w:val="00C50DA5"/>
    <w:rsid w:val="00C512B2"/>
    <w:rsid w:val="00C518D9"/>
    <w:rsid w:val="00C51994"/>
    <w:rsid w:val="00C51C76"/>
    <w:rsid w:val="00C51FC5"/>
    <w:rsid w:val="00C522E1"/>
    <w:rsid w:val="00C540B1"/>
    <w:rsid w:val="00C5470C"/>
    <w:rsid w:val="00C5499E"/>
    <w:rsid w:val="00C54B5C"/>
    <w:rsid w:val="00C54B79"/>
    <w:rsid w:val="00C555CB"/>
    <w:rsid w:val="00C561D2"/>
    <w:rsid w:val="00C56470"/>
    <w:rsid w:val="00C567F2"/>
    <w:rsid w:val="00C568A0"/>
    <w:rsid w:val="00C56AC6"/>
    <w:rsid w:val="00C575A7"/>
    <w:rsid w:val="00C57FB7"/>
    <w:rsid w:val="00C602E4"/>
    <w:rsid w:val="00C60C99"/>
    <w:rsid w:val="00C60E97"/>
    <w:rsid w:val="00C61A09"/>
    <w:rsid w:val="00C62013"/>
    <w:rsid w:val="00C62049"/>
    <w:rsid w:val="00C630AA"/>
    <w:rsid w:val="00C63DBD"/>
    <w:rsid w:val="00C63F16"/>
    <w:rsid w:val="00C641FA"/>
    <w:rsid w:val="00C6430D"/>
    <w:rsid w:val="00C6463C"/>
    <w:rsid w:val="00C64C1C"/>
    <w:rsid w:val="00C64F1B"/>
    <w:rsid w:val="00C650D1"/>
    <w:rsid w:val="00C656FE"/>
    <w:rsid w:val="00C65B5F"/>
    <w:rsid w:val="00C65C9C"/>
    <w:rsid w:val="00C65E5C"/>
    <w:rsid w:val="00C66084"/>
    <w:rsid w:val="00C6628A"/>
    <w:rsid w:val="00C66B42"/>
    <w:rsid w:val="00C6700F"/>
    <w:rsid w:val="00C7017A"/>
    <w:rsid w:val="00C702A0"/>
    <w:rsid w:val="00C7039D"/>
    <w:rsid w:val="00C7045E"/>
    <w:rsid w:val="00C70BC1"/>
    <w:rsid w:val="00C70C3D"/>
    <w:rsid w:val="00C71D1E"/>
    <w:rsid w:val="00C71F42"/>
    <w:rsid w:val="00C720B1"/>
    <w:rsid w:val="00C720FB"/>
    <w:rsid w:val="00C724B9"/>
    <w:rsid w:val="00C72A58"/>
    <w:rsid w:val="00C73D7D"/>
    <w:rsid w:val="00C749E8"/>
    <w:rsid w:val="00C74B56"/>
    <w:rsid w:val="00C75B66"/>
    <w:rsid w:val="00C76165"/>
    <w:rsid w:val="00C765CA"/>
    <w:rsid w:val="00C76E82"/>
    <w:rsid w:val="00C77301"/>
    <w:rsid w:val="00C776C6"/>
    <w:rsid w:val="00C77714"/>
    <w:rsid w:val="00C8050A"/>
    <w:rsid w:val="00C80734"/>
    <w:rsid w:val="00C80D64"/>
    <w:rsid w:val="00C811C4"/>
    <w:rsid w:val="00C81587"/>
    <w:rsid w:val="00C81C12"/>
    <w:rsid w:val="00C8256C"/>
    <w:rsid w:val="00C82926"/>
    <w:rsid w:val="00C82DEA"/>
    <w:rsid w:val="00C82EE3"/>
    <w:rsid w:val="00C83A61"/>
    <w:rsid w:val="00C841AC"/>
    <w:rsid w:val="00C84272"/>
    <w:rsid w:val="00C843CE"/>
    <w:rsid w:val="00C84D9C"/>
    <w:rsid w:val="00C8513D"/>
    <w:rsid w:val="00C85EFF"/>
    <w:rsid w:val="00C8646B"/>
    <w:rsid w:val="00C86A68"/>
    <w:rsid w:val="00C86AF7"/>
    <w:rsid w:val="00C86F86"/>
    <w:rsid w:val="00C87B4B"/>
    <w:rsid w:val="00C87B5C"/>
    <w:rsid w:val="00C87E81"/>
    <w:rsid w:val="00C90885"/>
    <w:rsid w:val="00C91820"/>
    <w:rsid w:val="00C91D55"/>
    <w:rsid w:val="00C92151"/>
    <w:rsid w:val="00C92336"/>
    <w:rsid w:val="00C9238B"/>
    <w:rsid w:val="00C929F4"/>
    <w:rsid w:val="00C92BCC"/>
    <w:rsid w:val="00C93332"/>
    <w:rsid w:val="00C93691"/>
    <w:rsid w:val="00C93A18"/>
    <w:rsid w:val="00C94044"/>
    <w:rsid w:val="00C94117"/>
    <w:rsid w:val="00C94393"/>
    <w:rsid w:val="00C949CD"/>
    <w:rsid w:val="00C949D0"/>
    <w:rsid w:val="00C94E16"/>
    <w:rsid w:val="00C95A79"/>
    <w:rsid w:val="00C95D65"/>
    <w:rsid w:val="00C964AD"/>
    <w:rsid w:val="00C968E7"/>
    <w:rsid w:val="00C96B23"/>
    <w:rsid w:val="00C96F65"/>
    <w:rsid w:val="00C96F71"/>
    <w:rsid w:val="00C97148"/>
    <w:rsid w:val="00C971E9"/>
    <w:rsid w:val="00C9745C"/>
    <w:rsid w:val="00C974F6"/>
    <w:rsid w:val="00C975B3"/>
    <w:rsid w:val="00C9776C"/>
    <w:rsid w:val="00C977D6"/>
    <w:rsid w:val="00C97FBE"/>
    <w:rsid w:val="00CA05FB"/>
    <w:rsid w:val="00CA06A7"/>
    <w:rsid w:val="00CA0A08"/>
    <w:rsid w:val="00CA0E9B"/>
    <w:rsid w:val="00CA14F6"/>
    <w:rsid w:val="00CA1557"/>
    <w:rsid w:val="00CA1B5B"/>
    <w:rsid w:val="00CA1C56"/>
    <w:rsid w:val="00CA1CBF"/>
    <w:rsid w:val="00CA1E1B"/>
    <w:rsid w:val="00CA2110"/>
    <w:rsid w:val="00CA270F"/>
    <w:rsid w:val="00CA2CF5"/>
    <w:rsid w:val="00CA3DD3"/>
    <w:rsid w:val="00CA4258"/>
    <w:rsid w:val="00CA4309"/>
    <w:rsid w:val="00CA4E3C"/>
    <w:rsid w:val="00CA5675"/>
    <w:rsid w:val="00CA5844"/>
    <w:rsid w:val="00CA5A3D"/>
    <w:rsid w:val="00CA5A7B"/>
    <w:rsid w:val="00CA5B8D"/>
    <w:rsid w:val="00CA5C8E"/>
    <w:rsid w:val="00CA6B1F"/>
    <w:rsid w:val="00CA72CB"/>
    <w:rsid w:val="00CA7421"/>
    <w:rsid w:val="00CA7657"/>
    <w:rsid w:val="00CA795A"/>
    <w:rsid w:val="00CA7DBB"/>
    <w:rsid w:val="00CB01BC"/>
    <w:rsid w:val="00CB086B"/>
    <w:rsid w:val="00CB0BDA"/>
    <w:rsid w:val="00CB0F49"/>
    <w:rsid w:val="00CB0FDB"/>
    <w:rsid w:val="00CB16A4"/>
    <w:rsid w:val="00CB20E4"/>
    <w:rsid w:val="00CB2619"/>
    <w:rsid w:val="00CB2CB1"/>
    <w:rsid w:val="00CB2FCF"/>
    <w:rsid w:val="00CB381D"/>
    <w:rsid w:val="00CB3C1A"/>
    <w:rsid w:val="00CB3F14"/>
    <w:rsid w:val="00CB4504"/>
    <w:rsid w:val="00CB47E8"/>
    <w:rsid w:val="00CB4BD2"/>
    <w:rsid w:val="00CB5413"/>
    <w:rsid w:val="00CB5575"/>
    <w:rsid w:val="00CB5CC2"/>
    <w:rsid w:val="00CB5F10"/>
    <w:rsid w:val="00CB61A6"/>
    <w:rsid w:val="00CB656B"/>
    <w:rsid w:val="00CB6953"/>
    <w:rsid w:val="00CB7226"/>
    <w:rsid w:val="00CB7248"/>
    <w:rsid w:val="00CB77BD"/>
    <w:rsid w:val="00CB77CC"/>
    <w:rsid w:val="00CC0157"/>
    <w:rsid w:val="00CC09B1"/>
    <w:rsid w:val="00CC0A81"/>
    <w:rsid w:val="00CC0CFF"/>
    <w:rsid w:val="00CC0DA6"/>
    <w:rsid w:val="00CC12DC"/>
    <w:rsid w:val="00CC1814"/>
    <w:rsid w:val="00CC2640"/>
    <w:rsid w:val="00CC2AC5"/>
    <w:rsid w:val="00CC2BFD"/>
    <w:rsid w:val="00CC2C86"/>
    <w:rsid w:val="00CC2D15"/>
    <w:rsid w:val="00CC3242"/>
    <w:rsid w:val="00CC361E"/>
    <w:rsid w:val="00CC3AA7"/>
    <w:rsid w:val="00CC4123"/>
    <w:rsid w:val="00CC4EB0"/>
    <w:rsid w:val="00CC549B"/>
    <w:rsid w:val="00CC58BD"/>
    <w:rsid w:val="00CC5910"/>
    <w:rsid w:val="00CC69B2"/>
    <w:rsid w:val="00CC70D6"/>
    <w:rsid w:val="00CC7222"/>
    <w:rsid w:val="00CC73B5"/>
    <w:rsid w:val="00CC78D9"/>
    <w:rsid w:val="00CD0698"/>
    <w:rsid w:val="00CD08CB"/>
    <w:rsid w:val="00CD259F"/>
    <w:rsid w:val="00CD2875"/>
    <w:rsid w:val="00CD32D8"/>
    <w:rsid w:val="00CD3AB9"/>
    <w:rsid w:val="00CD3B26"/>
    <w:rsid w:val="00CD590D"/>
    <w:rsid w:val="00CD681A"/>
    <w:rsid w:val="00CD720B"/>
    <w:rsid w:val="00CD75DA"/>
    <w:rsid w:val="00CE01A8"/>
    <w:rsid w:val="00CE02C6"/>
    <w:rsid w:val="00CE08A8"/>
    <w:rsid w:val="00CE0CDD"/>
    <w:rsid w:val="00CE0EA7"/>
    <w:rsid w:val="00CE1788"/>
    <w:rsid w:val="00CE17F9"/>
    <w:rsid w:val="00CE3890"/>
    <w:rsid w:val="00CE38C4"/>
    <w:rsid w:val="00CE41C4"/>
    <w:rsid w:val="00CE4409"/>
    <w:rsid w:val="00CE4D55"/>
    <w:rsid w:val="00CE5C83"/>
    <w:rsid w:val="00CE605D"/>
    <w:rsid w:val="00CE6345"/>
    <w:rsid w:val="00CE63C8"/>
    <w:rsid w:val="00CE63DE"/>
    <w:rsid w:val="00CE67CA"/>
    <w:rsid w:val="00CE68B8"/>
    <w:rsid w:val="00CE68C7"/>
    <w:rsid w:val="00CE6B77"/>
    <w:rsid w:val="00CE6C81"/>
    <w:rsid w:val="00CE7C0E"/>
    <w:rsid w:val="00CE7E82"/>
    <w:rsid w:val="00CF0009"/>
    <w:rsid w:val="00CF0200"/>
    <w:rsid w:val="00CF0E08"/>
    <w:rsid w:val="00CF12ED"/>
    <w:rsid w:val="00CF16E3"/>
    <w:rsid w:val="00CF18E3"/>
    <w:rsid w:val="00CF1E06"/>
    <w:rsid w:val="00CF1FC7"/>
    <w:rsid w:val="00CF2F49"/>
    <w:rsid w:val="00CF331B"/>
    <w:rsid w:val="00CF3CA0"/>
    <w:rsid w:val="00CF4416"/>
    <w:rsid w:val="00CF4DE9"/>
    <w:rsid w:val="00CF4E92"/>
    <w:rsid w:val="00CF5E1B"/>
    <w:rsid w:val="00CF5E9F"/>
    <w:rsid w:val="00CF644A"/>
    <w:rsid w:val="00D00179"/>
    <w:rsid w:val="00D0030A"/>
    <w:rsid w:val="00D00749"/>
    <w:rsid w:val="00D00D8F"/>
    <w:rsid w:val="00D0149E"/>
    <w:rsid w:val="00D01ED6"/>
    <w:rsid w:val="00D027D3"/>
    <w:rsid w:val="00D03220"/>
    <w:rsid w:val="00D035DA"/>
    <w:rsid w:val="00D036E8"/>
    <w:rsid w:val="00D03CC5"/>
    <w:rsid w:val="00D03ED3"/>
    <w:rsid w:val="00D0455D"/>
    <w:rsid w:val="00D04644"/>
    <w:rsid w:val="00D04CFD"/>
    <w:rsid w:val="00D053F7"/>
    <w:rsid w:val="00D0560F"/>
    <w:rsid w:val="00D05BDE"/>
    <w:rsid w:val="00D06A53"/>
    <w:rsid w:val="00D07371"/>
    <w:rsid w:val="00D074AB"/>
    <w:rsid w:val="00D078A5"/>
    <w:rsid w:val="00D07C5F"/>
    <w:rsid w:val="00D101A1"/>
    <w:rsid w:val="00D101C5"/>
    <w:rsid w:val="00D10371"/>
    <w:rsid w:val="00D10593"/>
    <w:rsid w:val="00D10DAF"/>
    <w:rsid w:val="00D1107F"/>
    <w:rsid w:val="00D11270"/>
    <w:rsid w:val="00D1142F"/>
    <w:rsid w:val="00D1172E"/>
    <w:rsid w:val="00D11856"/>
    <w:rsid w:val="00D11D84"/>
    <w:rsid w:val="00D11DAF"/>
    <w:rsid w:val="00D1222E"/>
    <w:rsid w:val="00D12847"/>
    <w:rsid w:val="00D1284A"/>
    <w:rsid w:val="00D12AC1"/>
    <w:rsid w:val="00D13048"/>
    <w:rsid w:val="00D132C8"/>
    <w:rsid w:val="00D13795"/>
    <w:rsid w:val="00D13BAA"/>
    <w:rsid w:val="00D14073"/>
    <w:rsid w:val="00D14223"/>
    <w:rsid w:val="00D152CC"/>
    <w:rsid w:val="00D15C0C"/>
    <w:rsid w:val="00D15EA5"/>
    <w:rsid w:val="00D164C9"/>
    <w:rsid w:val="00D1683C"/>
    <w:rsid w:val="00D16C0C"/>
    <w:rsid w:val="00D16F41"/>
    <w:rsid w:val="00D17197"/>
    <w:rsid w:val="00D1719A"/>
    <w:rsid w:val="00D17F08"/>
    <w:rsid w:val="00D20403"/>
    <w:rsid w:val="00D21A8E"/>
    <w:rsid w:val="00D2311D"/>
    <w:rsid w:val="00D231A4"/>
    <w:rsid w:val="00D2337E"/>
    <w:rsid w:val="00D23699"/>
    <w:rsid w:val="00D23BD1"/>
    <w:rsid w:val="00D2417E"/>
    <w:rsid w:val="00D2455B"/>
    <w:rsid w:val="00D24638"/>
    <w:rsid w:val="00D24A6F"/>
    <w:rsid w:val="00D24ECD"/>
    <w:rsid w:val="00D24EFB"/>
    <w:rsid w:val="00D26C4B"/>
    <w:rsid w:val="00D27695"/>
    <w:rsid w:val="00D27ABE"/>
    <w:rsid w:val="00D27E5F"/>
    <w:rsid w:val="00D30071"/>
    <w:rsid w:val="00D301D4"/>
    <w:rsid w:val="00D305B2"/>
    <w:rsid w:val="00D30F15"/>
    <w:rsid w:val="00D30F26"/>
    <w:rsid w:val="00D3260E"/>
    <w:rsid w:val="00D32C5F"/>
    <w:rsid w:val="00D335A4"/>
    <w:rsid w:val="00D3386E"/>
    <w:rsid w:val="00D34020"/>
    <w:rsid w:val="00D3409E"/>
    <w:rsid w:val="00D3522B"/>
    <w:rsid w:val="00D357B5"/>
    <w:rsid w:val="00D35C6C"/>
    <w:rsid w:val="00D360B3"/>
    <w:rsid w:val="00D36341"/>
    <w:rsid w:val="00D3729E"/>
    <w:rsid w:val="00D37B02"/>
    <w:rsid w:val="00D40BBD"/>
    <w:rsid w:val="00D40EA6"/>
    <w:rsid w:val="00D41381"/>
    <w:rsid w:val="00D4321C"/>
    <w:rsid w:val="00D4371B"/>
    <w:rsid w:val="00D43A09"/>
    <w:rsid w:val="00D43EE9"/>
    <w:rsid w:val="00D44FA0"/>
    <w:rsid w:val="00D45470"/>
    <w:rsid w:val="00D45537"/>
    <w:rsid w:val="00D45B0F"/>
    <w:rsid w:val="00D46F57"/>
    <w:rsid w:val="00D47654"/>
    <w:rsid w:val="00D47B6F"/>
    <w:rsid w:val="00D47BCA"/>
    <w:rsid w:val="00D47D9C"/>
    <w:rsid w:val="00D47E8F"/>
    <w:rsid w:val="00D47F6C"/>
    <w:rsid w:val="00D5038F"/>
    <w:rsid w:val="00D506C8"/>
    <w:rsid w:val="00D50970"/>
    <w:rsid w:val="00D51285"/>
    <w:rsid w:val="00D514C6"/>
    <w:rsid w:val="00D51A5F"/>
    <w:rsid w:val="00D51AFA"/>
    <w:rsid w:val="00D51E0C"/>
    <w:rsid w:val="00D526A0"/>
    <w:rsid w:val="00D5273D"/>
    <w:rsid w:val="00D52C32"/>
    <w:rsid w:val="00D53DE5"/>
    <w:rsid w:val="00D53F41"/>
    <w:rsid w:val="00D5444A"/>
    <w:rsid w:val="00D5537A"/>
    <w:rsid w:val="00D55CFF"/>
    <w:rsid w:val="00D56089"/>
    <w:rsid w:val="00D561EF"/>
    <w:rsid w:val="00D5638C"/>
    <w:rsid w:val="00D56E77"/>
    <w:rsid w:val="00D57182"/>
    <w:rsid w:val="00D57542"/>
    <w:rsid w:val="00D5756E"/>
    <w:rsid w:val="00D57BC5"/>
    <w:rsid w:val="00D57DC9"/>
    <w:rsid w:val="00D609CE"/>
    <w:rsid w:val="00D613AF"/>
    <w:rsid w:val="00D615EF"/>
    <w:rsid w:val="00D61CCE"/>
    <w:rsid w:val="00D62119"/>
    <w:rsid w:val="00D6213D"/>
    <w:rsid w:val="00D62385"/>
    <w:rsid w:val="00D6311F"/>
    <w:rsid w:val="00D63FDD"/>
    <w:rsid w:val="00D64FC4"/>
    <w:rsid w:val="00D653A7"/>
    <w:rsid w:val="00D657BD"/>
    <w:rsid w:val="00D658D7"/>
    <w:rsid w:val="00D6652E"/>
    <w:rsid w:val="00D669E7"/>
    <w:rsid w:val="00D66B5B"/>
    <w:rsid w:val="00D70D2C"/>
    <w:rsid w:val="00D71B32"/>
    <w:rsid w:val="00D71CDF"/>
    <w:rsid w:val="00D71CFC"/>
    <w:rsid w:val="00D72D4A"/>
    <w:rsid w:val="00D73FC4"/>
    <w:rsid w:val="00D74B15"/>
    <w:rsid w:val="00D750D0"/>
    <w:rsid w:val="00D7525A"/>
    <w:rsid w:val="00D76114"/>
    <w:rsid w:val="00D766C1"/>
    <w:rsid w:val="00D768CF"/>
    <w:rsid w:val="00D800FC"/>
    <w:rsid w:val="00D802FC"/>
    <w:rsid w:val="00D8060F"/>
    <w:rsid w:val="00D80B68"/>
    <w:rsid w:val="00D80D59"/>
    <w:rsid w:val="00D81274"/>
    <w:rsid w:val="00D81A6C"/>
    <w:rsid w:val="00D81AB5"/>
    <w:rsid w:val="00D82242"/>
    <w:rsid w:val="00D82294"/>
    <w:rsid w:val="00D836A3"/>
    <w:rsid w:val="00D83761"/>
    <w:rsid w:val="00D8410F"/>
    <w:rsid w:val="00D84977"/>
    <w:rsid w:val="00D84C9C"/>
    <w:rsid w:val="00D84F09"/>
    <w:rsid w:val="00D8606E"/>
    <w:rsid w:val="00D86BFA"/>
    <w:rsid w:val="00D86C49"/>
    <w:rsid w:val="00D87508"/>
    <w:rsid w:val="00D90F46"/>
    <w:rsid w:val="00D910E4"/>
    <w:rsid w:val="00D91B3A"/>
    <w:rsid w:val="00D91D72"/>
    <w:rsid w:val="00D93384"/>
    <w:rsid w:val="00D93722"/>
    <w:rsid w:val="00D93908"/>
    <w:rsid w:val="00D93A38"/>
    <w:rsid w:val="00D94010"/>
    <w:rsid w:val="00D946BE"/>
    <w:rsid w:val="00D947BF"/>
    <w:rsid w:val="00D95C08"/>
    <w:rsid w:val="00D96AA1"/>
    <w:rsid w:val="00D971FE"/>
    <w:rsid w:val="00D97395"/>
    <w:rsid w:val="00D977AA"/>
    <w:rsid w:val="00D97FD3"/>
    <w:rsid w:val="00DA05E4"/>
    <w:rsid w:val="00DA083B"/>
    <w:rsid w:val="00DA0A7C"/>
    <w:rsid w:val="00DA0AE6"/>
    <w:rsid w:val="00DA1201"/>
    <w:rsid w:val="00DA170D"/>
    <w:rsid w:val="00DA231B"/>
    <w:rsid w:val="00DA2332"/>
    <w:rsid w:val="00DA23AC"/>
    <w:rsid w:val="00DA2764"/>
    <w:rsid w:val="00DA2EA8"/>
    <w:rsid w:val="00DA3C4F"/>
    <w:rsid w:val="00DA4370"/>
    <w:rsid w:val="00DA514E"/>
    <w:rsid w:val="00DA521E"/>
    <w:rsid w:val="00DA569D"/>
    <w:rsid w:val="00DA5863"/>
    <w:rsid w:val="00DA5955"/>
    <w:rsid w:val="00DA5BE1"/>
    <w:rsid w:val="00DA7246"/>
    <w:rsid w:val="00DB0497"/>
    <w:rsid w:val="00DB0C51"/>
    <w:rsid w:val="00DB0EB7"/>
    <w:rsid w:val="00DB16BC"/>
    <w:rsid w:val="00DB2A57"/>
    <w:rsid w:val="00DB30B2"/>
    <w:rsid w:val="00DB3367"/>
    <w:rsid w:val="00DB343E"/>
    <w:rsid w:val="00DB349B"/>
    <w:rsid w:val="00DB377C"/>
    <w:rsid w:val="00DB3C6F"/>
    <w:rsid w:val="00DB51E1"/>
    <w:rsid w:val="00DB648F"/>
    <w:rsid w:val="00DB6F6C"/>
    <w:rsid w:val="00DB7F66"/>
    <w:rsid w:val="00DB7FC2"/>
    <w:rsid w:val="00DC010B"/>
    <w:rsid w:val="00DC08D2"/>
    <w:rsid w:val="00DC1233"/>
    <w:rsid w:val="00DC15E0"/>
    <w:rsid w:val="00DC1CB0"/>
    <w:rsid w:val="00DC23BC"/>
    <w:rsid w:val="00DC281C"/>
    <w:rsid w:val="00DC28DA"/>
    <w:rsid w:val="00DC3512"/>
    <w:rsid w:val="00DC36A6"/>
    <w:rsid w:val="00DC395D"/>
    <w:rsid w:val="00DC4112"/>
    <w:rsid w:val="00DC4406"/>
    <w:rsid w:val="00DC474A"/>
    <w:rsid w:val="00DC4DA9"/>
    <w:rsid w:val="00DC52CD"/>
    <w:rsid w:val="00DC5984"/>
    <w:rsid w:val="00DC5E40"/>
    <w:rsid w:val="00DC5FFF"/>
    <w:rsid w:val="00DC622A"/>
    <w:rsid w:val="00DC6982"/>
    <w:rsid w:val="00DC6BA7"/>
    <w:rsid w:val="00DC6EC9"/>
    <w:rsid w:val="00DC7A0C"/>
    <w:rsid w:val="00DC7A8D"/>
    <w:rsid w:val="00DC7CB6"/>
    <w:rsid w:val="00DC7CF4"/>
    <w:rsid w:val="00DD05A1"/>
    <w:rsid w:val="00DD075A"/>
    <w:rsid w:val="00DD0ADF"/>
    <w:rsid w:val="00DD0C25"/>
    <w:rsid w:val="00DD0CA3"/>
    <w:rsid w:val="00DD1111"/>
    <w:rsid w:val="00DD27E8"/>
    <w:rsid w:val="00DD2808"/>
    <w:rsid w:val="00DD2952"/>
    <w:rsid w:val="00DD30E3"/>
    <w:rsid w:val="00DD30EF"/>
    <w:rsid w:val="00DD336F"/>
    <w:rsid w:val="00DD3870"/>
    <w:rsid w:val="00DD3B0A"/>
    <w:rsid w:val="00DD3F40"/>
    <w:rsid w:val="00DD4484"/>
    <w:rsid w:val="00DD6938"/>
    <w:rsid w:val="00DD6E24"/>
    <w:rsid w:val="00DD74BC"/>
    <w:rsid w:val="00DD7A97"/>
    <w:rsid w:val="00DD7D87"/>
    <w:rsid w:val="00DE0549"/>
    <w:rsid w:val="00DE1B12"/>
    <w:rsid w:val="00DE1CA3"/>
    <w:rsid w:val="00DE1D62"/>
    <w:rsid w:val="00DE205B"/>
    <w:rsid w:val="00DE2727"/>
    <w:rsid w:val="00DE2853"/>
    <w:rsid w:val="00DE37D9"/>
    <w:rsid w:val="00DE384F"/>
    <w:rsid w:val="00DE4653"/>
    <w:rsid w:val="00DE46DD"/>
    <w:rsid w:val="00DE4780"/>
    <w:rsid w:val="00DE4AC6"/>
    <w:rsid w:val="00DE5961"/>
    <w:rsid w:val="00DE5BDB"/>
    <w:rsid w:val="00DE5FD7"/>
    <w:rsid w:val="00DE6A05"/>
    <w:rsid w:val="00DE74C1"/>
    <w:rsid w:val="00DE79FF"/>
    <w:rsid w:val="00DE7DAD"/>
    <w:rsid w:val="00DE7EC4"/>
    <w:rsid w:val="00DF0E37"/>
    <w:rsid w:val="00DF0E64"/>
    <w:rsid w:val="00DF1EA7"/>
    <w:rsid w:val="00DF1FF3"/>
    <w:rsid w:val="00DF2B48"/>
    <w:rsid w:val="00DF2B75"/>
    <w:rsid w:val="00DF3167"/>
    <w:rsid w:val="00DF3E71"/>
    <w:rsid w:val="00DF3EF6"/>
    <w:rsid w:val="00DF4BEB"/>
    <w:rsid w:val="00DF50DF"/>
    <w:rsid w:val="00DF56A3"/>
    <w:rsid w:val="00DF5ED8"/>
    <w:rsid w:val="00DF5FC0"/>
    <w:rsid w:val="00DF6DA0"/>
    <w:rsid w:val="00DF7A81"/>
    <w:rsid w:val="00DF7DF3"/>
    <w:rsid w:val="00E0028D"/>
    <w:rsid w:val="00E00E98"/>
    <w:rsid w:val="00E015D0"/>
    <w:rsid w:val="00E01FD5"/>
    <w:rsid w:val="00E02BEB"/>
    <w:rsid w:val="00E02EC6"/>
    <w:rsid w:val="00E030EF"/>
    <w:rsid w:val="00E0359A"/>
    <w:rsid w:val="00E03710"/>
    <w:rsid w:val="00E04316"/>
    <w:rsid w:val="00E05060"/>
    <w:rsid w:val="00E05196"/>
    <w:rsid w:val="00E058D9"/>
    <w:rsid w:val="00E05B1A"/>
    <w:rsid w:val="00E05CE6"/>
    <w:rsid w:val="00E06B2F"/>
    <w:rsid w:val="00E06E59"/>
    <w:rsid w:val="00E06FD6"/>
    <w:rsid w:val="00E0700A"/>
    <w:rsid w:val="00E0768C"/>
    <w:rsid w:val="00E07741"/>
    <w:rsid w:val="00E10D3F"/>
    <w:rsid w:val="00E11452"/>
    <w:rsid w:val="00E119FC"/>
    <w:rsid w:val="00E12207"/>
    <w:rsid w:val="00E126B0"/>
    <w:rsid w:val="00E1299F"/>
    <w:rsid w:val="00E1311B"/>
    <w:rsid w:val="00E137CD"/>
    <w:rsid w:val="00E13A19"/>
    <w:rsid w:val="00E13DE9"/>
    <w:rsid w:val="00E143C7"/>
    <w:rsid w:val="00E14C30"/>
    <w:rsid w:val="00E1548A"/>
    <w:rsid w:val="00E15903"/>
    <w:rsid w:val="00E15905"/>
    <w:rsid w:val="00E159C4"/>
    <w:rsid w:val="00E15A41"/>
    <w:rsid w:val="00E161E8"/>
    <w:rsid w:val="00E203DD"/>
    <w:rsid w:val="00E20643"/>
    <w:rsid w:val="00E20AC4"/>
    <w:rsid w:val="00E2112C"/>
    <w:rsid w:val="00E219A3"/>
    <w:rsid w:val="00E22174"/>
    <w:rsid w:val="00E22899"/>
    <w:rsid w:val="00E22A52"/>
    <w:rsid w:val="00E2306A"/>
    <w:rsid w:val="00E23853"/>
    <w:rsid w:val="00E23987"/>
    <w:rsid w:val="00E23B48"/>
    <w:rsid w:val="00E2418A"/>
    <w:rsid w:val="00E24DAE"/>
    <w:rsid w:val="00E24DF6"/>
    <w:rsid w:val="00E258AB"/>
    <w:rsid w:val="00E25A6B"/>
    <w:rsid w:val="00E260AD"/>
    <w:rsid w:val="00E2628D"/>
    <w:rsid w:val="00E26D12"/>
    <w:rsid w:val="00E273CF"/>
    <w:rsid w:val="00E2742E"/>
    <w:rsid w:val="00E307B2"/>
    <w:rsid w:val="00E30C8F"/>
    <w:rsid w:val="00E31749"/>
    <w:rsid w:val="00E31B66"/>
    <w:rsid w:val="00E31C30"/>
    <w:rsid w:val="00E3241E"/>
    <w:rsid w:val="00E326AB"/>
    <w:rsid w:val="00E32DB6"/>
    <w:rsid w:val="00E32F0C"/>
    <w:rsid w:val="00E32F86"/>
    <w:rsid w:val="00E33367"/>
    <w:rsid w:val="00E33537"/>
    <w:rsid w:val="00E33F11"/>
    <w:rsid w:val="00E3449A"/>
    <w:rsid w:val="00E349F8"/>
    <w:rsid w:val="00E34FCA"/>
    <w:rsid w:val="00E351ED"/>
    <w:rsid w:val="00E35286"/>
    <w:rsid w:val="00E35294"/>
    <w:rsid w:val="00E35303"/>
    <w:rsid w:val="00E35481"/>
    <w:rsid w:val="00E35D21"/>
    <w:rsid w:val="00E3602D"/>
    <w:rsid w:val="00E4040D"/>
    <w:rsid w:val="00E40940"/>
    <w:rsid w:val="00E40DA2"/>
    <w:rsid w:val="00E40E37"/>
    <w:rsid w:val="00E41215"/>
    <w:rsid w:val="00E41268"/>
    <w:rsid w:val="00E413AA"/>
    <w:rsid w:val="00E4226B"/>
    <w:rsid w:val="00E424E7"/>
    <w:rsid w:val="00E43A91"/>
    <w:rsid w:val="00E43E64"/>
    <w:rsid w:val="00E44167"/>
    <w:rsid w:val="00E442DA"/>
    <w:rsid w:val="00E44467"/>
    <w:rsid w:val="00E44A1F"/>
    <w:rsid w:val="00E4546B"/>
    <w:rsid w:val="00E46C67"/>
    <w:rsid w:val="00E46F33"/>
    <w:rsid w:val="00E47189"/>
    <w:rsid w:val="00E4725B"/>
    <w:rsid w:val="00E47A38"/>
    <w:rsid w:val="00E51773"/>
    <w:rsid w:val="00E521A9"/>
    <w:rsid w:val="00E52ADC"/>
    <w:rsid w:val="00E52CE8"/>
    <w:rsid w:val="00E53002"/>
    <w:rsid w:val="00E53647"/>
    <w:rsid w:val="00E539F8"/>
    <w:rsid w:val="00E54036"/>
    <w:rsid w:val="00E541AC"/>
    <w:rsid w:val="00E5421D"/>
    <w:rsid w:val="00E54C6E"/>
    <w:rsid w:val="00E54D6B"/>
    <w:rsid w:val="00E55A1C"/>
    <w:rsid w:val="00E55A52"/>
    <w:rsid w:val="00E55F4E"/>
    <w:rsid w:val="00E57181"/>
    <w:rsid w:val="00E57CA0"/>
    <w:rsid w:val="00E57CCD"/>
    <w:rsid w:val="00E600E7"/>
    <w:rsid w:val="00E601D0"/>
    <w:rsid w:val="00E606EC"/>
    <w:rsid w:val="00E6113D"/>
    <w:rsid w:val="00E61D69"/>
    <w:rsid w:val="00E6276C"/>
    <w:rsid w:val="00E62A26"/>
    <w:rsid w:val="00E62D16"/>
    <w:rsid w:val="00E63128"/>
    <w:rsid w:val="00E637F9"/>
    <w:rsid w:val="00E63A4F"/>
    <w:rsid w:val="00E63C0A"/>
    <w:rsid w:val="00E63FDC"/>
    <w:rsid w:val="00E643CB"/>
    <w:rsid w:val="00E64651"/>
    <w:rsid w:val="00E64914"/>
    <w:rsid w:val="00E64A28"/>
    <w:rsid w:val="00E650B8"/>
    <w:rsid w:val="00E65500"/>
    <w:rsid w:val="00E65EA8"/>
    <w:rsid w:val="00E660A5"/>
    <w:rsid w:val="00E660DD"/>
    <w:rsid w:val="00E660ED"/>
    <w:rsid w:val="00E66EE3"/>
    <w:rsid w:val="00E6793A"/>
    <w:rsid w:val="00E67966"/>
    <w:rsid w:val="00E67B4A"/>
    <w:rsid w:val="00E67F88"/>
    <w:rsid w:val="00E707C4"/>
    <w:rsid w:val="00E70C8C"/>
    <w:rsid w:val="00E70F42"/>
    <w:rsid w:val="00E710B2"/>
    <w:rsid w:val="00E71173"/>
    <w:rsid w:val="00E712D8"/>
    <w:rsid w:val="00E715E9"/>
    <w:rsid w:val="00E7166B"/>
    <w:rsid w:val="00E71D85"/>
    <w:rsid w:val="00E72670"/>
    <w:rsid w:val="00E7295C"/>
    <w:rsid w:val="00E730BB"/>
    <w:rsid w:val="00E73D71"/>
    <w:rsid w:val="00E74449"/>
    <w:rsid w:val="00E74B94"/>
    <w:rsid w:val="00E74F51"/>
    <w:rsid w:val="00E7572D"/>
    <w:rsid w:val="00E7640C"/>
    <w:rsid w:val="00E7718E"/>
    <w:rsid w:val="00E77782"/>
    <w:rsid w:val="00E778E3"/>
    <w:rsid w:val="00E77D2F"/>
    <w:rsid w:val="00E77E74"/>
    <w:rsid w:val="00E80A69"/>
    <w:rsid w:val="00E8128C"/>
    <w:rsid w:val="00E814F1"/>
    <w:rsid w:val="00E81A65"/>
    <w:rsid w:val="00E81BF5"/>
    <w:rsid w:val="00E81D4B"/>
    <w:rsid w:val="00E81EEB"/>
    <w:rsid w:val="00E8293F"/>
    <w:rsid w:val="00E82BB1"/>
    <w:rsid w:val="00E82DCE"/>
    <w:rsid w:val="00E846E4"/>
    <w:rsid w:val="00E84CC9"/>
    <w:rsid w:val="00E855CE"/>
    <w:rsid w:val="00E86147"/>
    <w:rsid w:val="00E8627A"/>
    <w:rsid w:val="00E8666D"/>
    <w:rsid w:val="00E8699F"/>
    <w:rsid w:val="00E878EA"/>
    <w:rsid w:val="00E87B60"/>
    <w:rsid w:val="00E87B8C"/>
    <w:rsid w:val="00E87C42"/>
    <w:rsid w:val="00E90BDD"/>
    <w:rsid w:val="00E90EAC"/>
    <w:rsid w:val="00E9152B"/>
    <w:rsid w:val="00E9171A"/>
    <w:rsid w:val="00E91A17"/>
    <w:rsid w:val="00E92B54"/>
    <w:rsid w:val="00E9311B"/>
    <w:rsid w:val="00E933B7"/>
    <w:rsid w:val="00E942A2"/>
    <w:rsid w:val="00E94392"/>
    <w:rsid w:val="00E94F74"/>
    <w:rsid w:val="00E95C89"/>
    <w:rsid w:val="00E9631A"/>
    <w:rsid w:val="00E9668E"/>
    <w:rsid w:val="00E96862"/>
    <w:rsid w:val="00E96A99"/>
    <w:rsid w:val="00E96BA9"/>
    <w:rsid w:val="00E97A71"/>
    <w:rsid w:val="00EA026F"/>
    <w:rsid w:val="00EA05BC"/>
    <w:rsid w:val="00EA0984"/>
    <w:rsid w:val="00EA0E8F"/>
    <w:rsid w:val="00EA1404"/>
    <w:rsid w:val="00EA180A"/>
    <w:rsid w:val="00EA1A8B"/>
    <w:rsid w:val="00EA256F"/>
    <w:rsid w:val="00EA2C0B"/>
    <w:rsid w:val="00EA3188"/>
    <w:rsid w:val="00EA3209"/>
    <w:rsid w:val="00EA322C"/>
    <w:rsid w:val="00EA3667"/>
    <w:rsid w:val="00EA37AD"/>
    <w:rsid w:val="00EA3EAE"/>
    <w:rsid w:val="00EA3F7E"/>
    <w:rsid w:val="00EA44CA"/>
    <w:rsid w:val="00EA4EF3"/>
    <w:rsid w:val="00EA5418"/>
    <w:rsid w:val="00EA561A"/>
    <w:rsid w:val="00EA56E7"/>
    <w:rsid w:val="00EA59AE"/>
    <w:rsid w:val="00EA5BC4"/>
    <w:rsid w:val="00EA61C3"/>
    <w:rsid w:val="00EA6673"/>
    <w:rsid w:val="00EA699E"/>
    <w:rsid w:val="00EA7115"/>
    <w:rsid w:val="00EA726D"/>
    <w:rsid w:val="00EA76D1"/>
    <w:rsid w:val="00EA79D0"/>
    <w:rsid w:val="00EA7BFE"/>
    <w:rsid w:val="00EB0B2E"/>
    <w:rsid w:val="00EB0EEE"/>
    <w:rsid w:val="00EB22BB"/>
    <w:rsid w:val="00EB23C7"/>
    <w:rsid w:val="00EB2442"/>
    <w:rsid w:val="00EB3000"/>
    <w:rsid w:val="00EB3C02"/>
    <w:rsid w:val="00EB4AB0"/>
    <w:rsid w:val="00EB4F91"/>
    <w:rsid w:val="00EB55C8"/>
    <w:rsid w:val="00EB5619"/>
    <w:rsid w:val="00EB5638"/>
    <w:rsid w:val="00EB5D31"/>
    <w:rsid w:val="00EB602F"/>
    <w:rsid w:val="00EB69DD"/>
    <w:rsid w:val="00EB6DAF"/>
    <w:rsid w:val="00EC03FA"/>
    <w:rsid w:val="00EC0598"/>
    <w:rsid w:val="00EC0753"/>
    <w:rsid w:val="00EC0E5E"/>
    <w:rsid w:val="00EC0F2A"/>
    <w:rsid w:val="00EC3209"/>
    <w:rsid w:val="00EC3667"/>
    <w:rsid w:val="00EC366A"/>
    <w:rsid w:val="00EC3A9B"/>
    <w:rsid w:val="00EC4494"/>
    <w:rsid w:val="00EC483C"/>
    <w:rsid w:val="00EC4A3D"/>
    <w:rsid w:val="00EC55EA"/>
    <w:rsid w:val="00EC5E99"/>
    <w:rsid w:val="00EC60AF"/>
    <w:rsid w:val="00EC60D6"/>
    <w:rsid w:val="00EC668B"/>
    <w:rsid w:val="00EC7C33"/>
    <w:rsid w:val="00ED1D2C"/>
    <w:rsid w:val="00ED249A"/>
    <w:rsid w:val="00ED2670"/>
    <w:rsid w:val="00ED2AA3"/>
    <w:rsid w:val="00ED3016"/>
    <w:rsid w:val="00ED3603"/>
    <w:rsid w:val="00ED389F"/>
    <w:rsid w:val="00ED3C4F"/>
    <w:rsid w:val="00ED4AB4"/>
    <w:rsid w:val="00ED4B0A"/>
    <w:rsid w:val="00ED4C8B"/>
    <w:rsid w:val="00ED4D11"/>
    <w:rsid w:val="00ED4F2F"/>
    <w:rsid w:val="00ED4F88"/>
    <w:rsid w:val="00ED5101"/>
    <w:rsid w:val="00ED5491"/>
    <w:rsid w:val="00ED5B4D"/>
    <w:rsid w:val="00ED61C0"/>
    <w:rsid w:val="00ED6219"/>
    <w:rsid w:val="00ED6451"/>
    <w:rsid w:val="00ED75D2"/>
    <w:rsid w:val="00ED76C2"/>
    <w:rsid w:val="00ED77A8"/>
    <w:rsid w:val="00ED7813"/>
    <w:rsid w:val="00ED78CA"/>
    <w:rsid w:val="00ED7CAC"/>
    <w:rsid w:val="00ED7CF6"/>
    <w:rsid w:val="00ED7D1C"/>
    <w:rsid w:val="00ED7FC2"/>
    <w:rsid w:val="00EE08D3"/>
    <w:rsid w:val="00EE1A0D"/>
    <w:rsid w:val="00EE1CDE"/>
    <w:rsid w:val="00EE2483"/>
    <w:rsid w:val="00EE2874"/>
    <w:rsid w:val="00EE28FC"/>
    <w:rsid w:val="00EE2AD6"/>
    <w:rsid w:val="00EE30EF"/>
    <w:rsid w:val="00EE3832"/>
    <w:rsid w:val="00EE3AB3"/>
    <w:rsid w:val="00EE3C9D"/>
    <w:rsid w:val="00EE4291"/>
    <w:rsid w:val="00EE443B"/>
    <w:rsid w:val="00EE4AFA"/>
    <w:rsid w:val="00EE564F"/>
    <w:rsid w:val="00EE5682"/>
    <w:rsid w:val="00EE5926"/>
    <w:rsid w:val="00EE5B9F"/>
    <w:rsid w:val="00EE6093"/>
    <w:rsid w:val="00EE6227"/>
    <w:rsid w:val="00EE6397"/>
    <w:rsid w:val="00EE6976"/>
    <w:rsid w:val="00EE726A"/>
    <w:rsid w:val="00EE72DE"/>
    <w:rsid w:val="00EE7E09"/>
    <w:rsid w:val="00EF0190"/>
    <w:rsid w:val="00EF0363"/>
    <w:rsid w:val="00EF09E4"/>
    <w:rsid w:val="00EF0EDB"/>
    <w:rsid w:val="00EF0F46"/>
    <w:rsid w:val="00EF0F85"/>
    <w:rsid w:val="00EF10A2"/>
    <w:rsid w:val="00EF1A65"/>
    <w:rsid w:val="00EF2352"/>
    <w:rsid w:val="00EF2470"/>
    <w:rsid w:val="00EF2797"/>
    <w:rsid w:val="00EF2C66"/>
    <w:rsid w:val="00EF350C"/>
    <w:rsid w:val="00EF3F09"/>
    <w:rsid w:val="00EF434E"/>
    <w:rsid w:val="00EF4A3C"/>
    <w:rsid w:val="00EF5333"/>
    <w:rsid w:val="00EF58FC"/>
    <w:rsid w:val="00EF5EB3"/>
    <w:rsid w:val="00EF68A4"/>
    <w:rsid w:val="00EF77E3"/>
    <w:rsid w:val="00EF7C94"/>
    <w:rsid w:val="00EF7E5B"/>
    <w:rsid w:val="00F00210"/>
    <w:rsid w:val="00F00ADB"/>
    <w:rsid w:val="00F01CFA"/>
    <w:rsid w:val="00F01DCD"/>
    <w:rsid w:val="00F01E6E"/>
    <w:rsid w:val="00F02856"/>
    <w:rsid w:val="00F02969"/>
    <w:rsid w:val="00F03F50"/>
    <w:rsid w:val="00F04716"/>
    <w:rsid w:val="00F04AD4"/>
    <w:rsid w:val="00F04F48"/>
    <w:rsid w:val="00F055EF"/>
    <w:rsid w:val="00F05A4B"/>
    <w:rsid w:val="00F062B4"/>
    <w:rsid w:val="00F065B8"/>
    <w:rsid w:val="00F06B95"/>
    <w:rsid w:val="00F0727C"/>
    <w:rsid w:val="00F073E7"/>
    <w:rsid w:val="00F07552"/>
    <w:rsid w:val="00F10210"/>
    <w:rsid w:val="00F102B5"/>
    <w:rsid w:val="00F11A36"/>
    <w:rsid w:val="00F11C25"/>
    <w:rsid w:val="00F12796"/>
    <w:rsid w:val="00F1281C"/>
    <w:rsid w:val="00F12A57"/>
    <w:rsid w:val="00F12E19"/>
    <w:rsid w:val="00F1397E"/>
    <w:rsid w:val="00F148EA"/>
    <w:rsid w:val="00F14C5A"/>
    <w:rsid w:val="00F14EE9"/>
    <w:rsid w:val="00F169D7"/>
    <w:rsid w:val="00F16C8E"/>
    <w:rsid w:val="00F17EA7"/>
    <w:rsid w:val="00F20B38"/>
    <w:rsid w:val="00F21860"/>
    <w:rsid w:val="00F21D46"/>
    <w:rsid w:val="00F2220F"/>
    <w:rsid w:val="00F23B8F"/>
    <w:rsid w:val="00F23CAE"/>
    <w:rsid w:val="00F24105"/>
    <w:rsid w:val="00F246E8"/>
    <w:rsid w:val="00F24C8E"/>
    <w:rsid w:val="00F24CE4"/>
    <w:rsid w:val="00F2517A"/>
    <w:rsid w:val="00F25405"/>
    <w:rsid w:val="00F25AB1"/>
    <w:rsid w:val="00F25F94"/>
    <w:rsid w:val="00F262FF"/>
    <w:rsid w:val="00F26478"/>
    <w:rsid w:val="00F2670E"/>
    <w:rsid w:val="00F2690A"/>
    <w:rsid w:val="00F276CF"/>
    <w:rsid w:val="00F27937"/>
    <w:rsid w:val="00F27CB9"/>
    <w:rsid w:val="00F301DE"/>
    <w:rsid w:val="00F306E2"/>
    <w:rsid w:val="00F30B59"/>
    <w:rsid w:val="00F30E6D"/>
    <w:rsid w:val="00F3148C"/>
    <w:rsid w:val="00F31B34"/>
    <w:rsid w:val="00F32FAC"/>
    <w:rsid w:val="00F33043"/>
    <w:rsid w:val="00F34582"/>
    <w:rsid w:val="00F349FD"/>
    <w:rsid w:val="00F35189"/>
    <w:rsid w:val="00F3574F"/>
    <w:rsid w:val="00F35953"/>
    <w:rsid w:val="00F35BCB"/>
    <w:rsid w:val="00F3666A"/>
    <w:rsid w:val="00F36998"/>
    <w:rsid w:val="00F36D0A"/>
    <w:rsid w:val="00F37991"/>
    <w:rsid w:val="00F37BA2"/>
    <w:rsid w:val="00F37EFC"/>
    <w:rsid w:val="00F40A05"/>
    <w:rsid w:val="00F40C42"/>
    <w:rsid w:val="00F40E42"/>
    <w:rsid w:val="00F40FBA"/>
    <w:rsid w:val="00F41B46"/>
    <w:rsid w:val="00F42362"/>
    <w:rsid w:val="00F423F6"/>
    <w:rsid w:val="00F4247B"/>
    <w:rsid w:val="00F42F33"/>
    <w:rsid w:val="00F4314B"/>
    <w:rsid w:val="00F4341E"/>
    <w:rsid w:val="00F4369A"/>
    <w:rsid w:val="00F437CC"/>
    <w:rsid w:val="00F451F4"/>
    <w:rsid w:val="00F453CF"/>
    <w:rsid w:val="00F453FA"/>
    <w:rsid w:val="00F45D38"/>
    <w:rsid w:val="00F45D8A"/>
    <w:rsid w:val="00F460A9"/>
    <w:rsid w:val="00F462AE"/>
    <w:rsid w:val="00F46F91"/>
    <w:rsid w:val="00F47374"/>
    <w:rsid w:val="00F473E9"/>
    <w:rsid w:val="00F47B56"/>
    <w:rsid w:val="00F47BD6"/>
    <w:rsid w:val="00F47D29"/>
    <w:rsid w:val="00F47F88"/>
    <w:rsid w:val="00F50884"/>
    <w:rsid w:val="00F5098D"/>
    <w:rsid w:val="00F50E99"/>
    <w:rsid w:val="00F50FDB"/>
    <w:rsid w:val="00F51700"/>
    <w:rsid w:val="00F5223F"/>
    <w:rsid w:val="00F525D0"/>
    <w:rsid w:val="00F52689"/>
    <w:rsid w:val="00F527F6"/>
    <w:rsid w:val="00F52FA8"/>
    <w:rsid w:val="00F53199"/>
    <w:rsid w:val="00F53C82"/>
    <w:rsid w:val="00F544B2"/>
    <w:rsid w:val="00F54720"/>
    <w:rsid w:val="00F54849"/>
    <w:rsid w:val="00F561C8"/>
    <w:rsid w:val="00F56614"/>
    <w:rsid w:val="00F5665B"/>
    <w:rsid w:val="00F570B8"/>
    <w:rsid w:val="00F574EC"/>
    <w:rsid w:val="00F60188"/>
    <w:rsid w:val="00F603B2"/>
    <w:rsid w:val="00F6042E"/>
    <w:rsid w:val="00F606C2"/>
    <w:rsid w:val="00F60B40"/>
    <w:rsid w:val="00F60B7C"/>
    <w:rsid w:val="00F60F3E"/>
    <w:rsid w:val="00F60FE9"/>
    <w:rsid w:val="00F61408"/>
    <w:rsid w:val="00F62D5E"/>
    <w:rsid w:val="00F6356E"/>
    <w:rsid w:val="00F6380C"/>
    <w:rsid w:val="00F64418"/>
    <w:rsid w:val="00F64841"/>
    <w:rsid w:val="00F65401"/>
    <w:rsid w:val="00F65C16"/>
    <w:rsid w:val="00F66187"/>
    <w:rsid w:val="00F67060"/>
    <w:rsid w:val="00F67595"/>
    <w:rsid w:val="00F6798A"/>
    <w:rsid w:val="00F7113A"/>
    <w:rsid w:val="00F71147"/>
    <w:rsid w:val="00F720CD"/>
    <w:rsid w:val="00F721F8"/>
    <w:rsid w:val="00F72803"/>
    <w:rsid w:val="00F75039"/>
    <w:rsid w:val="00F750DE"/>
    <w:rsid w:val="00F76343"/>
    <w:rsid w:val="00F76D04"/>
    <w:rsid w:val="00F77F4A"/>
    <w:rsid w:val="00F77F7C"/>
    <w:rsid w:val="00F802B5"/>
    <w:rsid w:val="00F802C1"/>
    <w:rsid w:val="00F80E79"/>
    <w:rsid w:val="00F815C6"/>
    <w:rsid w:val="00F81F07"/>
    <w:rsid w:val="00F828CB"/>
    <w:rsid w:val="00F829BD"/>
    <w:rsid w:val="00F82EA5"/>
    <w:rsid w:val="00F8317B"/>
    <w:rsid w:val="00F8337E"/>
    <w:rsid w:val="00F836F7"/>
    <w:rsid w:val="00F83B40"/>
    <w:rsid w:val="00F83D91"/>
    <w:rsid w:val="00F84309"/>
    <w:rsid w:val="00F8502A"/>
    <w:rsid w:val="00F85137"/>
    <w:rsid w:val="00F85317"/>
    <w:rsid w:val="00F85D57"/>
    <w:rsid w:val="00F86A37"/>
    <w:rsid w:val="00F87480"/>
    <w:rsid w:val="00F87747"/>
    <w:rsid w:val="00F877A5"/>
    <w:rsid w:val="00F90888"/>
    <w:rsid w:val="00F910AF"/>
    <w:rsid w:val="00F914A0"/>
    <w:rsid w:val="00F918E7"/>
    <w:rsid w:val="00F91C2D"/>
    <w:rsid w:val="00F92344"/>
    <w:rsid w:val="00F929BE"/>
    <w:rsid w:val="00F92B02"/>
    <w:rsid w:val="00F92BE2"/>
    <w:rsid w:val="00F9310B"/>
    <w:rsid w:val="00F93164"/>
    <w:rsid w:val="00F93900"/>
    <w:rsid w:val="00F95021"/>
    <w:rsid w:val="00F95C93"/>
    <w:rsid w:val="00F96380"/>
    <w:rsid w:val="00F96589"/>
    <w:rsid w:val="00F96802"/>
    <w:rsid w:val="00F96EA1"/>
    <w:rsid w:val="00F97FFA"/>
    <w:rsid w:val="00FA0181"/>
    <w:rsid w:val="00FA0BB5"/>
    <w:rsid w:val="00FA0CBF"/>
    <w:rsid w:val="00FA1C1F"/>
    <w:rsid w:val="00FA215E"/>
    <w:rsid w:val="00FA2448"/>
    <w:rsid w:val="00FA25F1"/>
    <w:rsid w:val="00FA29B0"/>
    <w:rsid w:val="00FA2BD5"/>
    <w:rsid w:val="00FA3B92"/>
    <w:rsid w:val="00FA3F62"/>
    <w:rsid w:val="00FA42CA"/>
    <w:rsid w:val="00FA4357"/>
    <w:rsid w:val="00FA496A"/>
    <w:rsid w:val="00FA5340"/>
    <w:rsid w:val="00FA6D76"/>
    <w:rsid w:val="00FA7586"/>
    <w:rsid w:val="00FA7836"/>
    <w:rsid w:val="00FB00F7"/>
    <w:rsid w:val="00FB04F3"/>
    <w:rsid w:val="00FB0799"/>
    <w:rsid w:val="00FB09BA"/>
    <w:rsid w:val="00FB0E88"/>
    <w:rsid w:val="00FB119E"/>
    <w:rsid w:val="00FB2265"/>
    <w:rsid w:val="00FB27DB"/>
    <w:rsid w:val="00FB2F3D"/>
    <w:rsid w:val="00FB39AA"/>
    <w:rsid w:val="00FB3BC3"/>
    <w:rsid w:val="00FB3DD1"/>
    <w:rsid w:val="00FB3E63"/>
    <w:rsid w:val="00FB539E"/>
    <w:rsid w:val="00FB58A4"/>
    <w:rsid w:val="00FB5A67"/>
    <w:rsid w:val="00FB6424"/>
    <w:rsid w:val="00FB64C9"/>
    <w:rsid w:val="00FB6BBC"/>
    <w:rsid w:val="00FB6EBE"/>
    <w:rsid w:val="00FB7B64"/>
    <w:rsid w:val="00FB7E29"/>
    <w:rsid w:val="00FC03DA"/>
    <w:rsid w:val="00FC0DB7"/>
    <w:rsid w:val="00FC2821"/>
    <w:rsid w:val="00FC297C"/>
    <w:rsid w:val="00FC29DA"/>
    <w:rsid w:val="00FC30F5"/>
    <w:rsid w:val="00FC41C3"/>
    <w:rsid w:val="00FC4532"/>
    <w:rsid w:val="00FC4537"/>
    <w:rsid w:val="00FC582D"/>
    <w:rsid w:val="00FC5C79"/>
    <w:rsid w:val="00FC6434"/>
    <w:rsid w:val="00FC647A"/>
    <w:rsid w:val="00FC6619"/>
    <w:rsid w:val="00FC6740"/>
    <w:rsid w:val="00FC69C1"/>
    <w:rsid w:val="00FC6E2A"/>
    <w:rsid w:val="00FC7267"/>
    <w:rsid w:val="00FC73A7"/>
    <w:rsid w:val="00FD01C3"/>
    <w:rsid w:val="00FD0767"/>
    <w:rsid w:val="00FD0B27"/>
    <w:rsid w:val="00FD0EA5"/>
    <w:rsid w:val="00FD0EE4"/>
    <w:rsid w:val="00FD111F"/>
    <w:rsid w:val="00FD144D"/>
    <w:rsid w:val="00FD1FF7"/>
    <w:rsid w:val="00FD2023"/>
    <w:rsid w:val="00FD25E8"/>
    <w:rsid w:val="00FD2721"/>
    <w:rsid w:val="00FD2966"/>
    <w:rsid w:val="00FD2E4D"/>
    <w:rsid w:val="00FD33FA"/>
    <w:rsid w:val="00FD389E"/>
    <w:rsid w:val="00FD38E8"/>
    <w:rsid w:val="00FD415E"/>
    <w:rsid w:val="00FD41CC"/>
    <w:rsid w:val="00FD4B48"/>
    <w:rsid w:val="00FD5419"/>
    <w:rsid w:val="00FD549B"/>
    <w:rsid w:val="00FD5525"/>
    <w:rsid w:val="00FD5ABB"/>
    <w:rsid w:val="00FD5E1A"/>
    <w:rsid w:val="00FD5E55"/>
    <w:rsid w:val="00FD6647"/>
    <w:rsid w:val="00FD714C"/>
    <w:rsid w:val="00FD798E"/>
    <w:rsid w:val="00FD7B63"/>
    <w:rsid w:val="00FE01BE"/>
    <w:rsid w:val="00FE0587"/>
    <w:rsid w:val="00FE0CFD"/>
    <w:rsid w:val="00FE1E1B"/>
    <w:rsid w:val="00FE1EB5"/>
    <w:rsid w:val="00FE34CD"/>
    <w:rsid w:val="00FE38CF"/>
    <w:rsid w:val="00FE3C67"/>
    <w:rsid w:val="00FE42B5"/>
    <w:rsid w:val="00FE4509"/>
    <w:rsid w:val="00FE460E"/>
    <w:rsid w:val="00FE4DC7"/>
    <w:rsid w:val="00FE56EC"/>
    <w:rsid w:val="00FE70F0"/>
    <w:rsid w:val="00FE7A67"/>
    <w:rsid w:val="00FF008C"/>
    <w:rsid w:val="00FF00E4"/>
    <w:rsid w:val="00FF01C0"/>
    <w:rsid w:val="00FF21BF"/>
    <w:rsid w:val="00FF2AEE"/>
    <w:rsid w:val="00FF2C97"/>
    <w:rsid w:val="00FF33F3"/>
    <w:rsid w:val="00FF4334"/>
    <w:rsid w:val="00FF5320"/>
    <w:rsid w:val="00FF53D6"/>
    <w:rsid w:val="00FF5487"/>
    <w:rsid w:val="00FF5910"/>
    <w:rsid w:val="00FF5E96"/>
    <w:rsid w:val="00FF622F"/>
    <w:rsid w:val="00FF679E"/>
    <w:rsid w:val="00FF73EB"/>
    <w:rsid w:val="00FF7A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uiPriority="9" w:qFormat="1"/>
    <w:lsdException w:name="heading 8" w:uiPriority="9" w:qFormat="1"/>
    <w:lsdException w:name="heading 9" w:uiPriority="9" w:qFormat="1"/>
    <w:lsdException w:name="toc 1" w:locked="1" w:semiHidden="0" w:unhideWhenUsed="0"/>
    <w:lsdException w:name="toc 2" w:locked="1" w:semiHidden="0" w:unhideWhenUsed="0"/>
    <w:lsdException w:name="toc 3" w:locked="1"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locked="1" w:semiHidden="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nhideWhenUsed="0"/>
    <w:lsdException w:name="FollowedHyperlink" w:locked="1" w:semiHidden="0" w:unhideWhenUsed="0"/>
    <w:lsdException w:name="Strong" w:locked="1" w:semiHidden="0" w:unhideWhenUsed="0" w:qFormat="1"/>
    <w:lsdException w:name="Emphasis" w:locked="1" w:semiHidden="0" w:uiPriority="20" w:unhideWhenUsed="0" w:qFormat="1"/>
    <w:lsdException w:name="Normal (Web)" w:locked="1" w:semiHidden="0" w:unhideWhenUsed="0"/>
    <w:lsdException w:name="No Lis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nhideWhenUsed="0"/>
    <w:lsdException w:name="Medium Grid 3 Accent 2" w:semiHidden="0" w:uiPriority="0" w:unhideWhenUsed="0"/>
    <w:lsdException w:name="Dark List Accent 2" w:semiHidden="0" w:uiPriority="70" w:unhideWhenUsed="0"/>
    <w:lsdException w:name="Colorful Shading Accent 2" w:semiHidden="0" w:uiPriority="71" w:unhideWhenUsed="0"/>
    <w:lsdException w:name="Colorful List Accent 2" w:semiHidden="0"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3C1C58"/>
    <w:rPr>
      <w:sz w:val="24"/>
      <w:szCs w:val="24"/>
      <w:lang w:val="ca-ES" w:eastAsia="en-US"/>
    </w:rPr>
  </w:style>
  <w:style w:type="paragraph" w:styleId="Ttulo1">
    <w:name w:val="heading 1"/>
    <w:basedOn w:val="Normal"/>
    <w:next w:val="Normal"/>
    <w:link w:val="Ttulo1Car"/>
    <w:uiPriority w:val="99"/>
    <w:qFormat/>
    <w:pPr>
      <w:keepNext/>
      <w:outlineLvl w:val="0"/>
    </w:pPr>
    <w:rPr>
      <w:rFonts w:ascii="Century Gothic" w:hAnsi="Century Gothic" w:cs="Century Gothic"/>
      <w:b/>
      <w:color w:val="3682A2"/>
      <w:sz w:val="32"/>
      <w:szCs w:val="32"/>
      <w:lang w:val="en-US" w:eastAsia="es-ES" w:bidi="hi-IN"/>
    </w:rPr>
  </w:style>
  <w:style w:type="paragraph" w:styleId="Ttulo3">
    <w:name w:val="heading 3"/>
    <w:basedOn w:val="Normal"/>
    <w:next w:val="Normal"/>
    <w:link w:val="Ttulo3Car"/>
    <w:semiHidden/>
    <w:unhideWhenUsed/>
    <w:qFormat/>
    <w:locked/>
    <w:rsid w:val="00E7444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entury Gothic" w:hAnsi="Century Gothic"/>
      <w:b/>
      <w:color w:val="3682A2"/>
      <w:sz w:val="32"/>
      <w:lang w:val="en-US" w:eastAsia="es-ES"/>
    </w:rPr>
  </w:style>
  <w:style w:type="paragraph" w:styleId="Encabezado">
    <w:name w:val="header"/>
    <w:basedOn w:val="Normal"/>
    <w:link w:val="EncabezadoCar"/>
    <w:uiPriority w:val="99"/>
    <w:pPr>
      <w:tabs>
        <w:tab w:val="center" w:pos="4320"/>
        <w:tab w:val="right" w:pos="8640"/>
      </w:tabs>
    </w:pPr>
  </w:style>
  <w:style w:type="character" w:customStyle="1" w:styleId="EncabezadoCar">
    <w:name w:val="Encabezado Car"/>
    <w:basedOn w:val="Fuentedeprrafopredeter"/>
    <w:link w:val="Encabezado"/>
    <w:uiPriority w:val="99"/>
    <w:locked/>
    <w:rsid w:val="00BD4D86"/>
    <w:rPr>
      <w:rFonts w:cs="Times New Roman"/>
      <w:sz w:val="24"/>
      <w:szCs w:val="24"/>
      <w:lang w:val="ca-ES"/>
    </w:rPr>
  </w:style>
  <w:style w:type="paragraph" w:styleId="Piedepgina">
    <w:name w:val="footer"/>
    <w:basedOn w:val="Normal"/>
    <w:link w:val="PiedepginaCar"/>
    <w:uiPriority w:val="99"/>
    <w:semiHidden/>
    <w:pPr>
      <w:tabs>
        <w:tab w:val="center" w:pos="4320"/>
        <w:tab w:val="right" w:pos="8640"/>
      </w:tabs>
    </w:pPr>
  </w:style>
  <w:style w:type="character" w:customStyle="1" w:styleId="PiedepginaCar">
    <w:name w:val="Pie de página Car"/>
    <w:basedOn w:val="Fuentedeprrafopredeter"/>
    <w:link w:val="Piedepgina"/>
    <w:uiPriority w:val="99"/>
    <w:semiHidden/>
    <w:locked/>
    <w:rsid w:val="00733F31"/>
    <w:rPr>
      <w:rFonts w:cs="Times New Roman"/>
      <w:noProof/>
      <w:sz w:val="24"/>
      <w:szCs w:val="24"/>
      <w:lang w:val="ca-ES"/>
    </w:rPr>
  </w:style>
  <w:style w:type="character" w:styleId="Hipervnculo">
    <w:name w:val="Hyperlink"/>
    <w:basedOn w:val="Fuentedeprrafopredeter"/>
    <w:uiPriority w:val="99"/>
    <w:rPr>
      <w:rFonts w:cs="Times New Roman"/>
      <w:color w:val="0000FF"/>
      <w:u w:val="single"/>
    </w:rPr>
  </w:style>
  <w:style w:type="character" w:styleId="Hipervnculovisitado">
    <w:name w:val="FollowedHyperlink"/>
    <w:basedOn w:val="Fuentedeprrafopredeter"/>
    <w:uiPriority w:val="99"/>
    <w:semiHidden/>
    <w:rPr>
      <w:rFonts w:cs="Times New Roman"/>
      <w:color w:val="800080"/>
      <w:u w:val="single"/>
    </w:rPr>
  </w:style>
  <w:style w:type="paragraph" w:styleId="NormalWeb">
    <w:name w:val="Normal (Web)"/>
    <w:basedOn w:val="Normal"/>
    <w:uiPriority w:val="99"/>
    <w:pPr>
      <w:spacing w:before="100" w:beforeAutospacing="1" w:after="100" w:afterAutospacing="1"/>
    </w:pPr>
    <w:rPr>
      <w:rFonts w:ascii="Times" w:hAnsi="Times"/>
      <w:sz w:val="20"/>
      <w:szCs w:val="20"/>
      <w:lang w:val="es-ES_tradnl"/>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Times-Roman" w:hAnsi="Times-Roman" w:cs="Times-Roman"/>
      <w:color w:val="000000"/>
      <w:lang w:val="en-US" w:eastAsia="es-ES_tradnl"/>
    </w:rPr>
  </w:style>
  <w:style w:type="paragraph" w:customStyle="1" w:styleId="titol">
    <w:name w:val="titol"/>
    <w:basedOn w:val="Normal"/>
    <w:uiPriority w:val="99"/>
    <w:rsid w:val="0026304E"/>
    <w:pPr>
      <w:jc w:val="both"/>
    </w:pPr>
    <w:rPr>
      <w:rFonts w:ascii="Rotis Sans Serif Std Bold" w:hAnsi="Rotis Sans Serif Std Bold"/>
      <w:color w:val="CE2430"/>
      <w:sz w:val="44"/>
    </w:rPr>
  </w:style>
  <w:style w:type="paragraph" w:customStyle="1" w:styleId="Default">
    <w:name w:val="Default"/>
    <w:rsid w:val="00CB5F10"/>
    <w:pPr>
      <w:widowControl w:val="0"/>
      <w:autoSpaceDE w:val="0"/>
      <w:autoSpaceDN w:val="0"/>
      <w:adjustRightInd w:val="0"/>
    </w:pPr>
    <w:rPr>
      <w:rFonts w:ascii="Calibri" w:hAnsi="Calibri" w:cs="Calibri"/>
      <w:color w:val="000000"/>
      <w:sz w:val="24"/>
      <w:szCs w:val="24"/>
      <w:lang w:val="en-US" w:eastAsia="en-US"/>
    </w:rPr>
  </w:style>
  <w:style w:type="paragraph" w:customStyle="1" w:styleId="TEXT">
    <w:name w:val="TEXT"/>
    <w:basedOn w:val="BasicParagraph"/>
    <w:uiPriority w:val="99"/>
    <w:rsid w:val="007373EA"/>
    <w:pPr>
      <w:spacing w:line="240" w:lineRule="auto"/>
      <w:jc w:val="both"/>
    </w:pPr>
    <w:rPr>
      <w:rFonts w:ascii="Rotis SemiSans Std" w:hAnsi="Rotis SemiSans Std" w:cs="RotisSansSerifStd-Regular"/>
      <w:color w:val="5E6061"/>
      <w:sz w:val="22"/>
      <w:szCs w:val="18"/>
    </w:rPr>
  </w:style>
  <w:style w:type="paragraph" w:customStyle="1" w:styleId="TEXTHORA">
    <w:name w:val="TEXT HORA"/>
    <w:uiPriority w:val="99"/>
    <w:rsid w:val="007373EA"/>
    <w:pPr>
      <w:jc w:val="both"/>
    </w:pPr>
    <w:rPr>
      <w:rFonts w:ascii="Rotis Sans Serif Std Bold" w:hAnsi="Rotis Sans Serif Std Bold" w:cs="Times-Roman"/>
      <w:color w:val="C1002B"/>
      <w:szCs w:val="24"/>
      <w:lang w:val="en-US" w:eastAsia="es-ES_tradnl"/>
    </w:rPr>
  </w:style>
  <w:style w:type="paragraph" w:customStyle="1" w:styleId="TITOLESCALETA">
    <w:name w:val="TITOL ESCALETA"/>
    <w:basedOn w:val="TEXTHORA"/>
    <w:uiPriority w:val="99"/>
    <w:rsid w:val="007373EA"/>
    <w:rPr>
      <w:color w:val="3D3D3D"/>
      <w:szCs w:val="22"/>
    </w:rPr>
  </w:style>
  <w:style w:type="paragraph" w:customStyle="1" w:styleId="TEXTBOLD">
    <w:name w:val="TEXT BOLD"/>
    <w:basedOn w:val="TEXT"/>
    <w:uiPriority w:val="99"/>
    <w:qFormat/>
    <w:rsid w:val="007373EA"/>
    <w:rPr>
      <w:rFonts w:ascii="Rotis Sans Serif Std" w:hAnsi="Rotis Sans Serif Std"/>
      <w:b/>
      <w:szCs w:val="22"/>
    </w:rPr>
  </w:style>
  <w:style w:type="paragraph" w:styleId="Ttulo">
    <w:name w:val="Title"/>
    <w:basedOn w:val="Normal"/>
    <w:next w:val="Normal"/>
    <w:link w:val="TtuloCar"/>
    <w:uiPriority w:val="99"/>
    <w:qFormat/>
    <w:rsid w:val="007373EA"/>
    <w:pPr>
      <w:spacing w:before="240" w:after="60"/>
      <w:jc w:val="center"/>
      <w:outlineLvl w:val="0"/>
    </w:pPr>
    <w:rPr>
      <w:rFonts w:ascii="Calibri" w:eastAsia="MS Gothic" w:hAnsi="Calibri"/>
      <w:b/>
      <w:bCs/>
      <w:kern w:val="28"/>
      <w:sz w:val="32"/>
      <w:szCs w:val="32"/>
      <w:lang w:eastAsia="es-ES"/>
    </w:rPr>
  </w:style>
  <w:style w:type="character" w:customStyle="1" w:styleId="TtuloCar">
    <w:name w:val="Título Car"/>
    <w:basedOn w:val="Fuentedeprrafopredeter"/>
    <w:link w:val="Ttulo"/>
    <w:uiPriority w:val="99"/>
    <w:locked/>
    <w:rsid w:val="007373EA"/>
    <w:rPr>
      <w:rFonts w:ascii="Calibri" w:eastAsia="MS Gothic" w:hAnsi="Calibri"/>
      <w:b/>
      <w:kern w:val="28"/>
      <w:sz w:val="32"/>
      <w:lang w:val="ca-ES"/>
    </w:rPr>
  </w:style>
  <w:style w:type="paragraph" w:customStyle="1" w:styleId="titolsapunts">
    <w:name w:val="titols apunts"/>
    <w:basedOn w:val="titol"/>
    <w:uiPriority w:val="99"/>
    <w:rsid w:val="005D4C7C"/>
    <w:pPr>
      <w:jc w:val="left"/>
    </w:pPr>
    <w:rPr>
      <w:color w:val="51AF68"/>
      <w:sz w:val="24"/>
      <w:szCs w:val="32"/>
      <w:lang w:val="en-US"/>
    </w:rPr>
  </w:style>
  <w:style w:type="paragraph" w:styleId="Prrafodelista">
    <w:name w:val="List Paragraph"/>
    <w:basedOn w:val="Normal"/>
    <w:uiPriority w:val="72"/>
    <w:qFormat/>
    <w:rsid w:val="005F07BC"/>
    <w:pPr>
      <w:ind w:left="720"/>
      <w:contextualSpacing/>
    </w:pPr>
  </w:style>
  <w:style w:type="paragraph" w:styleId="Textodeglobo">
    <w:name w:val="Balloon Text"/>
    <w:basedOn w:val="Normal"/>
    <w:link w:val="TextodegloboCar"/>
    <w:uiPriority w:val="99"/>
    <w:rsid w:val="007133DE"/>
    <w:rPr>
      <w:rFonts w:ascii="Tahoma" w:hAnsi="Tahoma" w:cs="Tahoma"/>
      <w:sz w:val="16"/>
      <w:szCs w:val="16"/>
    </w:rPr>
  </w:style>
  <w:style w:type="character" w:customStyle="1" w:styleId="TextodegloboCar">
    <w:name w:val="Texto de globo Car"/>
    <w:basedOn w:val="Fuentedeprrafopredeter"/>
    <w:link w:val="Textodeglobo"/>
    <w:uiPriority w:val="99"/>
    <w:locked/>
    <w:rsid w:val="007133DE"/>
    <w:rPr>
      <w:rFonts w:ascii="Tahoma" w:hAnsi="Tahoma" w:cs="Tahoma"/>
      <w:sz w:val="16"/>
      <w:szCs w:val="16"/>
      <w:lang w:val="ca-ES"/>
    </w:rPr>
  </w:style>
  <w:style w:type="character" w:styleId="Nmerodepgina">
    <w:name w:val="page number"/>
    <w:basedOn w:val="Fuentedeprrafopredeter"/>
    <w:uiPriority w:val="99"/>
    <w:rsid w:val="00D15EA5"/>
    <w:rPr>
      <w:rFonts w:eastAsia="Times New Roman" w:cs="Times New Roman"/>
      <w:sz w:val="22"/>
      <w:szCs w:val="22"/>
      <w:lang w:val="es-ES"/>
    </w:rPr>
  </w:style>
  <w:style w:type="paragraph" w:styleId="Textonotapie">
    <w:name w:val="footnote text"/>
    <w:basedOn w:val="Normal"/>
    <w:link w:val="TextonotapieCar"/>
    <w:rsid w:val="00D4321C"/>
    <w:rPr>
      <w:sz w:val="20"/>
      <w:szCs w:val="20"/>
    </w:rPr>
  </w:style>
  <w:style w:type="character" w:customStyle="1" w:styleId="TextonotapieCar">
    <w:name w:val="Texto nota pie Car"/>
    <w:basedOn w:val="Fuentedeprrafopredeter"/>
    <w:link w:val="Textonotapie"/>
    <w:locked/>
    <w:rsid w:val="00D4321C"/>
    <w:rPr>
      <w:rFonts w:cs="Times New Roman"/>
      <w:noProof/>
      <w:lang w:val="ca-ES"/>
    </w:rPr>
  </w:style>
  <w:style w:type="character" w:styleId="Refdenotaalpie">
    <w:name w:val="footnote reference"/>
    <w:basedOn w:val="Fuentedeprrafopredeter"/>
    <w:rsid w:val="00D4321C"/>
    <w:rPr>
      <w:rFonts w:cs="Times New Roman"/>
      <w:vertAlign w:val="superscript"/>
    </w:rPr>
  </w:style>
  <w:style w:type="character" w:styleId="Refdecomentario">
    <w:name w:val="annotation reference"/>
    <w:basedOn w:val="Fuentedeprrafopredeter"/>
    <w:uiPriority w:val="99"/>
    <w:rsid w:val="00C650D1"/>
    <w:rPr>
      <w:rFonts w:cs="Times New Roman"/>
      <w:sz w:val="16"/>
      <w:szCs w:val="16"/>
    </w:rPr>
  </w:style>
  <w:style w:type="paragraph" w:styleId="Textocomentario">
    <w:name w:val="annotation text"/>
    <w:basedOn w:val="Normal"/>
    <w:link w:val="TextocomentarioCar"/>
    <w:uiPriority w:val="99"/>
    <w:rsid w:val="00C650D1"/>
    <w:rPr>
      <w:sz w:val="20"/>
      <w:szCs w:val="20"/>
    </w:rPr>
  </w:style>
  <w:style w:type="character" w:customStyle="1" w:styleId="TextocomentarioCar">
    <w:name w:val="Texto comentario Car"/>
    <w:basedOn w:val="Fuentedeprrafopredeter"/>
    <w:link w:val="Textocomentario"/>
    <w:uiPriority w:val="99"/>
    <w:locked/>
    <w:rsid w:val="00C650D1"/>
    <w:rPr>
      <w:rFonts w:cs="Times New Roman"/>
      <w:noProof/>
      <w:lang w:val="ca-ES"/>
    </w:rPr>
  </w:style>
  <w:style w:type="paragraph" w:styleId="Asuntodelcomentario">
    <w:name w:val="annotation subject"/>
    <w:basedOn w:val="Textocomentario"/>
    <w:next w:val="Textocomentario"/>
    <w:link w:val="AsuntodelcomentarioCar"/>
    <w:uiPriority w:val="99"/>
    <w:rsid w:val="00C650D1"/>
    <w:rPr>
      <w:b/>
      <w:bCs/>
    </w:rPr>
  </w:style>
  <w:style w:type="character" w:customStyle="1" w:styleId="AsuntodelcomentarioCar">
    <w:name w:val="Asunto del comentario Car"/>
    <w:basedOn w:val="TextocomentarioCar"/>
    <w:link w:val="Asuntodelcomentario"/>
    <w:uiPriority w:val="99"/>
    <w:locked/>
    <w:rsid w:val="00C650D1"/>
    <w:rPr>
      <w:rFonts w:cs="Times New Roman"/>
      <w:b/>
      <w:bCs/>
      <w:noProof/>
      <w:lang w:val="ca-ES"/>
    </w:rPr>
  </w:style>
  <w:style w:type="paragraph" w:styleId="TtulodeTDC">
    <w:name w:val="TOC Heading"/>
    <w:basedOn w:val="Ttulo1"/>
    <w:next w:val="Normal"/>
    <w:link w:val="TtulodeTDCCar"/>
    <w:uiPriority w:val="99"/>
    <w:qFormat/>
    <w:rsid w:val="00A16B50"/>
    <w:pPr>
      <w:keepLines/>
      <w:spacing w:before="480" w:line="276" w:lineRule="auto"/>
      <w:outlineLvl w:val="9"/>
    </w:pPr>
    <w:rPr>
      <w:rFonts w:ascii="Cambria" w:hAnsi="Cambria" w:cs="Times New Roman"/>
      <w:bCs/>
      <w:color w:val="365F91"/>
      <w:sz w:val="28"/>
      <w:szCs w:val="28"/>
      <w:lang w:eastAsia="en-US" w:bidi="ar-SA"/>
    </w:rPr>
  </w:style>
  <w:style w:type="character" w:customStyle="1" w:styleId="TtulodeTDCCar">
    <w:name w:val="Título de TDC Car"/>
    <w:basedOn w:val="Ttulo1Car"/>
    <w:link w:val="TtulodeTDC"/>
    <w:uiPriority w:val="99"/>
    <w:locked/>
    <w:rsid w:val="00A16B50"/>
    <w:rPr>
      <w:rFonts w:ascii="Cambria" w:hAnsi="Cambria" w:cs="Times New Roman"/>
      <w:b/>
      <w:bCs/>
      <w:color w:val="365F91"/>
      <w:sz w:val="28"/>
      <w:szCs w:val="28"/>
      <w:lang w:val="en-US" w:eastAsia="es-ES" w:bidi="hi-IN"/>
    </w:rPr>
  </w:style>
  <w:style w:type="paragraph" w:styleId="TDC2">
    <w:name w:val="toc 2"/>
    <w:basedOn w:val="Normal"/>
    <w:next w:val="Normal"/>
    <w:autoRedefine/>
    <w:uiPriority w:val="99"/>
    <w:rsid w:val="00A16B50"/>
    <w:pPr>
      <w:spacing w:after="100" w:line="276" w:lineRule="auto"/>
      <w:ind w:left="220"/>
    </w:pPr>
    <w:rPr>
      <w:rFonts w:ascii="Calibri" w:hAnsi="Calibri"/>
      <w:sz w:val="22"/>
      <w:szCs w:val="22"/>
      <w:lang w:val="en-US"/>
    </w:rPr>
  </w:style>
  <w:style w:type="paragraph" w:styleId="TDC1">
    <w:name w:val="toc 1"/>
    <w:basedOn w:val="Normal"/>
    <w:next w:val="Normal"/>
    <w:autoRedefine/>
    <w:uiPriority w:val="99"/>
    <w:rsid w:val="00A16B50"/>
    <w:pPr>
      <w:spacing w:after="100" w:line="276" w:lineRule="auto"/>
    </w:pPr>
    <w:rPr>
      <w:rFonts w:ascii="Calibri" w:hAnsi="Calibri"/>
      <w:sz w:val="22"/>
      <w:szCs w:val="22"/>
      <w:lang w:val="en-US"/>
    </w:rPr>
  </w:style>
  <w:style w:type="paragraph" w:styleId="TDC3">
    <w:name w:val="toc 3"/>
    <w:basedOn w:val="Normal"/>
    <w:next w:val="Normal"/>
    <w:autoRedefine/>
    <w:uiPriority w:val="99"/>
    <w:rsid w:val="00A16B50"/>
    <w:pPr>
      <w:spacing w:after="100" w:line="276" w:lineRule="auto"/>
      <w:ind w:left="440"/>
    </w:pPr>
    <w:rPr>
      <w:rFonts w:ascii="Calibri" w:hAnsi="Calibri"/>
      <w:sz w:val="22"/>
      <w:szCs w:val="22"/>
      <w:lang w:val="en-US"/>
    </w:rPr>
  </w:style>
  <w:style w:type="paragraph" w:customStyle="1" w:styleId="Foment">
    <w:name w:val="Foment"/>
    <w:basedOn w:val="Normal"/>
    <w:link w:val="FomentCar"/>
    <w:uiPriority w:val="99"/>
    <w:rsid w:val="00C04B1A"/>
    <w:pPr>
      <w:jc w:val="both"/>
    </w:pPr>
    <w:rPr>
      <w:rFonts w:ascii="Rotis Sans Serif Std" w:hAnsi="Rotis Sans Serif Std" w:cs="Arial"/>
      <w:lang w:val="es-ES"/>
    </w:rPr>
  </w:style>
  <w:style w:type="character" w:customStyle="1" w:styleId="FomentCar">
    <w:name w:val="Foment Car"/>
    <w:basedOn w:val="Fuentedeprrafopredeter"/>
    <w:link w:val="Foment"/>
    <w:uiPriority w:val="99"/>
    <w:locked/>
    <w:rsid w:val="00C04B1A"/>
    <w:rPr>
      <w:rFonts w:ascii="Rotis Sans Serif Std" w:hAnsi="Rotis Sans Serif Std" w:cs="Arial"/>
      <w:sz w:val="24"/>
      <w:szCs w:val="24"/>
      <w:lang w:val="es-ES"/>
    </w:rPr>
  </w:style>
  <w:style w:type="paragraph" w:styleId="Sinespaciado">
    <w:name w:val="No Spacing"/>
    <w:link w:val="SinespaciadoCar"/>
    <w:uiPriority w:val="99"/>
    <w:qFormat/>
    <w:rsid w:val="00A46FF2"/>
    <w:rPr>
      <w:rFonts w:ascii="Calibri" w:hAnsi="Calibri"/>
      <w:lang w:val="en-US" w:eastAsia="en-US"/>
    </w:rPr>
  </w:style>
  <w:style w:type="character" w:customStyle="1" w:styleId="SinespaciadoCar">
    <w:name w:val="Sin espaciado Car"/>
    <w:basedOn w:val="Fuentedeprrafopredeter"/>
    <w:link w:val="Sinespaciado"/>
    <w:uiPriority w:val="99"/>
    <w:locked/>
    <w:rsid w:val="00A46FF2"/>
    <w:rPr>
      <w:rFonts w:ascii="Calibri" w:hAnsi="Calibri" w:cs="Times New Roman"/>
      <w:sz w:val="22"/>
      <w:szCs w:val="22"/>
      <w:lang w:val="en-US" w:eastAsia="en-US" w:bidi="ar-SA"/>
    </w:rPr>
  </w:style>
  <w:style w:type="character" w:styleId="Textodelmarcadordeposicin">
    <w:name w:val="Placeholder Text"/>
    <w:basedOn w:val="Fuentedeprrafopredeter"/>
    <w:uiPriority w:val="99"/>
    <w:rsid w:val="000E0F29"/>
    <w:rPr>
      <w:rFonts w:cs="Times New Roman"/>
      <w:color w:val="808080"/>
    </w:rPr>
  </w:style>
  <w:style w:type="paragraph" w:styleId="Textonotaalfinal">
    <w:name w:val="endnote text"/>
    <w:basedOn w:val="Normal"/>
    <w:link w:val="TextonotaalfinalCar"/>
    <w:uiPriority w:val="99"/>
    <w:rsid w:val="000E2784"/>
    <w:rPr>
      <w:sz w:val="20"/>
      <w:szCs w:val="20"/>
    </w:rPr>
  </w:style>
  <w:style w:type="character" w:customStyle="1" w:styleId="TextonotaalfinalCar">
    <w:name w:val="Texto nota al final Car"/>
    <w:basedOn w:val="Fuentedeprrafopredeter"/>
    <w:link w:val="Textonotaalfinal"/>
    <w:uiPriority w:val="99"/>
    <w:locked/>
    <w:rsid w:val="000E2784"/>
    <w:rPr>
      <w:rFonts w:cs="Times New Roman"/>
      <w:noProof/>
      <w:lang w:val="ca-ES"/>
    </w:rPr>
  </w:style>
  <w:style w:type="character" w:styleId="Refdenotaalfinal">
    <w:name w:val="endnote reference"/>
    <w:basedOn w:val="Fuentedeprrafopredeter"/>
    <w:uiPriority w:val="99"/>
    <w:rsid w:val="000E2784"/>
    <w:rPr>
      <w:rFonts w:cs="Times New Roman"/>
      <w:vertAlign w:val="superscript"/>
    </w:rPr>
  </w:style>
  <w:style w:type="character" w:customStyle="1" w:styleId="apple-converted-space">
    <w:name w:val="apple-converted-space"/>
    <w:basedOn w:val="Fuentedeprrafopredeter"/>
    <w:uiPriority w:val="99"/>
    <w:rsid w:val="000E03F7"/>
    <w:rPr>
      <w:rFonts w:cs="Times New Roman"/>
    </w:rPr>
  </w:style>
  <w:style w:type="table" w:styleId="Tablaconcuadrcula">
    <w:name w:val="Table Grid"/>
    <w:basedOn w:val="Tablanormal"/>
    <w:uiPriority w:val="99"/>
    <w:rsid w:val="00733F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vistosa">
    <w:name w:val="Colorful List"/>
    <w:basedOn w:val="Tablanormal"/>
    <w:uiPriority w:val="99"/>
    <w:rsid w:val="00733F31"/>
    <w:rPr>
      <w:color w:val="000000"/>
      <w:sz w:val="20"/>
      <w:szCs w:val="2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Sombreadomedio1-nfasis2">
    <w:name w:val="Medium Shading 1 Accent 2"/>
    <w:basedOn w:val="Tablanormal"/>
    <w:uiPriority w:val="99"/>
    <w:rsid w:val="00733F31"/>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stavistosa-nfasis2">
    <w:name w:val="Colorful List Accent 2"/>
    <w:basedOn w:val="Tablanormal"/>
    <w:uiPriority w:val="99"/>
    <w:rsid w:val="00733F31"/>
    <w:rPr>
      <w:color w:val="000000"/>
      <w:sz w:val="20"/>
      <w:szCs w:val="2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character" w:styleId="Textoennegrita">
    <w:name w:val="Strong"/>
    <w:basedOn w:val="Fuentedeprrafopredeter"/>
    <w:uiPriority w:val="99"/>
    <w:qFormat/>
    <w:rsid w:val="00733F31"/>
    <w:rPr>
      <w:rFonts w:cs="Times New Roman"/>
      <w:b/>
      <w:bCs/>
    </w:rPr>
  </w:style>
  <w:style w:type="table" w:styleId="Cuadrculamedia3-nfasis2">
    <w:name w:val="Medium Grid 3 Accent 2"/>
    <w:basedOn w:val="Tablanormal"/>
    <w:rsid w:val="009630B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Listaclara-nfasis2">
    <w:name w:val="Light List Accent 2"/>
    <w:basedOn w:val="Tablanormal"/>
    <w:uiPriority w:val="99"/>
    <w:rsid w:val="00CE0CDD"/>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paragraph" w:styleId="Epgrafe">
    <w:name w:val="caption"/>
    <w:basedOn w:val="Normal"/>
    <w:next w:val="Normal"/>
    <w:uiPriority w:val="99"/>
    <w:qFormat/>
    <w:rsid w:val="00FB09BA"/>
    <w:pPr>
      <w:spacing w:after="200"/>
    </w:pPr>
    <w:rPr>
      <w:b/>
      <w:bCs/>
      <w:color w:val="4F81BD"/>
      <w:sz w:val="18"/>
      <w:szCs w:val="18"/>
    </w:rPr>
  </w:style>
  <w:style w:type="character" w:customStyle="1" w:styleId="hps">
    <w:name w:val="hps"/>
    <w:basedOn w:val="Fuentedeprrafopredeter"/>
    <w:uiPriority w:val="99"/>
    <w:rsid w:val="006F4D74"/>
    <w:rPr>
      <w:rFonts w:cs="Times New Roman"/>
    </w:rPr>
  </w:style>
  <w:style w:type="table" w:styleId="Cuadrculaclara-nfasis2">
    <w:name w:val="Light Grid Accent 2"/>
    <w:basedOn w:val="Tablanormal"/>
    <w:uiPriority w:val="99"/>
    <w:rsid w:val="00853CCE"/>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Cos">
    <w:name w:val="Cos"/>
    <w:uiPriority w:val="99"/>
    <w:rsid w:val="00B473E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Rotis Sans Serif Std" w:hAnsi="Rotis Sans Serif Std" w:cs="Rotis Sans Serif Std"/>
      <w:color w:val="000000"/>
      <w:u w:color="000000"/>
      <w:lang w:val="en-US"/>
    </w:rPr>
  </w:style>
  <w:style w:type="table" w:styleId="Cuadrculamedia2-nfasis2">
    <w:name w:val="Medium Grid 2 Accent 2"/>
    <w:basedOn w:val="Tablanormal"/>
    <w:uiPriority w:val="99"/>
    <w:rsid w:val="00174B30"/>
    <w:rPr>
      <w:rFonts w:ascii="Cambria"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paragraph" w:customStyle="1" w:styleId="Pa6">
    <w:name w:val="Pa6"/>
    <w:basedOn w:val="Default"/>
    <w:next w:val="Default"/>
    <w:uiPriority w:val="99"/>
    <w:rsid w:val="00F055EF"/>
    <w:pPr>
      <w:widowControl/>
      <w:spacing w:line="201" w:lineRule="atLeast"/>
    </w:pPr>
    <w:rPr>
      <w:rFonts w:ascii="Arial" w:hAnsi="Arial" w:cs="Arial"/>
      <w:color w:val="auto"/>
      <w:lang w:val="es-ES" w:eastAsia="es-ES"/>
    </w:rPr>
  </w:style>
  <w:style w:type="table" w:styleId="Listaclara-nfasis1">
    <w:name w:val="Light List Accent 1"/>
    <w:basedOn w:val="Tablanormal"/>
    <w:uiPriority w:val="61"/>
    <w:rsid w:val="003C2FB0"/>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2">
    <w:name w:val="Light Shading Accent 2"/>
    <w:basedOn w:val="Tablanormal"/>
    <w:uiPriority w:val="60"/>
    <w:rsid w:val="00FB7B6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TMLconformatoprevio">
    <w:name w:val="HTML Preformatted"/>
    <w:basedOn w:val="Normal"/>
    <w:link w:val="HTMLconformatoprevioCar"/>
    <w:uiPriority w:val="99"/>
    <w:unhideWhenUsed/>
    <w:rsid w:val="00470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47073D"/>
    <w:rPr>
      <w:rFonts w:ascii="Courier New" w:hAnsi="Courier New" w:cs="Courier New"/>
      <w:sz w:val="20"/>
      <w:szCs w:val="20"/>
    </w:rPr>
  </w:style>
  <w:style w:type="character" w:customStyle="1" w:styleId="Ttulo3Car">
    <w:name w:val="Título 3 Car"/>
    <w:basedOn w:val="Fuentedeprrafopredeter"/>
    <w:link w:val="Ttulo3"/>
    <w:semiHidden/>
    <w:rsid w:val="00E74449"/>
    <w:rPr>
      <w:rFonts w:asciiTheme="majorHAnsi" w:eastAsiaTheme="majorEastAsia" w:hAnsiTheme="majorHAnsi" w:cstheme="majorBidi"/>
      <w:b/>
      <w:bCs/>
      <w:color w:val="4F81BD" w:themeColor="accent1"/>
      <w:sz w:val="24"/>
      <w:szCs w:val="24"/>
      <w:lang w:val="ca-ES" w:eastAsia="en-US"/>
    </w:rPr>
  </w:style>
  <w:style w:type="character" w:styleId="CitaHTML">
    <w:name w:val="HTML Cite"/>
    <w:basedOn w:val="Fuentedeprrafopredeter"/>
    <w:uiPriority w:val="99"/>
    <w:semiHidden/>
    <w:unhideWhenUsed/>
    <w:rsid w:val="00E74449"/>
    <w:rPr>
      <w:i/>
      <w:iCs/>
    </w:rPr>
  </w:style>
  <w:style w:type="character" w:styleId="nfasis">
    <w:name w:val="Emphasis"/>
    <w:basedOn w:val="Fuentedeprrafopredeter"/>
    <w:uiPriority w:val="20"/>
    <w:qFormat/>
    <w:locked/>
    <w:rsid w:val="00E74449"/>
    <w:rPr>
      <w:b/>
      <w:bCs/>
      <w:i w:val="0"/>
      <w:iCs w:val="0"/>
    </w:rPr>
  </w:style>
  <w:style w:type="character" w:customStyle="1" w:styleId="y">
    <w:name w:val="y"/>
    <w:basedOn w:val="Fuentedeprrafopredeter"/>
    <w:rsid w:val="00E74449"/>
  </w:style>
  <w:style w:type="character" w:customStyle="1" w:styleId="st1">
    <w:name w:val="st1"/>
    <w:basedOn w:val="Fuentedeprrafopredeter"/>
    <w:rsid w:val="00E74449"/>
  </w:style>
  <w:style w:type="character" w:customStyle="1" w:styleId="f1">
    <w:name w:val="f1"/>
    <w:basedOn w:val="Fuentedeprrafopredeter"/>
    <w:rsid w:val="00E74449"/>
    <w:rPr>
      <w:color w:val="666666"/>
    </w:rPr>
  </w:style>
  <w:style w:type="paragraph" w:customStyle="1" w:styleId="nvcaub1">
    <w:name w:val="nvcaub1"/>
    <w:basedOn w:val="Normal"/>
    <w:rsid w:val="00E74449"/>
    <w:rPr>
      <w:lang w:val="es-ES" w:eastAsia="es-ES"/>
    </w:rPr>
  </w:style>
  <w:style w:type="character" w:customStyle="1" w:styleId="q8lrlc1">
    <w:name w:val="q8lrlc1"/>
    <w:basedOn w:val="Fuentedeprrafopredeter"/>
    <w:rsid w:val="00E74449"/>
    <w:rPr>
      <w:sz w:val="23"/>
      <w:szCs w:val="23"/>
    </w:rPr>
  </w:style>
  <w:style w:type="character" w:customStyle="1" w:styleId="b4gxfc1">
    <w:name w:val="b4gxfc1"/>
    <w:basedOn w:val="Fuentedeprrafopredeter"/>
    <w:rsid w:val="00E74449"/>
  </w:style>
  <w:style w:type="table" w:styleId="Sombreadomedio2-nfasis2">
    <w:name w:val="Medium Shading 2 Accent 2"/>
    <w:basedOn w:val="Tablanormal"/>
    <w:uiPriority w:val="64"/>
    <w:rsid w:val="004905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2">
    <w:name w:val="Medium List 2 Accent 2"/>
    <w:basedOn w:val="Tablanormal"/>
    <w:uiPriority w:val="66"/>
    <w:rsid w:val="00734A4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2">
    <w:name w:val="Medium List 1 Accent 2"/>
    <w:basedOn w:val="Tablanormal"/>
    <w:uiPriority w:val="65"/>
    <w:rsid w:val="00734A4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uiPriority="9" w:qFormat="1"/>
    <w:lsdException w:name="heading 8" w:uiPriority="9" w:qFormat="1"/>
    <w:lsdException w:name="heading 9" w:uiPriority="9" w:qFormat="1"/>
    <w:lsdException w:name="toc 1" w:locked="1" w:semiHidden="0" w:unhideWhenUsed="0"/>
    <w:lsdException w:name="toc 2" w:locked="1" w:semiHidden="0" w:unhideWhenUsed="0"/>
    <w:lsdException w:name="toc 3" w:locked="1"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locked="1" w:semiHidden="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nhideWhenUsed="0"/>
    <w:lsdException w:name="FollowedHyperlink" w:locked="1" w:semiHidden="0" w:unhideWhenUsed="0"/>
    <w:lsdException w:name="Strong" w:locked="1" w:semiHidden="0" w:unhideWhenUsed="0" w:qFormat="1"/>
    <w:lsdException w:name="Emphasis" w:locked="1" w:semiHidden="0" w:uiPriority="20" w:unhideWhenUsed="0" w:qFormat="1"/>
    <w:lsdException w:name="Normal (Web)" w:locked="1" w:semiHidden="0" w:unhideWhenUsed="0"/>
    <w:lsdException w:name="No Lis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nhideWhenUsed="0"/>
    <w:lsdException w:name="Medium Grid 3 Accent 2" w:semiHidden="0" w:uiPriority="0" w:unhideWhenUsed="0"/>
    <w:lsdException w:name="Dark List Accent 2" w:semiHidden="0" w:uiPriority="70" w:unhideWhenUsed="0"/>
    <w:lsdException w:name="Colorful Shading Accent 2" w:semiHidden="0" w:uiPriority="71" w:unhideWhenUsed="0"/>
    <w:lsdException w:name="Colorful List Accent 2" w:semiHidden="0"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3C1C58"/>
    <w:rPr>
      <w:sz w:val="24"/>
      <w:szCs w:val="24"/>
      <w:lang w:val="ca-ES" w:eastAsia="en-US"/>
    </w:rPr>
  </w:style>
  <w:style w:type="paragraph" w:styleId="Ttulo1">
    <w:name w:val="heading 1"/>
    <w:basedOn w:val="Normal"/>
    <w:next w:val="Normal"/>
    <w:link w:val="Ttulo1Car"/>
    <w:uiPriority w:val="99"/>
    <w:qFormat/>
    <w:pPr>
      <w:keepNext/>
      <w:outlineLvl w:val="0"/>
    </w:pPr>
    <w:rPr>
      <w:rFonts w:ascii="Century Gothic" w:hAnsi="Century Gothic" w:cs="Century Gothic"/>
      <w:b/>
      <w:color w:val="3682A2"/>
      <w:sz w:val="32"/>
      <w:szCs w:val="32"/>
      <w:lang w:val="en-US" w:eastAsia="es-ES" w:bidi="hi-IN"/>
    </w:rPr>
  </w:style>
  <w:style w:type="paragraph" w:styleId="Ttulo3">
    <w:name w:val="heading 3"/>
    <w:basedOn w:val="Normal"/>
    <w:next w:val="Normal"/>
    <w:link w:val="Ttulo3Car"/>
    <w:semiHidden/>
    <w:unhideWhenUsed/>
    <w:qFormat/>
    <w:locked/>
    <w:rsid w:val="00E7444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entury Gothic" w:hAnsi="Century Gothic"/>
      <w:b/>
      <w:color w:val="3682A2"/>
      <w:sz w:val="32"/>
      <w:lang w:val="en-US" w:eastAsia="es-ES"/>
    </w:rPr>
  </w:style>
  <w:style w:type="paragraph" w:styleId="Encabezado">
    <w:name w:val="header"/>
    <w:basedOn w:val="Normal"/>
    <w:link w:val="EncabezadoCar"/>
    <w:uiPriority w:val="99"/>
    <w:pPr>
      <w:tabs>
        <w:tab w:val="center" w:pos="4320"/>
        <w:tab w:val="right" w:pos="8640"/>
      </w:tabs>
    </w:pPr>
  </w:style>
  <w:style w:type="character" w:customStyle="1" w:styleId="EncabezadoCar">
    <w:name w:val="Encabezado Car"/>
    <w:basedOn w:val="Fuentedeprrafopredeter"/>
    <w:link w:val="Encabezado"/>
    <w:uiPriority w:val="99"/>
    <w:locked/>
    <w:rsid w:val="00BD4D86"/>
    <w:rPr>
      <w:rFonts w:cs="Times New Roman"/>
      <w:sz w:val="24"/>
      <w:szCs w:val="24"/>
      <w:lang w:val="ca-ES"/>
    </w:rPr>
  </w:style>
  <w:style w:type="paragraph" w:styleId="Piedepgina">
    <w:name w:val="footer"/>
    <w:basedOn w:val="Normal"/>
    <w:link w:val="PiedepginaCar"/>
    <w:uiPriority w:val="99"/>
    <w:semiHidden/>
    <w:pPr>
      <w:tabs>
        <w:tab w:val="center" w:pos="4320"/>
        <w:tab w:val="right" w:pos="8640"/>
      </w:tabs>
    </w:pPr>
  </w:style>
  <w:style w:type="character" w:customStyle="1" w:styleId="PiedepginaCar">
    <w:name w:val="Pie de página Car"/>
    <w:basedOn w:val="Fuentedeprrafopredeter"/>
    <w:link w:val="Piedepgina"/>
    <w:uiPriority w:val="99"/>
    <w:semiHidden/>
    <w:locked/>
    <w:rsid w:val="00733F31"/>
    <w:rPr>
      <w:rFonts w:cs="Times New Roman"/>
      <w:noProof/>
      <w:sz w:val="24"/>
      <w:szCs w:val="24"/>
      <w:lang w:val="ca-ES"/>
    </w:rPr>
  </w:style>
  <w:style w:type="character" w:styleId="Hipervnculo">
    <w:name w:val="Hyperlink"/>
    <w:basedOn w:val="Fuentedeprrafopredeter"/>
    <w:uiPriority w:val="99"/>
    <w:rPr>
      <w:rFonts w:cs="Times New Roman"/>
      <w:color w:val="0000FF"/>
      <w:u w:val="single"/>
    </w:rPr>
  </w:style>
  <w:style w:type="character" w:styleId="Hipervnculovisitado">
    <w:name w:val="FollowedHyperlink"/>
    <w:basedOn w:val="Fuentedeprrafopredeter"/>
    <w:uiPriority w:val="99"/>
    <w:semiHidden/>
    <w:rPr>
      <w:rFonts w:cs="Times New Roman"/>
      <w:color w:val="800080"/>
      <w:u w:val="single"/>
    </w:rPr>
  </w:style>
  <w:style w:type="paragraph" w:styleId="NormalWeb">
    <w:name w:val="Normal (Web)"/>
    <w:basedOn w:val="Normal"/>
    <w:uiPriority w:val="99"/>
    <w:pPr>
      <w:spacing w:before="100" w:beforeAutospacing="1" w:after="100" w:afterAutospacing="1"/>
    </w:pPr>
    <w:rPr>
      <w:rFonts w:ascii="Times" w:hAnsi="Times"/>
      <w:sz w:val="20"/>
      <w:szCs w:val="20"/>
      <w:lang w:val="es-ES_tradnl"/>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Times-Roman" w:hAnsi="Times-Roman" w:cs="Times-Roman"/>
      <w:color w:val="000000"/>
      <w:lang w:val="en-US" w:eastAsia="es-ES_tradnl"/>
    </w:rPr>
  </w:style>
  <w:style w:type="paragraph" w:customStyle="1" w:styleId="titol">
    <w:name w:val="titol"/>
    <w:basedOn w:val="Normal"/>
    <w:uiPriority w:val="99"/>
    <w:rsid w:val="0026304E"/>
    <w:pPr>
      <w:jc w:val="both"/>
    </w:pPr>
    <w:rPr>
      <w:rFonts w:ascii="Rotis Sans Serif Std Bold" w:hAnsi="Rotis Sans Serif Std Bold"/>
      <w:color w:val="CE2430"/>
      <w:sz w:val="44"/>
    </w:rPr>
  </w:style>
  <w:style w:type="paragraph" w:customStyle="1" w:styleId="Default">
    <w:name w:val="Default"/>
    <w:rsid w:val="00CB5F10"/>
    <w:pPr>
      <w:widowControl w:val="0"/>
      <w:autoSpaceDE w:val="0"/>
      <w:autoSpaceDN w:val="0"/>
      <w:adjustRightInd w:val="0"/>
    </w:pPr>
    <w:rPr>
      <w:rFonts w:ascii="Calibri" w:hAnsi="Calibri" w:cs="Calibri"/>
      <w:color w:val="000000"/>
      <w:sz w:val="24"/>
      <w:szCs w:val="24"/>
      <w:lang w:val="en-US" w:eastAsia="en-US"/>
    </w:rPr>
  </w:style>
  <w:style w:type="paragraph" w:customStyle="1" w:styleId="TEXT">
    <w:name w:val="TEXT"/>
    <w:basedOn w:val="BasicParagraph"/>
    <w:uiPriority w:val="99"/>
    <w:rsid w:val="007373EA"/>
    <w:pPr>
      <w:spacing w:line="240" w:lineRule="auto"/>
      <w:jc w:val="both"/>
    </w:pPr>
    <w:rPr>
      <w:rFonts w:ascii="Rotis SemiSans Std" w:hAnsi="Rotis SemiSans Std" w:cs="RotisSansSerifStd-Regular"/>
      <w:color w:val="5E6061"/>
      <w:sz w:val="22"/>
      <w:szCs w:val="18"/>
    </w:rPr>
  </w:style>
  <w:style w:type="paragraph" w:customStyle="1" w:styleId="TEXTHORA">
    <w:name w:val="TEXT HORA"/>
    <w:uiPriority w:val="99"/>
    <w:rsid w:val="007373EA"/>
    <w:pPr>
      <w:jc w:val="both"/>
    </w:pPr>
    <w:rPr>
      <w:rFonts w:ascii="Rotis Sans Serif Std Bold" w:hAnsi="Rotis Sans Serif Std Bold" w:cs="Times-Roman"/>
      <w:color w:val="C1002B"/>
      <w:szCs w:val="24"/>
      <w:lang w:val="en-US" w:eastAsia="es-ES_tradnl"/>
    </w:rPr>
  </w:style>
  <w:style w:type="paragraph" w:customStyle="1" w:styleId="TITOLESCALETA">
    <w:name w:val="TITOL ESCALETA"/>
    <w:basedOn w:val="TEXTHORA"/>
    <w:uiPriority w:val="99"/>
    <w:rsid w:val="007373EA"/>
    <w:rPr>
      <w:color w:val="3D3D3D"/>
      <w:szCs w:val="22"/>
    </w:rPr>
  </w:style>
  <w:style w:type="paragraph" w:customStyle="1" w:styleId="TEXTBOLD">
    <w:name w:val="TEXT BOLD"/>
    <w:basedOn w:val="TEXT"/>
    <w:uiPriority w:val="99"/>
    <w:qFormat/>
    <w:rsid w:val="007373EA"/>
    <w:rPr>
      <w:rFonts w:ascii="Rotis Sans Serif Std" w:hAnsi="Rotis Sans Serif Std"/>
      <w:b/>
      <w:szCs w:val="22"/>
    </w:rPr>
  </w:style>
  <w:style w:type="paragraph" w:styleId="Ttulo">
    <w:name w:val="Title"/>
    <w:basedOn w:val="Normal"/>
    <w:next w:val="Normal"/>
    <w:link w:val="TtuloCar"/>
    <w:uiPriority w:val="99"/>
    <w:qFormat/>
    <w:rsid w:val="007373EA"/>
    <w:pPr>
      <w:spacing w:before="240" w:after="60"/>
      <w:jc w:val="center"/>
      <w:outlineLvl w:val="0"/>
    </w:pPr>
    <w:rPr>
      <w:rFonts w:ascii="Calibri" w:eastAsia="MS Gothic" w:hAnsi="Calibri"/>
      <w:b/>
      <w:bCs/>
      <w:kern w:val="28"/>
      <w:sz w:val="32"/>
      <w:szCs w:val="32"/>
      <w:lang w:eastAsia="es-ES"/>
    </w:rPr>
  </w:style>
  <w:style w:type="character" w:customStyle="1" w:styleId="TtuloCar">
    <w:name w:val="Título Car"/>
    <w:basedOn w:val="Fuentedeprrafopredeter"/>
    <w:link w:val="Ttulo"/>
    <w:uiPriority w:val="99"/>
    <w:locked/>
    <w:rsid w:val="007373EA"/>
    <w:rPr>
      <w:rFonts w:ascii="Calibri" w:eastAsia="MS Gothic" w:hAnsi="Calibri"/>
      <w:b/>
      <w:kern w:val="28"/>
      <w:sz w:val="32"/>
      <w:lang w:val="ca-ES"/>
    </w:rPr>
  </w:style>
  <w:style w:type="paragraph" w:customStyle="1" w:styleId="titolsapunts">
    <w:name w:val="titols apunts"/>
    <w:basedOn w:val="titol"/>
    <w:uiPriority w:val="99"/>
    <w:rsid w:val="005D4C7C"/>
    <w:pPr>
      <w:jc w:val="left"/>
    </w:pPr>
    <w:rPr>
      <w:color w:val="51AF68"/>
      <w:sz w:val="24"/>
      <w:szCs w:val="32"/>
      <w:lang w:val="en-US"/>
    </w:rPr>
  </w:style>
  <w:style w:type="paragraph" w:styleId="Prrafodelista">
    <w:name w:val="List Paragraph"/>
    <w:basedOn w:val="Normal"/>
    <w:uiPriority w:val="72"/>
    <w:qFormat/>
    <w:rsid w:val="005F07BC"/>
    <w:pPr>
      <w:ind w:left="720"/>
      <w:contextualSpacing/>
    </w:pPr>
  </w:style>
  <w:style w:type="paragraph" w:styleId="Textodeglobo">
    <w:name w:val="Balloon Text"/>
    <w:basedOn w:val="Normal"/>
    <w:link w:val="TextodegloboCar"/>
    <w:uiPriority w:val="99"/>
    <w:rsid w:val="007133DE"/>
    <w:rPr>
      <w:rFonts w:ascii="Tahoma" w:hAnsi="Tahoma" w:cs="Tahoma"/>
      <w:sz w:val="16"/>
      <w:szCs w:val="16"/>
    </w:rPr>
  </w:style>
  <w:style w:type="character" w:customStyle="1" w:styleId="TextodegloboCar">
    <w:name w:val="Texto de globo Car"/>
    <w:basedOn w:val="Fuentedeprrafopredeter"/>
    <w:link w:val="Textodeglobo"/>
    <w:uiPriority w:val="99"/>
    <w:locked/>
    <w:rsid w:val="007133DE"/>
    <w:rPr>
      <w:rFonts w:ascii="Tahoma" w:hAnsi="Tahoma" w:cs="Tahoma"/>
      <w:sz w:val="16"/>
      <w:szCs w:val="16"/>
      <w:lang w:val="ca-ES"/>
    </w:rPr>
  </w:style>
  <w:style w:type="character" w:styleId="Nmerodepgina">
    <w:name w:val="page number"/>
    <w:basedOn w:val="Fuentedeprrafopredeter"/>
    <w:uiPriority w:val="99"/>
    <w:rsid w:val="00D15EA5"/>
    <w:rPr>
      <w:rFonts w:eastAsia="Times New Roman" w:cs="Times New Roman"/>
      <w:sz w:val="22"/>
      <w:szCs w:val="22"/>
      <w:lang w:val="es-ES"/>
    </w:rPr>
  </w:style>
  <w:style w:type="paragraph" w:styleId="Textonotapie">
    <w:name w:val="footnote text"/>
    <w:basedOn w:val="Normal"/>
    <w:link w:val="TextonotapieCar"/>
    <w:rsid w:val="00D4321C"/>
    <w:rPr>
      <w:sz w:val="20"/>
      <w:szCs w:val="20"/>
    </w:rPr>
  </w:style>
  <w:style w:type="character" w:customStyle="1" w:styleId="TextonotapieCar">
    <w:name w:val="Texto nota pie Car"/>
    <w:basedOn w:val="Fuentedeprrafopredeter"/>
    <w:link w:val="Textonotapie"/>
    <w:locked/>
    <w:rsid w:val="00D4321C"/>
    <w:rPr>
      <w:rFonts w:cs="Times New Roman"/>
      <w:noProof/>
      <w:lang w:val="ca-ES"/>
    </w:rPr>
  </w:style>
  <w:style w:type="character" w:styleId="Refdenotaalpie">
    <w:name w:val="footnote reference"/>
    <w:basedOn w:val="Fuentedeprrafopredeter"/>
    <w:rsid w:val="00D4321C"/>
    <w:rPr>
      <w:rFonts w:cs="Times New Roman"/>
      <w:vertAlign w:val="superscript"/>
    </w:rPr>
  </w:style>
  <w:style w:type="character" w:styleId="Refdecomentario">
    <w:name w:val="annotation reference"/>
    <w:basedOn w:val="Fuentedeprrafopredeter"/>
    <w:uiPriority w:val="99"/>
    <w:rsid w:val="00C650D1"/>
    <w:rPr>
      <w:rFonts w:cs="Times New Roman"/>
      <w:sz w:val="16"/>
      <w:szCs w:val="16"/>
    </w:rPr>
  </w:style>
  <w:style w:type="paragraph" w:styleId="Textocomentario">
    <w:name w:val="annotation text"/>
    <w:basedOn w:val="Normal"/>
    <w:link w:val="TextocomentarioCar"/>
    <w:uiPriority w:val="99"/>
    <w:rsid w:val="00C650D1"/>
    <w:rPr>
      <w:sz w:val="20"/>
      <w:szCs w:val="20"/>
    </w:rPr>
  </w:style>
  <w:style w:type="character" w:customStyle="1" w:styleId="TextocomentarioCar">
    <w:name w:val="Texto comentario Car"/>
    <w:basedOn w:val="Fuentedeprrafopredeter"/>
    <w:link w:val="Textocomentario"/>
    <w:uiPriority w:val="99"/>
    <w:locked/>
    <w:rsid w:val="00C650D1"/>
    <w:rPr>
      <w:rFonts w:cs="Times New Roman"/>
      <w:noProof/>
      <w:lang w:val="ca-ES"/>
    </w:rPr>
  </w:style>
  <w:style w:type="paragraph" w:styleId="Asuntodelcomentario">
    <w:name w:val="annotation subject"/>
    <w:basedOn w:val="Textocomentario"/>
    <w:next w:val="Textocomentario"/>
    <w:link w:val="AsuntodelcomentarioCar"/>
    <w:uiPriority w:val="99"/>
    <w:rsid w:val="00C650D1"/>
    <w:rPr>
      <w:b/>
      <w:bCs/>
    </w:rPr>
  </w:style>
  <w:style w:type="character" w:customStyle="1" w:styleId="AsuntodelcomentarioCar">
    <w:name w:val="Asunto del comentario Car"/>
    <w:basedOn w:val="TextocomentarioCar"/>
    <w:link w:val="Asuntodelcomentario"/>
    <w:uiPriority w:val="99"/>
    <w:locked/>
    <w:rsid w:val="00C650D1"/>
    <w:rPr>
      <w:rFonts w:cs="Times New Roman"/>
      <w:b/>
      <w:bCs/>
      <w:noProof/>
      <w:lang w:val="ca-ES"/>
    </w:rPr>
  </w:style>
  <w:style w:type="paragraph" w:styleId="TtulodeTDC">
    <w:name w:val="TOC Heading"/>
    <w:basedOn w:val="Ttulo1"/>
    <w:next w:val="Normal"/>
    <w:link w:val="TtulodeTDCCar"/>
    <w:uiPriority w:val="99"/>
    <w:qFormat/>
    <w:rsid w:val="00A16B50"/>
    <w:pPr>
      <w:keepLines/>
      <w:spacing w:before="480" w:line="276" w:lineRule="auto"/>
      <w:outlineLvl w:val="9"/>
    </w:pPr>
    <w:rPr>
      <w:rFonts w:ascii="Cambria" w:hAnsi="Cambria" w:cs="Times New Roman"/>
      <w:bCs/>
      <w:color w:val="365F91"/>
      <w:sz w:val="28"/>
      <w:szCs w:val="28"/>
      <w:lang w:eastAsia="en-US" w:bidi="ar-SA"/>
    </w:rPr>
  </w:style>
  <w:style w:type="character" w:customStyle="1" w:styleId="TtulodeTDCCar">
    <w:name w:val="Título de TDC Car"/>
    <w:basedOn w:val="Ttulo1Car"/>
    <w:link w:val="TtulodeTDC"/>
    <w:uiPriority w:val="99"/>
    <w:locked/>
    <w:rsid w:val="00A16B50"/>
    <w:rPr>
      <w:rFonts w:ascii="Cambria" w:hAnsi="Cambria" w:cs="Times New Roman"/>
      <w:b/>
      <w:bCs/>
      <w:color w:val="365F91"/>
      <w:sz w:val="28"/>
      <w:szCs w:val="28"/>
      <w:lang w:val="en-US" w:eastAsia="es-ES" w:bidi="hi-IN"/>
    </w:rPr>
  </w:style>
  <w:style w:type="paragraph" w:styleId="TDC2">
    <w:name w:val="toc 2"/>
    <w:basedOn w:val="Normal"/>
    <w:next w:val="Normal"/>
    <w:autoRedefine/>
    <w:uiPriority w:val="99"/>
    <w:rsid w:val="00A16B50"/>
    <w:pPr>
      <w:spacing w:after="100" w:line="276" w:lineRule="auto"/>
      <w:ind w:left="220"/>
    </w:pPr>
    <w:rPr>
      <w:rFonts w:ascii="Calibri" w:hAnsi="Calibri"/>
      <w:sz w:val="22"/>
      <w:szCs w:val="22"/>
      <w:lang w:val="en-US"/>
    </w:rPr>
  </w:style>
  <w:style w:type="paragraph" w:styleId="TDC1">
    <w:name w:val="toc 1"/>
    <w:basedOn w:val="Normal"/>
    <w:next w:val="Normal"/>
    <w:autoRedefine/>
    <w:uiPriority w:val="99"/>
    <w:rsid w:val="00A16B50"/>
    <w:pPr>
      <w:spacing w:after="100" w:line="276" w:lineRule="auto"/>
    </w:pPr>
    <w:rPr>
      <w:rFonts w:ascii="Calibri" w:hAnsi="Calibri"/>
      <w:sz w:val="22"/>
      <w:szCs w:val="22"/>
      <w:lang w:val="en-US"/>
    </w:rPr>
  </w:style>
  <w:style w:type="paragraph" w:styleId="TDC3">
    <w:name w:val="toc 3"/>
    <w:basedOn w:val="Normal"/>
    <w:next w:val="Normal"/>
    <w:autoRedefine/>
    <w:uiPriority w:val="99"/>
    <w:rsid w:val="00A16B50"/>
    <w:pPr>
      <w:spacing w:after="100" w:line="276" w:lineRule="auto"/>
      <w:ind w:left="440"/>
    </w:pPr>
    <w:rPr>
      <w:rFonts w:ascii="Calibri" w:hAnsi="Calibri"/>
      <w:sz w:val="22"/>
      <w:szCs w:val="22"/>
      <w:lang w:val="en-US"/>
    </w:rPr>
  </w:style>
  <w:style w:type="paragraph" w:customStyle="1" w:styleId="Foment">
    <w:name w:val="Foment"/>
    <w:basedOn w:val="Normal"/>
    <w:link w:val="FomentCar"/>
    <w:uiPriority w:val="99"/>
    <w:rsid w:val="00C04B1A"/>
    <w:pPr>
      <w:jc w:val="both"/>
    </w:pPr>
    <w:rPr>
      <w:rFonts w:ascii="Rotis Sans Serif Std" w:hAnsi="Rotis Sans Serif Std" w:cs="Arial"/>
      <w:lang w:val="es-ES"/>
    </w:rPr>
  </w:style>
  <w:style w:type="character" w:customStyle="1" w:styleId="FomentCar">
    <w:name w:val="Foment Car"/>
    <w:basedOn w:val="Fuentedeprrafopredeter"/>
    <w:link w:val="Foment"/>
    <w:uiPriority w:val="99"/>
    <w:locked/>
    <w:rsid w:val="00C04B1A"/>
    <w:rPr>
      <w:rFonts w:ascii="Rotis Sans Serif Std" w:hAnsi="Rotis Sans Serif Std" w:cs="Arial"/>
      <w:sz w:val="24"/>
      <w:szCs w:val="24"/>
      <w:lang w:val="es-ES"/>
    </w:rPr>
  </w:style>
  <w:style w:type="paragraph" w:styleId="Sinespaciado">
    <w:name w:val="No Spacing"/>
    <w:link w:val="SinespaciadoCar"/>
    <w:uiPriority w:val="99"/>
    <w:qFormat/>
    <w:rsid w:val="00A46FF2"/>
    <w:rPr>
      <w:rFonts w:ascii="Calibri" w:hAnsi="Calibri"/>
      <w:lang w:val="en-US" w:eastAsia="en-US"/>
    </w:rPr>
  </w:style>
  <w:style w:type="character" w:customStyle="1" w:styleId="SinespaciadoCar">
    <w:name w:val="Sin espaciado Car"/>
    <w:basedOn w:val="Fuentedeprrafopredeter"/>
    <w:link w:val="Sinespaciado"/>
    <w:uiPriority w:val="99"/>
    <w:locked/>
    <w:rsid w:val="00A46FF2"/>
    <w:rPr>
      <w:rFonts w:ascii="Calibri" w:hAnsi="Calibri" w:cs="Times New Roman"/>
      <w:sz w:val="22"/>
      <w:szCs w:val="22"/>
      <w:lang w:val="en-US" w:eastAsia="en-US" w:bidi="ar-SA"/>
    </w:rPr>
  </w:style>
  <w:style w:type="character" w:styleId="Textodelmarcadordeposicin">
    <w:name w:val="Placeholder Text"/>
    <w:basedOn w:val="Fuentedeprrafopredeter"/>
    <w:uiPriority w:val="99"/>
    <w:rsid w:val="000E0F29"/>
    <w:rPr>
      <w:rFonts w:cs="Times New Roman"/>
      <w:color w:val="808080"/>
    </w:rPr>
  </w:style>
  <w:style w:type="paragraph" w:styleId="Textonotaalfinal">
    <w:name w:val="endnote text"/>
    <w:basedOn w:val="Normal"/>
    <w:link w:val="TextonotaalfinalCar"/>
    <w:uiPriority w:val="99"/>
    <w:rsid w:val="000E2784"/>
    <w:rPr>
      <w:sz w:val="20"/>
      <w:szCs w:val="20"/>
    </w:rPr>
  </w:style>
  <w:style w:type="character" w:customStyle="1" w:styleId="TextonotaalfinalCar">
    <w:name w:val="Texto nota al final Car"/>
    <w:basedOn w:val="Fuentedeprrafopredeter"/>
    <w:link w:val="Textonotaalfinal"/>
    <w:uiPriority w:val="99"/>
    <w:locked/>
    <w:rsid w:val="000E2784"/>
    <w:rPr>
      <w:rFonts w:cs="Times New Roman"/>
      <w:noProof/>
      <w:lang w:val="ca-ES"/>
    </w:rPr>
  </w:style>
  <w:style w:type="character" w:styleId="Refdenotaalfinal">
    <w:name w:val="endnote reference"/>
    <w:basedOn w:val="Fuentedeprrafopredeter"/>
    <w:uiPriority w:val="99"/>
    <w:rsid w:val="000E2784"/>
    <w:rPr>
      <w:rFonts w:cs="Times New Roman"/>
      <w:vertAlign w:val="superscript"/>
    </w:rPr>
  </w:style>
  <w:style w:type="character" w:customStyle="1" w:styleId="apple-converted-space">
    <w:name w:val="apple-converted-space"/>
    <w:basedOn w:val="Fuentedeprrafopredeter"/>
    <w:uiPriority w:val="99"/>
    <w:rsid w:val="000E03F7"/>
    <w:rPr>
      <w:rFonts w:cs="Times New Roman"/>
    </w:rPr>
  </w:style>
  <w:style w:type="table" w:styleId="Tablaconcuadrcula">
    <w:name w:val="Table Grid"/>
    <w:basedOn w:val="Tablanormal"/>
    <w:uiPriority w:val="99"/>
    <w:rsid w:val="00733F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vistosa">
    <w:name w:val="Colorful List"/>
    <w:basedOn w:val="Tablanormal"/>
    <w:uiPriority w:val="99"/>
    <w:rsid w:val="00733F31"/>
    <w:rPr>
      <w:color w:val="000000"/>
      <w:sz w:val="20"/>
      <w:szCs w:val="2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Sombreadomedio1-nfasis2">
    <w:name w:val="Medium Shading 1 Accent 2"/>
    <w:basedOn w:val="Tablanormal"/>
    <w:uiPriority w:val="99"/>
    <w:rsid w:val="00733F31"/>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stavistosa-nfasis2">
    <w:name w:val="Colorful List Accent 2"/>
    <w:basedOn w:val="Tablanormal"/>
    <w:uiPriority w:val="99"/>
    <w:rsid w:val="00733F31"/>
    <w:rPr>
      <w:color w:val="000000"/>
      <w:sz w:val="20"/>
      <w:szCs w:val="2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character" w:styleId="Textoennegrita">
    <w:name w:val="Strong"/>
    <w:basedOn w:val="Fuentedeprrafopredeter"/>
    <w:uiPriority w:val="99"/>
    <w:qFormat/>
    <w:rsid w:val="00733F31"/>
    <w:rPr>
      <w:rFonts w:cs="Times New Roman"/>
      <w:b/>
      <w:bCs/>
    </w:rPr>
  </w:style>
  <w:style w:type="table" w:styleId="Cuadrculamedia3-nfasis2">
    <w:name w:val="Medium Grid 3 Accent 2"/>
    <w:basedOn w:val="Tablanormal"/>
    <w:rsid w:val="009630B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Listaclara-nfasis2">
    <w:name w:val="Light List Accent 2"/>
    <w:basedOn w:val="Tablanormal"/>
    <w:uiPriority w:val="99"/>
    <w:rsid w:val="00CE0CDD"/>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paragraph" w:styleId="Epgrafe">
    <w:name w:val="caption"/>
    <w:basedOn w:val="Normal"/>
    <w:next w:val="Normal"/>
    <w:uiPriority w:val="99"/>
    <w:qFormat/>
    <w:rsid w:val="00FB09BA"/>
    <w:pPr>
      <w:spacing w:after="200"/>
    </w:pPr>
    <w:rPr>
      <w:b/>
      <w:bCs/>
      <w:color w:val="4F81BD"/>
      <w:sz w:val="18"/>
      <w:szCs w:val="18"/>
    </w:rPr>
  </w:style>
  <w:style w:type="character" w:customStyle="1" w:styleId="hps">
    <w:name w:val="hps"/>
    <w:basedOn w:val="Fuentedeprrafopredeter"/>
    <w:uiPriority w:val="99"/>
    <w:rsid w:val="006F4D74"/>
    <w:rPr>
      <w:rFonts w:cs="Times New Roman"/>
    </w:rPr>
  </w:style>
  <w:style w:type="table" w:styleId="Cuadrculaclara-nfasis2">
    <w:name w:val="Light Grid Accent 2"/>
    <w:basedOn w:val="Tablanormal"/>
    <w:uiPriority w:val="99"/>
    <w:rsid w:val="00853CCE"/>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Cos">
    <w:name w:val="Cos"/>
    <w:uiPriority w:val="99"/>
    <w:rsid w:val="00B473E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Rotis Sans Serif Std" w:hAnsi="Rotis Sans Serif Std" w:cs="Rotis Sans Serif Std"/>
      <w:color w:val="000000"/>
      <w:u w:color="000000"/>
      <w:lang w:val="en-US"/>
    </w:rPr>
  </w:style>
  <w:style w:type="table" w:styleId="Cuadrculamedia2-nfasis2">
    <w:name w:val="Medium Grid 2 Accent 2"/>
    <w:basedOn w:val="Tablanormal"/>
    <w:uiPriority w:val="99"/>
    <w:rsid w:val="00174B30"/>
    <w:rPr>
      <w:rFonts w:ascii="Cambria"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paragraph" w:customStyle="1" w:styleId="Pa6">
    <w:name w:val="Pa6"/>
    <w:basedOn w:val="Default"/>
    <w:next w:val="Default"/>
    <w:uiPriority w:val="99"/>
    <w:rsid w:val="00F055EF"/>
    <w:pPr>
      <w:widowControl/>
      <w:spacing w:line="201" w:lineRule="atLeast"/>
    </w:pPr>
    <w:rPr>
      <w:rFonts w:ascii="Arial" w:hAnsi="Arial" w:cs="Arial"/>
      <w:color w:val="auto"/>
      <w:lang w:val="es-ES" w:eastAsia="es-ES"/>
    </w:rPr>
  </w:style>
  <w:style w:type="table" w:styleId="Listaclara-nfasis1">
    <w:name w:val="Light List Accent 1"/>
    <w:basedOn w:val="Tablanormal"/>
    <w:uiPriority w:val="61"/>
    <w:rsid w:val="003C2FB0"/>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2">
    <w:name w:val="Light Shading Accent 2"/>
    <w:basedOn w:val="Tablanormal"/>
    <w:uiPriority w:val="60"/>
    <w:rsid w:val="00FB7B6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TMLconformatoprevio">
    <w:name w:val="HTML Preformatted"/>
    <w:basedOn w:val="Normal"/>
    <w:link w:val="HTMLconformatoprevioCar"/>
    <w:uiPriority w:val="99"/>
    <w:unhideWhenUsed/>
    <w:rsid w:val="00470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47073D"/>
    <w:rPr>
      <w:rFonts w:ascii="Courier New" w:hAnsi="Courier New" w:cs="Courier New"/>
      <w:sz w:val="20"/>
      <w:szCs w:val="20"/>
    </w:rPr>
  </w:style>
  <w:style w:type="character" w:customStyle="1" w:styleId="Ttulo3Car">
    <w:name w:val="Título 3 Car"/>
    <w:basedOn w:val="Fuentedeprrafopredeter"/>
    <w:link w:val="Ttulo3"/>
    <w:semiHidden/>
    <w:rsid w:val="00E74449"/>
    <w:rPr>
      <w:rFonts w:asciiTheme="majorHAnsi" w:eastAsiaTheme="majorEastAsia" w:hAnsiTheme="majorHAnsi" w:cstheme="majorBidi"/>
      <w:b/>
      <w:bCs/>
      <w:color w:val="4F81BD" w:themeColor="accent1"/>
      <w:sz w:val="24"/>
      <w:szCs w:val="24"/>
      <w:lang w:val="ca-ES" w:eastAsia="en-US"/>
    </w:rPr>
  </w:style>
  <w:style w:type="character" w:styleId="CitaHTML">
    <w:name w:val="HTML Cite"/>
    <w:basedOn w:val="Fuentedeprrafopredeter"/>
    <w:uiPriority w:val="99"/>
    <w:semiHidden/>
    <w:unhideWhenUsed/>
    <w:rsid w:val="00E74449"/>
    <w:rPr>
      <w:i/>
      <w:iCs/>
    </w:rPr>
  </w:style>
  <w:style w:type="character" w:styleId="nfasis">
    <w:name w:val="Emphasis"/>
    <w:basedOn w:val="Fuentedeprrafopredeter"/>
    <w:uiPriority w:val="20"/>
    <w:qFormat/>
    <w:locked/>
    <w:rsid w:val="00E74449"/>
    <w:rPr>
      <w:b/>
      <w:bCs/>
      <w:i w:val="0"/>
      <w:iCs w:val="0"/>
    </w:rPr>
  </w:style>
  <w:style w:type="character" w:customStyle="1" w:styleId="y">
    <w:name w:val="y"/>
    <w:basedOn w:val="Fuentedeprrafopredeter"/>
    <w:rsid w:val="00E74449"/>
  </w:style>
  <w:style w:type="character" w:customStyle="1" w:styleId="st1">
    <w:name w:val="st1"/>
    <w:basedOn w:val="Fuentedeprrafopredeter"/>
    <w:rsid w:val="00E74449"/>
  </w:style>
  <w:style w:type="character" w:customStyle="1" w:styleId="f1">
    <w:name w:val="f1"/>
    <w:basedOn w:val="Fuentedeprrafopredeter"/>
    <w:rsid w:val="00E74449"/>
    <w:rPr>
      <w:color w:val="666666"/>
    </w:rPr>
  </w:style>
  <w:style w:type="paragraph" w:customStyle="1" w:styleId="nvcaub1">
    <w:name w:val="nvcaub1"/>
    <w:basedOn w:val="Normal"/>
    <w:rsid w:val="00E74449"/>
    <w:rPr>
      <w:lang w:val="es-ES" w:eastAsia="es-ES"/>
    </w:rPr>
  </w:style>
  <w:style w:type="character" w:customStyle="1" w:styleId="q8lrlc1">
    <w:name w:val="q8lrlc1"/>
    <w:basedOn w:val="Fuentedeprrafopredeter"/>
    <w:rsid w:val="00E74449"/>
    <w:rPr>
      <w:sz w:val="23"/>
      <w:szCs w:val="23"/>
    </w:rPr>
  </w:style>
  <w:style w:type="character" w:customStyle="1" w:styleId="b4gxfc1">
    <w:name w:val="b4gxfc1"/>
    <w:basedOn w:val="Fuentedeprrafopredeter"/>
    <w:rsid w:val="00E74449"/>
  </w:style>
  <w:style w:type="table" w:styleId="Sombreadomedio2-nfasis2">
    <w:name w:val="Medium Shading 2 Accent 2"/>
    <w:basedOn w:val="Tablanormal"/>
    <w:uiPriority w:val="64"/>
    <w:rsid w:val="004905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2">
    <w:name w:val="Medium List 2 Accent 2"/>
    <w:basedOn w:val="Tablanormal"/>
    <w:uiPriority w:val="66"/>
    <w:rsid w:val="00734A4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2">
    <w:name w:val="Medium List 1 Accent 2"/>
    <w:basedOn w:val="Tablanormal"/>
    <w:uiPriority w:val="65"/>
    <w:rsid w:val="00734A4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64">
      <w:bodyDiv w:val="1"/>
      <w:marLeft w:val="0"/>
      <w:marRight w:val="0"/>
      <w:marTop w:val="0"/>
      <w:marBottom w:val="0"/>
      <w:divBdr>
        <w:top w:val="none" w:sz="0" w:space="0" w:color="auto"/>
        <w:left w:val="none" w:sz="0" w:space="0" w:color="auto"/>
        <w:bottom w:val="none" w:sz="0" w:space="0" w:color="auto"/>
        <w:right w:val="none" w:sz="0" w:space="0" w:color="auto"/>
      </w:divBdr>
    </w:div>
    <w:div w:id="90051581">
      <w:marLeft w:val="0"/>
      <w:marRight w:val="0"/>
      <w:marTop w:val="0"/>
      <w:marBottom w:val="0"/>
      <w:divBdr>
        <w:top w:val="none" w:sz="0" w:space="0" w:color="auto"/>
        <w:left w:val="none" w:sz="0" w:space="0" w:color="auto"/>
        <w:bottom w:val="none" w:sz="0" w:space="0" w:color="auto"/>
        <w:right w:val="none" w:sz="0" w:space="0" w:color="auto"/>
      </w:divBdr>
    </w:div>
    <w:div w:id="90051582">
      <w:marLeft w:val="0"/>
      <w:marRight w:val="0"/>
      <w:marTop w:val="0"/>
      <w:marBottom w:val="0"/>
      <w:divBdr>
        <w:top w:val="none" w:sz="0" w:space="0" w:color="auto"/>
        <w:left w:val="none" w:sz="0" w:space="0" w:color="auto"/>
        <w:bottom w:val="none" w:sz="0" w:space="0" w:color="auto"/>
        <w:right w:val="none" w:sz="0" w:space="0" w:color="auto"/>
      </w:divBdr>
    </w:div>
    <w:div w:id="90051583">
      <w:marLeft w:val="0"/>
      <w:marRight w:val="0"/>
      <w:marTop w:val="0"/>
      <w:marBottom w:val="0"/>
      <w:divBdr>
        <w:top w:val="none" w:sz="0" w:space="0" w:color="auto"/>
        <w:left w:val="none" w:sz="0" w:space="0" w:color="auto"/>
        <w:bottom w:val="none" w:sz="0" w:space="0" w:color="auto"/>
        <w:right w:val="none" w:sz="0" w:space="0" w:color="auto"/>
      </w:divBdr>
    </w:div>
    <w:div w:id="90051584">
      <w:marLeft w:val="0"/>
      <w:marRight w:val="0"/>
      <w:marTop w:val="0"/>
      <w:marBottom w:val="0"/>
      <w:divBdr>
        <w:top w:val="none" w:sz="0" w:space="0" w:color="auto"/>
        <w:left w:val="none" w:sz="0" w:space="0" w:color="auto"/>
        <w:bottom w:val="none" w:sz="0" w:space="0" w:color="auto"/>
        <w:right w:val="none" w:sz="0" w:space="0" w:color="auto"/>
      </w:divBdr>
    </w:div>
    <w:div w:id="90051585">
      <w:marLeft w:val="0"/>
      <w:marRight w:val="0"/>
      <w:marTop w:val="0"/>
      <w:marBottom w:val="0"/>
      <w:divBdr>
        <w:top w:val="none" w:sz="0" w:space="0" w:color="auto"/>
        <w:left w:val="none" w:sz="0" w:space="0" w:color="auto"/>
        <w:bottom w:val="none" w:sz="0" w:space="0" w:color="auto"/>
        <w:right w:val="none" w:sz="0" w:space="0" w:color="auto"/>
      </w:divBdr>
    </w:div>
    <w:div w:id="90051586">
      <w:marLeft w:val="0"/>
      <w:marRight w:val="0"/>
      <w:marTop w:val="0"/>
      <w:marBottom w:val="0"/>
      <w:divBdr>
        <w:top w:val="none" w:sz="0" w:space="0" w:color="auto"/>
        <w:left w:val="none" w:sz="0" w:space="0" w:color="auto"/>
        <w:bottom w:val="none" w:sz="0" w:space="0" w:color="auto"/>
        <w:right w:val="none" w:sz="0" w:space="0" w:color="auto"/>
      </w:divBdr>
    </w:div>
    <w:div w:id="90051587">
      <w:marLeft w:val="0"/>
      <w:marRight w:val="0"/>
      <w:marTop w:val="0"/>
      <w:marBottom w:val="0"/>
      <w:divBdr>
        <w:top w:val="none" w:sz="0" w:space="0" w:color="auto"/>
        <w:left w:val="none" w:sz="0" w:space="0" w:color="auto"/>
        <w:bottom w:val="none" w:sz="0" w:space="0" w:color="auto"/>
        <w:right w:val="none" w:sz="0" w:space="0" w:color="auto"/>
      </w:divBdr>
    </w:div>
    <w:div w:id="90051588">
      <w:marLeft w:val="0"/>
      <w:marRight w:val="0"/>
      <w:marTop w:val="0"/>
      <w:marBottom w:val="0"/>
      <w:divBdr>
        <w:top w:val="none" w:sz="0" w:space="0" w:color="auto"/>
        <w:left w:val="none" w:sz="0" w:space="0" w:color="auto"/>
        <w:bottom w:val="none" w:sz="0" w:space="0" w:color="auto"/>
        <w:right w:val="none" w:sz="0" w:space="0" w:color="auto"/>
      </w:divBdr>
    </w:div>
    <w:div w:id="90051589">
      <w:marLeft w:val="0"/>
      <w:marRight w:val="0"/>
      <w:marTop w:val="0"/>
      <w:marBottom w:val="0"/>
      <w:divBdr>
        <w:top w:val="none" w:sz="0" w:space="0" w:color="auto"/>
        <w:left w:val="none" w:sz="0" w:space="0" w:color="auto"/>
        <w:bottom w:val="none" w:sz="0" w:space="0" w:color="auto"/>
        <w:right w:val="none" w:sz="0" w:space="0" w:color="auto"/>
      </w:divBdr>
    </w:div>
    <w:div w:id="90051590">
      <w:marLeft w:val="0"/>
      <w:marRight w:val="0"/>
      <w:marTop w:val="0"/>
      <w:marBottom w:val="0"/>
      <w:divBdr>
        <w:top w:val="none" w:sz="0" w:space="0" w:color="auto"/>
        <w:left w:val="none" w:sz="0" w:space="0" w:color="auto"/>
        <w:bottom w:val="none" w:sz="0" w:space="0" w:color="auto"/>
        <w:right w:val="none" w:sz="0" w:space="0" w:color="auto"/>
      </w:divBdr>
    </w:div>
    <w:div w:id="90051591">
      <w:marLeft w:val="0"/>
      <w:marRight w:val="0"/>
      <w:marTop w:val="0"/>
      <w:marBottom w:val="0"/>
      <w:divBdr>
        <w:top w:val="none" w:sz="0" w:space="0" w:color="auto"/>
        <w:left w:val="none" w:sz="0" w:space="0" w:color="auto"/>
        <w:bottom w:val="none" w:sz="0" w:space="0" w:color="auto"/>
        <w:right w:val="none" w:sz="0" w:space="0" w:color="auto"/>
      </w:divBdr>
    </w:div>
    <w:div w:id="90051592">
      <w:marLeft w:val="0"/>
      <w:marRight w:val="0"/>
      <w:marTop w:val="0"/>
      <w:marBottom w:val="0"/>
      <w:divBdr>
        <w:top w:val="none" w:sz="0" w:space="0" w:color="auto"/>
        <w:left w:val="none" w:sz="0" w:space="0" w:color="auto"/>
        <w:bottom w:val="none" w:sz="0" w:space="0" w:color="auto"/>
        <w:right w:val="none" w:sz="0" w:space="0" w:color="auto"/>
      </w:divBdr>
    </w:div>
    <w:div w:id="90051593">
      <w:marLeft w:val="0"/>
      <w:marRight w:val="0"/>
      <w:marTop w:val="0"/>
      <w:marBottom w:val="0"/>
      <w:divBdr>
        <w:top w:val="none" w:sz="0" w:space="0" w:color="auto"/>
        <w:left w:val="none" w:sz="0" w:space="0" w:color="auto"/>
        <w:bottom w:val="none" w:sz="0" w:space="0" w:color="auto"/>
        <w:right w:val="none" w:sz="0" w:space="0" w:color="auto"/>
      </w:divBdr>
    </w:div>
    <w:div w:id="90051594">
      <w:marLeft w:val="0"/>
      <w:marRight w:val="0"/>
      <w:marTop w:val="0"/>
      <w:marBottom w:val="0"/>
      <w:divBdr>
        <w:top w:val="none" w:sz="0" w:space="0" w:color="auto"/>
        <w:left w:val="none" w:sz="0" w:space="0" w:color="auto"/>
        <w:bottom w:val="none" w:sz="0" w:space="0" w:color="auto"/>
        <w:right w:val="none" w:sz="0" w:space="0" w:color="auto"/>
      </w:divBdr>
    </w:div>
    <w:div w:id="90051595">
      <w:marLeft w:val="0"/>
      <w:marRight w:val="0"/>
      <w:marTop w:val="0"/>
      <w:marBottom w:val="0"/>
      <w:divBdr>
        <w:top w:val="none" w:sz="0" w:space="0" w:color="auto"/>
        <w:left w:val="none" w:sz="0" w:space="0" w:color="auto"/>
        <w:bottom w:val="none" w:sz="0" w:space="0" w:color="auto"/>
        <w:right w:val="none" w:sz="0" w:space="0" w:color="auto"/>
      </w:divBdr>
    </w:div>
    <w:div w:id="90051596">
      <w:marLeft w:val="0"/>
      <w:marRight w:val="0"/>
      <w:marTop w:val="0"/>
      <w:marBottom w:val="0"/>
      <w:divBdr>
        <w:top w:val="none" w:sz="0" w:space="0" w:color="auto"/>
        <w:left w:val="none" w:sz="0" w:space="0" w:color="auto"/>
        <w:bottom w:val="none" w:sz="0" w:space="0" w:color="auto"/>
        <w:right w:val="none" w:sz="0" w:space="0" w:color="auto"/>
      </w:divBdr>
    </w:div>
    <w:div w:id="90051597">
      <w:marLeft w:val="0"/>
      <w:marRight w:val="0"/>
      <w:marTop w:val="0"/>
      <w:marBottom w:val="0"/>
      <w:divBdr>
        <w:top w:val="none" w:sz="0" w:space="0" w:color="auto"/>
        <w:left w:val="none" w:sz="0" w:space="0" w:color="auto"/>
        <w:bottom w:val="none" w:sz="0" w:space="0" w:color="auto"/>
        <w:right w:val="none" w:sz="0" w:space="0" w:color="auto"/>
      </w:divBdr>
    </w:div>
    <w:div w:id="90051598">
      <w:marLeft w:val="0"/>
      <w:marRight w:val="0"/>
      <w:marTop w:val="0"/>
      <w:marBottom w:val="0"/>
      <w:divBdr>
        <w:top w:val="none" w:sz="0" w:space="0" w:color="auto"/>
        <w:left w:val="none" w:sz="0" w:space="0" w:color="auto"/>
        <w:bottom w:val="none" w:sz="0" w:space="0" w:color="auto"/>
        <w:right w:val="none" w:sz="0" w:space="0" w:color="auto"/>
      </w:divBdr>
    </w:div>
    <w:div w:id="90051599">
      <w:marLeft w:val="0"/>
      <w:marRight w:val="0"/>
      <w:marTop w:val="0"/>
      <w:marBottom w:val="0"/>
      <w:divBdr>
        <w:top w:val="none" w:sz="0" w:space="0" w:color="auto"/>
        <w:left w:val="none" w:sz="0" w:space="0" w:color="auto"/>
        <w:bottom w:val="none" w:sz="0" w:space="0" w:color="auto"/>
        <w:right w:val="none" w:sz="0" w:space="0" w:color="auto"/>
      </w:divBdr>
    </w:div>
    <w:div w:id="90051600">
      <w:marLeft w:val="0"/>
      <w:marRight w:val="0"/>
      <w:marTop w:val="0"/>
      <w:marBottom w:val="0"/>
      <w:divBdr>
        <w:top w:val="none" w:sz="0" w:space="0" w:color="auto"/>
        <w:left w:val="none" w:sz="0" w:space="0" w:color="auto"/>
        <w:bottom w:val="none" w:sz="0" w:space="0" w:color="auto"/>
        <w:right w:val="none" w:sz="0" w:space="0" w:color="auto"/>
      </w:divBdr>
    </w:div>
    <w:div w:id="90051601">
      <w:marLeft w:val="0"/>
      <w:marRight w:val="0"/>
      <w:marTop w:val="0"/>
      <w:marBottom w:val="0"/>
      <w:divBdr>
        <w:top w:val="none" w:sz="0" w:space="0" w:color="auto"/>
        <w:left w:val="none" w:sz="0" w:space="0" w:color="auto"/>
        <w:bottom w:val="none" w:sz="0" w:space="0" w:color="auto"/>
        <w:right w:val="none" w:sz="0" w:space="0" w:color="auto"/>
      </w:divBdr>
    </w:div>
    <w:div w:id="90051602">
      <w:marLeft w:val="0"/>
      <w:marRight w:val="0"/>
      <w:marTop w:val="0"/>
      <w:marBottom w:val="0"/>
      <w:divBdr>
        <w:top w:val="none" w:sz="0" w:space="0" w:color="auto"/>
        <w:left w:val="none" w:sz="0" w:space="0" w:color="auto"/>
        <w:bottom w:val="none" w:sz="0" w:space="0" w:color="auto"/>
        <w:right w:val="none" w:sz="0" w:space="0" w:color="auto"/>
      </w:divBdr>
    </w:div>
    <w:div w:id="90051603">
      <w:marLeft w:val="0"/>
      <w:marRight w:val="0"/>
      <w:marTop w:val="0"/>
      <w:marBottom w:val="0"/>
      <w:divBdr>
        <w:top w:val="none" w:sz="0" w:space="0" w:color="auto"/>
        <w:left w:val="none" w:sz="0" w:space="0" w:color="auto"/>
        <w:bottom w:val="none" w:sz="0" w:space="0" w:color="auto"/>
        <w:right w:val="none" w:sz="0" w:space="0" w:color="auto"/>
      </w:divBdr>
    </w:div>
    <w:div w:id="90051604">
      <w:marLeft w:val="0"/>
      <w:marRight w:val="0"/>
      <w:marTop w:val="0"/>
      <w:marBottom w:val="0"/>
      <w:divBdr>
        <w:top w:val="none" w:sz="0" w:space="0" w:color="auto"/>
        <w:left w:val="none" w:sz="0" w:space="0" w:color="auto"/>
        <w:bottom w:val="none" w:sz="0" w:space="0" w:color="auto"/>
        <w:right w:val="none" w:sz="0" w:space="0" w:color="auto"/>
      </w:divBdr>
    </w:div>
    <w:div w:id="90051605">
      <w:marLeft w:val="0"/>
      <w:marRight w:val="0"/>
      <w:marTop w:val="0"/>
      <w:marBottom w:val="0"/>
      <w:divBdr>
        <w:top w:val="none" w:sz="0" w:space="0" w:color="auto"/>
        <w:left w:val="none" w:sz="0" w:space="0" w:color="auto"/>
        <w:bottom w:val="none" w:sz="0" w:space="0" w:color="auto"/>
        <w:right w:val="none" w:sz="0" w:space="0" w:color="auto"/>
      </w:divBdr>
    </w:div>
    <w:div w:id="90051606">
      <w:marLeft w:val="0"/>
      <w:marRight w:val="0"/>
      <w:marTop w:val="0"/>
      <w:marBottom w:val="0"/>
      <w:divBdr>
        <w:top w:val="none" w:sz="0" w:space="0" w:color="auto"/>
        <w:left w:val="none" w:sz="0" w:space="0" w:color="auto"/>
        <w:bottom w:val="none" w:sz="0" w:space="0" w:color="auto"/>
        <w:right w:val="none" w:sz="0" w:space="0" w:color="auto"/>
      </w:divBdr>
    </w:div>
    <w:div w:id="90051607">
      <w:marLeft w:val="0"/>
      <w:marRight w:val="0"/>
      <w:marTop w:val="0"/>
      <w:marBottom w:val="0"/>
      <w:divBdr>
        <w:top w:val="none" w:sz="0" w:space="0" w:color="auto"/>
        <w:left w:val="none" w:sz="0" w:space="0" w:color="auto"/>
        <w:bottom w:val="none" w:sz="0" w:space="0" w:color="auto"/>
        <w:right w:val="none" w:sz="0" w:space="0" w:color="auto"/>
      </w:divBdr>
    </w:div>
    <w:div w:id="90051608">
      <w:marLeft w:val="0"/>
      <w:marRight w:val="0"/>
      <w:marTop w:val="0"/>
      <w:marBottom w:val="0"/>
      <w:divBdr>
        <w:top w:val="none" w:sz="0" w:space="0" w:color="auto"/>
        <w:left w:val="none" w:sz="0" w:space="0" w:color="auto"/>
        <w:bottom w:val="none" w:sz="0" w:space="0" w:color="auto"/>
        <w:right w:val="none" w:sz="0" w:space="0" w:color="auto"/>
      </w:divBdr>
    </w:div>
    <w:div w:id="90051609">
      <w:marLeft w:val="0"/>
      <w:marRight w:val="0"/>
      <w:marTop w:val="0"/>
      <w:marBottom w:val="0"/>
      <w:divBdr>
        <w:top w:val="none" w:sz="0" w:space="0" w:color="auto"/>
        <w:left w:val="none" w:sz="0" w:space="0" w:color="auto"/>
        <w:bottom w:val="none" w:sz="0" w:space="0" w:color="auto"/>
        <w:right w:val="none" w:sz="0" w:space="0" w:color="auto"/>
      </w:divBdr>
    </w:div>
    <w:div w:id="90051610">
      <w:marLeft w:val="0"/>
      <w:marRight w:val="0"/>
      <w:marTop w:val="0"/>
      <w:marBottom w:val="0"/>
      <w:divBdr>
        <w:top w:val="none" w:sz="0" w:space="0" w:color="auto"/>
        <w:left w:val="none" w:sz="0" w:space="0" w:color="auto"/>
        <w:bottom w:val="none" w:sz="0" w:space="0" w:color="auto"/>
        <w:right w:val="none" w:sz="0" w:space="0" w:color="auto"/>
      </w:divBdr>
    </w:div>
    <w:div w:id="90051611">
      <w:marLeft w:val="0"/>
      <w:marRight w:val="0"/>
      <w:marTop w:val="0"/>
      <w:marBottom w:val="0"/>
      <w:divBdr>
        <w:top w:val="none" w:sz="0" w:space="0" w:color="auto"/>
        <w:left w:val="none" w:sz="0" w:space="0" w:color="auto"/>
        <w:bottom w:val="none" w:sz="0" w:space="0" w:color="auto"/>
        <w:right w:val="none" w:sz="0" w:space="0" w:color="auto"/>
      </w:divBdr>
    </w:div>
    <w:div w:id="90051612">
      <w:marLeft w:val="0"/>
      <w:marRight w:val="0"/>
      <w:marTop w:val="0"/>
      <w:marBottom w:val="0"/>
      <w:divBdr>
        <w:top w:val="none" w:sz="0" w:space="0" w:color="auto"/>
        <w:left w:val="none" w:sz="0" w:space="0" w:color="auto"/>
        <w:bottom w:val="none" w:sz="0" w:space="0" w:color="auto"/>
        <w:right w:val="none" w:sz="0" w:space="0" w:color="auto"/>
      </w:divBdr>
    </w:div>
    <w:div w:id="90051613">
      <w:marLeft w:val="0"/>
      <w:marRight w:val="0"/>
      <w:marTop w:val="0"/>
      <w:marBottom w:val="0"/>
      <w:divBdr>
        <w:top w:val="none" w:sz="0" w:space="0" w:color="auto"/>
        <w:left w:val="none" w:sz="0" w:space="0" w:color="auto"/>
        <w:bottom w:val="none" w:sz="0" w:space="0" w:color="auto"/>
        <w:right w:val="none" w:sz="0" w:space="0" w:color="auto"/>
      </w:divBdr>
    </w:div>
    <w:div w:id="90051614">
      <w:marLeft w:val="0"/>
      <w:marRight w:val="0"/>
      <w:marTop w:val="0"/>
      <w:marBottom w:val="0"/>
      <w:divBdr>
        <w:top w:val="none" w:sz="0" w:space="0" w:color="auto"/>
        <w:left w:val="none" w:sz="0" w:space="0" w:color="auto"/>
        <w:bottom w:val="none" w:sz="0" w:space="0" w:color="auto"/>
        <w:right w:val="none" w:sz="0" w:space="0" w:color="auto"/>
      </w:divBdr>
    </w:div>
    <w:div w:id="90051615">
      <w:marLeft w:val="0"/>
      <w:marRight w:val="0"/>
      <w:marTop w:val="0"/>
      <w:marBottom w:val="0"/>
      <w:divBdr>
        <w:top w:val="none" w:sz="0" w:space="0" w:color="auto"/>
        <w:left w:val="none" w:sz="0" w:space="0" w:color="auto"/>
        <w:bottom w:val="none" w:sz="0" w:space="0" w:color="auto"/>
        <w:right w:val="none" w:sz="0" w:space="0" w:color="auto"/>
      </w:divBdr>
    </w:div>
    <w:div w:id="90051616">
      <w:marLeft w:val="0"/>
      <w:marRight w:val="0"/>
      <w:marTop w:val="0"/>
      <w:marBottom w:val="0"/>
      <w:divBdr>
        <w:top w:val="none" w:sz="0" w:space="0" w:color="auto"/>
        <w:left w:val="none" w:sz="0" w:space="0" w:color="auto"/>
        <w:bottom w:val="none" w:sz="0" w:space="0" w:color="auto"/>
        <w:right w:val="none" w:sz="0" w:space="0" w:color="auto"/>
      </w:divBdr>
    </w:div>
    <w:div w:id="90051617">
      <w:marLeft w:val="0"/>
      <w:marRight w:val="0"/>
      <w:marTop w:val="0"/>
      <w:marBottom w:val="0"/>
      <w:divBdr>
        <w:top w:val="none" w:sz="0" w:space="0" w:color="auto"/>
        <w:left w:val="none" w:sz="0" w:space="0" w:color="auto"/>
        <w:bottom w:val="none" w:sz="0" w:space="0" w:color="auto"/>
        <w:right w:val="none" w:sz="0" w:space="0" w:color="auto"/>
      </w:divBdr>
    </w:div>
    <w:div w:id="90051618">
      <w:marLeft w:val="0"/>
      <w:marRight w:val="0"/>
      <w:marTop w:val="0"/>
      <w:marBottom w:val="0"/>
      <w:divBdr>
        <w:top w:val="none" w:sz="0" w:space="0" w:color="auto"/>
        <w:left w:val="none" w:sz="0" w:space="0" w:color="auto"/>
        <w:bottom w:val="none" w:sz="0" w:space="0" w:color="auto"/>
        <w:right w:val="none" w:sz="0" w:space="0" w:color="auto"/>
      </w:divBdr>
    </w:div>
    <w:div w:id="90051619">
      <w:marLeft w:val="0"/>
      <w:marRight w:val="0"/>
      <w:marTop w:val="0"/>
      <w:marBottom w:val="0"/>
      <w:divBdr>
        <w:top w:val="none" w:sz="0" w:space="0" w:color="auto"/>
        <w:left w:val="none" w:sz="0" w:space="0" w:color="auto"/>
        <w:bottom w:val="none" w:sz="0" w:space="0" w:color="auto"/>
        <w:right w:val="none" w:sz="0" w:space="0" w:color="auto"/>
      </w:divBdr>
    </w:div>
    <w:div w:id="90051620">
      <w:marLeft w:val="0"/>
      <w:marRight w:val="0"/>
      <w:marTop w:val="0"/>
      <w:marBottom w:val="0"/>
      <w:divBdr>
        <w:top w:val="none" w:sz="0" w:space="0" w:color="auto"/>
        <w:left w:val="none" w:sz="0" w:space="0" w:color="auto"/>
        <w:bottom w:val="none" w:sz="0" w:space="0" w:color="auto"/>
        <w:right w:val="none" w:sz="0" w:space="0" w:color="auto"/>
      </w:divBdr>
    </w:div>
    <w:div w:id="90051621">
      <w:marLeft w:val="0"/>
      <w:marRight w:val="0"/>
      <w:marTop w:val="0"/>
      <w:marBottom w:val="0"/>
      <w:divBdr>
        <w:top w:val="none" w:sz="0" w:space="0" w:color="auto"/>
        <w:left w:val="none" w:sz="0" w:space="0" w:color="auto"/>
        <w:bottom w:val="none" w:sz="0" w:space="0" w:color="auto"/>
        <w:right w:val="none" w:sz="0" w:space="0" w:color="auto"/>
      </w:divBdr>
    </w:div>
    <w:div w:id="90051622">
      <w:marLeft w:val="0"/>
      <w:marRight w:val="0"/>
      <w:marTop w:val="0"/>
      <w:marBottom w:val="0"/>
      <w:divBdr>
        <w:top w:val="none" w:sz="0" w:space="0" w:color="auto"/>
        <w:left w:val="none" w:sz="0" w:space="0" w:color="auto"/>
        <w:bottom w:val="none" w:sz="0" w:space="0" w:color="auto"/>
        <w:right w:val="none" w:sz="0" w:space="0" w:color="auto"/>
      </w:divBdr>
    </w:div>
    <w:div w:id="90051623">
      <w:marLeft w:val="0"/>
      <w:marRight w:val="0"/>
      <w:marTop w:val="0"/>
      <w:marBottom w:val="0"/>
      <w:divBdr>
        <w:top w:val="none" w:sz="0" w:space="0" w:color="auto"/>
        <w:left w:val="none" w:sz="0" w:space="0" w:color="auto"/>
        <w:bottom w:val="none" w:sz="0" w:space="0" w:color="auto"/>
        <w:right w:val="none" w:sz="0" w:space="0" w:color="auto"/>
      </w:divBdr>
    </w:div>
    <w:div w:id="90051624">
      <w:marLeft w:val="0"/>
      <w:marRight w:val="0"/>
      <w:marTop w:val="0"/>
      <w:marBottom w:val="0"/>
      <w:divBdr>
        <w:top w:val="none" w:sz="0" w:space="0" w:color="auto"/>
        <w:left w:val="none" w:sz="0" w:space="0" w:color="auto"/>
        <w:bottom w:val="none" w:sz="0" w:space="0" w:color="auto"/>
        <w:right w:val="none" w:sz="0" w:space="0" w:color="auto"/>
      </w:divBdr>
    </w:div>
    <w:div w:id="90051625">
      <w:marLeft w:val="0"/>
      <w:marRight w:val="0"/>
      <w:marTop w:val="0"/>
      <w:marBottom w:val="0"/>
      <w:divBdr>
        <w:top w:val="none" w:sz="0" w:space="0" w:color="auto"/>
        <w:left w:val="none" w:sz="0" w:space="0" w:color="auto"/>
        <w:bottom w:val="none" w:sz="0" w:space="0" w:color="auto"/>
        <w:right w:val="none" w:sz="0" w:space="0" w:color="auto"/>
      </w:divBdr>
    </w:div>
    <w:div w:id="90051626">
      <w:marLeft w:val="0"/>
      <w:marRight w:val="0"/>
      <w:marTop w:val="0"/>
      <w:marBottom w:val="0"/>
      <w:divBdr>
        <w:top w:val="none" w:sz="0" w:space="0" w:color="auto"/>
        <w:left w:val="none" w:sz="0" w:space="0" w:color="auto"/>
        <w:bottom w:val="none" w:sz="0" w:space="0" w:color="auto"/>
        <w:right w:val="none" w:sz="0" w:space="0" w:color="auto"/>
      </w:divBdr>
    </w:div>
    <w:div w:id="90051627">
      <w:marLeft w:val="0"/>
      <w:marRight w:val="0"/>
      <w:marTop w:val="0"/>
      <w:marBottom w:val="0"/>
      <w:divBdr>
        <w:top w:val="none" w:sz="0" w:space="0" w:color="auto"/>
        <w:left w:val="none" w:sz="0" w:space="0" w:color="auto"/>
        <w:bottom w:val="none" w:sz="0" w:space="0" w:color="auto"/>
        <w:right w:val="none" w:sz="0" w:space="0" w:color="auto"/>
      </w:divBdr>
    </w:div>
    <w:div w:id="90051628">
      <w:marLeft w:val="0"/>
      <w:marRight w:val="0"/>
      <w:marTop w:val="0"/>
      <w:marBottom w:val="0"/>
      <w:divBdr>
        <w:top w:val="none" w:sz="0" w:space="0" w:color="auto"/>
        <w:left w:val="none" w:sz="0" w:space="0" w:color="auto"/>
        <w:bottom w:val="none" w:sz="0" w:space="0" w:color="auto"/>
        <w:right w:val="none" w:sz="0" w:space="0" w:color="auto"/>
      </w:divBdr>
    </w:div>
    <w:div w:id="90051629">
      <w:marLeft w:val="0"/>
      <w:marRight w:val="0"/>
      <w:marTop w:val="0"/>
      <w:marBottom w:val="0"/>
      <w:divBdr>
        <w:top w:val="none" w:sz="0" w:space="0" w:color="auto"/>
        <w:left w:val="none" w:sz="0" w:space="0" w:color="auto"/>
        <w:bottom w:val="none" w:sz="0" w:space="0" w:color="auto"/>
        <w:right w:val="none" w:sz="0" w:space="0" w:color="auto"/>
      </w:divBdr>
    </w:div>
    <w:div w:id="90051630">
      <w:marLeft w:val="0"/>
      <w:marRight w:val="0"/>
      <w:marTop w:val="0"/>
      <w:marBottom w:val="0"/>
      <w:divBdr>
        <w:top w:val="none" w:sz="0" w:space="0" w:color="auto"/>
        <w:left w:val="none" w:sz="0" w:space="0" w:color="auto"/>
        <w:bottom w:val="none" w:sz="0" w:space="0" w:color="auto"/>
        <w:right w:val="none" w:sz="0" w:space="0" w:color="auto"/>
      </w:divBdr>
    </w:div>
    <w:div w:id="90051631">
      <w:marLeft w:val="0"/>
      <w:marRight w:val="0"/>
      <w:marTop w:val="0"/>
      <w:marBottom w:val="0"/>
      <w:divBdr>
        <w:top w:val="none" w:sz="0" w:space="0" w:color="auto"/>
        <w:left w:val="none" w:sz="0" w:space="0" w:color="auto"/>
        <w:bottom w:val="none" w:sz="0" w:space="0" w:color="auto"/>
        <w:right w:val="none" w:sz="0" w:space="0" w:color="auto"/>
      </w:divBdr>
    </w:div>
    <w:div w:id="90051632">
      <w:marLeft w:val="0"/>
      <w:marRight w:val="0"/>
      <w:marTop w:val="0"/>
      <w:marBottom w:val="0"/>
      <w:divBdr>
        <w:top w:val="none" w:sz="0" w:space="0" w:color="auto"/>
        <w:left w:val="none" w:sz="0" w:space="0" w:color="auto"/>
        <w:bottom w:val="none" w:sz="0" w:space="0" w:color="auto"/>
        <w:right w:val="none" w:sz="0" w:space="0" w:color="auto"/>
      </w:divBdr>
    </w:div>
    <w:div w:id="90051633">
      <w:marLeft w:val="0"/>
      <w:marRight w:val="0"/>
      <w:marTop w:val="0"/>
      <w:marBottom w:val="0"/>
      <w:divBdr>
        <w:top w:val="none" w:sz="0" w:space="0" w:color="auto"/>
        <w:left w:val="none" w:sz="0" w:space="0" w:color="auto"/>
        <w:bottom w:val="none" w:sz="0" w:space="0" w:color="auto"/>
        <w:right w:val="none" w:sz="0" w:space="0" w:color="auto"/>
      </w:divBdr>
    </w:div>
    <w:div w:id="90051634">
      <w:marLeft w:val="0"/>
      <w:marRight w:val="0"/>
      <w:marTop w:val="0"/>
      <w:marBottom w:val="0"/>
      <w:divBdr>
        <w:top w:val="none" w:sz="0" w:space="0" w:color="auto"/>
        <w:left w:val="none" w:sz="0" w:space="0" w:color="auto"/>
        <w:bottom w:val="none" w:sz="0" w:space="0" w:color="auto"/>
        <w:right w:val="none" w:sz="0" w:space="0" w:color="auto"/>
      </w:divBdr>
    </w:div>
    <w:div w:id="90051635">
      <w:marLeft w:val="0"/>
      <w:marRight w:val="0"/>
      <w:marTop w:val="0"/>
      <w:marBottom w:val="0"/>
      <w:divBdr>
        <w:top w:val="none" w:sz="0" w:space="0" w:color="auto"/>
        <w:left w:val="none" w:sz="0" w:space="0" w:color="auto"/>
        <w:bottom w:val="none" w:sz="0" w:space="0" w:color="auto"/>
        <w:right w:val="none" w:sz="0" w:space="0" w:color="auto"/>
      </w:divBdr>
    </w:div>
    <w:div w:id="90051636">
      <w:marLeft w:val="0"/>
      <w:marRight w:val="0"/>
      <w:marTop w:val="0"/>
      <w:marBottom w:val="0"/>
      <w:divBdr>
        <w:top w:val="none" w:sz="0" w:space="0" w:color="auto"/>
        <w:left w:val="none" w:sz="0" w:space="0" w:color="auto"/>
        <w:bottom w:val="none" w:sz="0" w:space="0" w:color="auto"/>
        <w:right w:val="none" w:sz="0" w:space="0" w:color="auto"/>
      </w:divBdr>
    </w:div>
    <w:div w:id="90051637">
      <w:marLeft w:val="0"/>
      <w:marRight w:val="0"/>
      <w:marTop w:val="0"/>
      <w:marBottom w:val="0"/>
      <w:divBdr>
        <w:top w:val="none" w:sz="0" w:space="0" w:color="auto"/>
        <w:left w:val="none" w:sz="0" w:space="0" w:color="auto"/>
        <w:bottom w:val="none" w:sz="0" w:space="0" w:color="auto"/>
        <w:right w:val="none" w:sz="0" w:space="0" w:color="auto"/>
      </w:divBdr>
    </w:div>
    <w:div w:id="90051638">
      <w:marLeft w:val="0"/>
      <w:marRight w:val="0"/>
      <w:marTop w:val="0"/>
      <w:marBottom w:val="0"/>
      <w:divBdr>
        <w:top w:val="none" w:sz="0" w:space="0" w:color="auto"/>
        <w:left w:val="none" w:sz="0" w:space="0" w:color="auto"/>
        <w:bottom w:val="none" w:sz="0" w:space="0" w:color="auto"/>
        <w:right w:val="none" w:sz="0" w:space="0" w:color="auto"/>
      </w:divBdr>
    </w:div>
    <w:div w:id="90051639">
      <w:marLeft w:val="0"/>
      <w:marRight w:val="0"/>
      <w:marTop w:val="0"/>
      <w:marBottom w:val="0"/>
      <w:divBdr>
        <w:top w:val="none" w:sz="0" w:space="0" w:color="auto"/>
        <w:left w:val="none" w:sz="0" w:space="0" w:color="auto"/>
        <w:bottom w:val="none" w:sz="0" w:space="0" w:color="auto"/>
        <w:right w:val="none" w:sz="0" w:space="0" w:color="auto"/>
      </w:divBdr>
    </w:div>
    <w:div w:id="90051640">
      <w:marLeft w:val="0"/>
      <w:marRight w:val="0"/>
      <w:marTop w:val="0"/>
      <w:marBottom w:val="0"/>
      <w:divBdr>
        <w:top w:val="none" w:sz="0" w:space="0" w:color="auto"/>
        <w:left w:val="none" w:sz="0" w:space="0" w:color="auto"/>
        <w:bottom w:val="none" w:sz="0" w:space="0" w:color="auto"/>
        <w:right w:val="none" w:sz="0" w:space="0" w:color="auto"/>
      </w:divBdr>
    </w:div>
    <w:div w:id="90051641">
      <w:marLeft w:val="0"/>
      <w:marRight w:val="0"/>
      <w:marTop w:val="0"/>
      <w:marBottom w:val="0"/>
      <w:divBdr>
        <w:top w:val="none" w:sz="0" w:space="0" w:color="auto"/>
        <w:left w:val="none" w:sz="0" w:space="0" w:color="auto"/>
        <w:bottom w:val="none" w:sz="0" w:space="0" w:color="auto"/>
        <w:right w:val="none" w:sz="0" w:space="0" w:color="auto"/>
      </w:divBdr>
    </w:div>
    <w:div w:id="90051642">
      <w:marLeft w:val="0"/>
      <w:marRight w:val="0"/>
      <w:marTop w:val="0"/>
      <w:marBottom w:val="0"/>
      <w:divBdr>
        <w:top w:val="none" w:sz="0" w:space="0" w:color="auto"/>
        <w:left w:val="none" w:sz="0" w:space="0" w:color="auto"/>
        <w:bottom w:val="none" w:sz="0" w:space="0" w:color="auto"/>
        <w:right w:val="none" w:sz="0" w:space="0" w:color="auto"/>
      </w:divBdr>
    </w:div>
    <w:div w:id="90051643">
      <w:marLeft w:val="0"/>
      <w:marRight w:val="0"/>
      <w:marTop w:val="0"/>
      <w:marBottom w:val="0"/>
      <w:divBdr>
        <w:top w:val="none" w:sz="0" w:space="0" w:color="auto"/>
        <w:left w:val="none" w:sz="0" w:space="0" w:color="auto"/>
        <w:bottom w:val="none" w:sz="0" w:space="0" w:color="auto"/>
        <w:right w:val="none" w:sz="0" w:space="0" w:color="auto"/>
      </w:divBdr>
    </w:div>
    <w:div w:id="90051644">
      <w:marLeft w:val="0"/>
      <w:marRight w:val="0"/>
      <w:marTop w:val="0"/>
      <w:marBottom w:val="0"/>
      <w:divBdr>
        <w:top w:val="none" w:sz="0" w:space="0" w:color="auto"/>
        <w:left w:val="none" w:sz="0" w:space="0" w:color="auto"/>
        <w:bottom w:val="none" w:sz="0" w:space="0" w:color="auto"/>
        <w:right w:val="none" w:sz="0" w:space="0" w:color="auto"/>
      </w:divBdr>
    </w:div>
    <w:div w:id="90051645">
      <w:marLeft w:val="0"/>
      <w:marRight w:val="0"/>
      <w:marTop w:val="0"/>
      <w:marBottom w:val="0"/>
      <w:divBdr>
        <w:top w:val="none" w:sz="0" w:space="0" w:color="auto"/>
        <w:left w:val="none" w:sz="0" w:space="0" w:color="auto"/>
        <w:bottom w:val="none" w:sz="0" w:space="0" w:color="auto"/>
        <w:right w:val="none" w:sz="0" w:space="0" w:color="auto"/>
      </w:divBdr>
    </w:div>
    <w:div w:id="90051646">
      <w:marLeft w:val="0"/>
      <w:marRight w:val="0"/>
      <w:marTop w:val="0"/>
      <w:marBottom w:val="0"/>
      <w:divBdr>
        <w:top w:val="none" w:sz="0" w:space="0" w:color="auto"/>
        <w:left w:val="none" w:sz="0" w:space="0" w:color="auto"/>
        <w:bottom w:val="none" w:sz="0" w:space="0" w:color="auto"/>
        <w:right w:val="none" w:sz="0" w:space="0" w:color="auto"/>
      </w:divBdr>
    </w:div>
    <w:div w:id="90051647">
      <w:marLeft w:val="0"/>
      <w:marRight w:val="0"/>
      <w:marTop w:val="0"/>
      <w:marBottom w:val="0"/>
      <w:divBdr>
        <w:top w:val="none" w:sz="0" w:space="0" w:color="auto"/>
        <w:left w:val="none" w:sz="0" w:space="0" w:color="auto"/>
        <w:bottom w:val="none" w:sz="0" w:space="0" w:color="auto"/>
        <w:right w:val="none" w:sz="0" w:space="0" w:color="auto"/>
      </w:divBdr>
    </w:div>
    <w:div w:id="90051648">
      <w:marLeft w:val="0"/>
      <w:marRight w:val="0"/>
      <w:marTop w:val="0"/>
      <w:marBottom w:val="0"/>
      <w:divBdr>
        <w:top w:val="none" w:sz="0" w:space="0" w:color="auto"/>
        <w:left w:val="none" w:sz="0" w:space="0" w:color="auto"/>
        <w:bottom w:val="none" w:sz="0" w:space="0" w:color="auto"/>
        <w:right w:val="none" w:sz="0" w:space="0" w:color="auto"/>
      </w:divBdr>
    </w:div>
    <w:div w:id="90051649">
      <w:marLeft w:val="0"/>
      <w:marRight w:val="0"/>
      <w:marTop w:val="0"/>
      <w:marBottom w:val="0"/>
      <w:divBdr>
        <w:top w:val="none" w:sz="0" w:space="0" w:color="auto"/>
        <w:left w:val="none" w:sz="0" w:space="0" w:color="auto"/>
        <w:bottom w:val="none" w:sz="0" w:space="0" w:color="auto"/>
        <w:right w:val="none" w:sz="0" w:space="0" w:color="auto"/>
      </w:divBdr>
    </w:div>
    <w:div w:id="90051650">
      <w:marLeft w:val="0"/>
      <w:marRight w:val="0"/>
      <w:marTop w:val="0"/>
      <w:marBottom w:val="0"/>
      <w:divBdr>
        <w:top w:val="none" w:sz="0" w:space="0" w:color="auto"/>
        <w:left w:val="none" w:sz="0" w:space="0" w:color="auto"/>
        <w:bottom w:val="none" w:sz="0" w:space="0" w:color="auto"/>
        <w:right w:val="none" w:sz="0" w:space="0" w:color="auto"/>
      </w:divBdr>
    </w:div>
    <w:div w:id="90051651">
      <w:marLeft w:val="0"/>
      <w:marRight w:val="0"/>
      <w:marTop w:val="0"/>
      <w:marBottom w:val="0"/>
      <w:divBdr>
        <w:top w:val="none" w:sz="0" w:space="0" w:color="auto"/>
        <w:left w:val="none" w:sz="0" w:space="0" w:color="auto"/>
        <w:bottom w:val="none" w:sz="0" w:space="0" w:color="auto"/>
        <w:right w:val="none" w:sz="0" w:space="0" w:color="auto"/>
      </w:divBdr>
    </w:div>
    <w:div w:id="90051652">
      <w:marLeft w:val="0"/>
      <w:marRight w:val="0"/>
      <w:marTop w:val="0"/>
      <w:marBottom w:val="0"/>
      <w:divBdr>
        <w:top w:val="none" w:sz="0" w:space="0" w:color="auto"/>
        <w:left w:val="none" w:sz="0" w:space="0" w:color="auto"/>
        <w:bottom w:val="none" w:sz="0" w:space="0" w:color="auto"/>
        <w:right w:val="none" w:sz="0" w:space="0" w:color="auto"/>
      </w:divBdr>
    </w:div>
    <w:div w:id="90051653">
      <w:marLeft w:val="0"/>
      <w:marRight w:val="0"/>
      <w:marTop w:val="0"/>
      <w:marBottom w:val="0"/>
      <w:divBdr>
        <w:top w:val="none" w:sz="0" w:space="0" w:color="auto"/>
        <w:left w:val="none" w:sz="0" w:space="0" w:color="auto"/>
        <w:bottom w:val="none" w:sz="0" w:space="0" w:color="auto"/>
        <w:right w:val="none" w:sz="0" w:space="0" w:color="auto"/>
      </w:divBdr>
    </w:div>
    <w:div w:id="90051654">
      <w:marLeft w:val="0"/>
      <w:marRight w:val="0"/>
      <w:marTop w:val="0"/>
      <w:marBottom w:val="0"/>
      <w:divBdr>
        <w:top w:val="none" w:sz="0" w:space="0" w:color="auto"/>
        <w:left w:val="none" w:sz="0" w:space="0" w:color="auto"/>
        <w:bottom w:val="none" w:sz="0" w:space="0" w:color="auto"/>
        <w:right w:val="none" w:sz="0" w:space="0" w:color="auto"/>
      </w:divBdr>
    </w:div>
    <w:div w:id="90051655">
      <w:marLeft w:val="0"/>
      <w:marRight w:val="0"/>
      <w:marTop w:val="0"/>
      <w:marBottom w:val="0"/>
      <w:divBdr>
        <w:top w:val="none" w:sz="0" w:space="0" w:color="auto"/>
        <w:left w:val="none" w:sz="0" w:space="0" w:color="auto"/>
        <w:bottom w:val="none" w:sz="0" w:space="0" w:color="auto"/>
        <w:right w:val="none" w:sz="0" w:space="0" w:color="auto"/>
      </w:divBdr>
    </w:div>
    <w:div w:id="90051656">
      <w:marLeft w:val="0"/>
      <w:marRight w:val="0"/>
      <w:marTop w:val="0"/>
      <w:marBottom w:val="0"/>
      <w:divBdr>
        <w:top w:val="none" w:sz="0" w:space="0" w:color="auto"/>
        <w:left w:val="none" w:sz="0" w:space="0" w:color="auto"/>
        <w:bottom w:val="none" w:sz="0" w:space="0" w:color="auto"/>
        <w:right w:val="none" w:sz="0" w:space="0" w:color="auto"/>
      </w:divBdr>
    </w:div>
    <w:div w:id="90051657">
      <w:marLeft w:val="0"/>
      <w:marRight w:val="0"/>
      <w:marTop w:val="0"/>
      <w:marBottom w:val="0"/>
      <w:divBdr>
        <w:top w:val="none" w:sz="0" w:space="0" w:color="auto"/>
        <w:left w:val="none" w:sz="0" w:space="0" w:color="auto"/>
        <w:bottom w:val="none" w:sz="0" w:space="0" w:color="auto"/>
        <w:right w:val="none" w:sz="0" w:space="0" w:color="auto"/>
      </w:divBdr>
    </w:div>
    <w:div w:id="90051658">
      <w:marLeft w:val="0"/>
      <w:marRight w:val="0"/>
      <w:marTop w:val="0"/>
      <w:marBottom w:val="0"/>
      <w:divBdr>
        <w:top w:val="none" w:sz="0" w:space="0" w:color="auto"/>
        <w:left w:val="none" w:sz="0" w:space="0" w:color="auto"/>
        <w:bottom w:val="none" w:sz="0" w:space="0" w:color="auto"/>
        <w:right w:val="none" w:sz="0" w:space="0" w:color="auto"/>
      </w:divBdr>
    </w:div>
    <w:div w:id="90051659">
      <w:marLeft w:val="0"/>
      <w:marRight w:val="0"/>
      <w:marTop w:val="0"/>
      <w:marBottom w:val="0"/>
      <w:divBdr>
        <w:top w:val="none" w:sz="0" w:space="0" w:color="auto"/>
        <w:left w:val="none" w:sz="0" w:space="0" w:color="auto"/>
        <w:bottom w:val="none" w:sz="0" w:space="0" w:color="auto"/>
        <w:right w:val="none" w:sz="0" w:space="0" w:color="auto"/>
      </w:divBdr>
    </w:div>
    <w:div w:id="90051660">
      <w:marLeft w:val="0"/>
      <w:marRight w:val="0"/>
      <w:marTop w:val="0"/>
      <w:marBottom w:val="0"/>
      <w:divBdr>
        <w:top w:val="none" w:sz="0" w:space="0" w:color="auto"/>
        <w:left w:val="none" w:sz="0" w:space="0" w:color="auto"/>
        <w:bottom w:val="none" w:sz="0" w:space="0" w:color="auto"/>
        <w:right w:val="none" w:sz="0" w:space="0" w:color="auto"/>
      </w:divBdr>
    </w:div>
    <w:div w:id="90051661">
      <w:marLeft w:val="0"/>
      <w:marRight w:val="0"/>
      <w:marTop w:val="0"/>
      <w:marBottom w:val="0"/>
      <w:divBdr>
        <w:top w:val="none" w:sz="0" w:space="0" w:color="auto"/>
        <w:left w:val="none" w:sz="0" w:space="0" w:color="auto"/>
        <w:bottom w:val="none" w:sz="0" w:space="0" w:color="auto"/>
        <w:right w:val="none" w:sz="0" w:space="0" w:color="auto"/>
      </w:divBdr>
    </w:div>
    <w:div w:id="90051662">
      <w:marLeft w:val="0"/>
      <w:marRight w:val="0"/>
      <w:marTop w:val="0"/>
      <w:marBottom w:val="0"/>
      <w:divBdr>
        <w:top w:val="none" w:sz="0" w:space="0" w:color="auto"/>
        <w:left w:val="none" w:sz="0" w:space="0" w:color="auto"/>
        <w:bottom w:val="none" w:sz="0" w:space="0" w:color="auto"/>
        <w:right w:val="none" w:sz="0" w:space="0" w:color="auto"/>
      </w:divBdr>
    </w:div>
    <w:div w:id="90051663">
      <w:marLeft w:val="0"/>
      <w:marRight w:val="0"/>
      <w:marTop w:val="0"/>
      <w:marBottom w:val="0"/>
      <w:divBdr>
        <w:top w:val="none" w:sz="0" w:space="0" w:color="auto"/>
        <w:left w:val="none" w:sz="0" w:space="0" w:color="auto"/>
        <w:bottom w:val="none" w:sz="0" w:space="0" w:color="auto"/>
        <w:right w:val="none" w:sz="0" w:space="0" w:color="auto"/>
      </w:divBdr>
    </w:div>
    <w:div w:id="90051664">
      <w:marLeft w:val="0"/>
      <w:marRight w:val="0"/>
      <w:marTop w:val="0"/>
      <w:marBottom w:val="0"/>
      <w:divBdr>
        <w:top w:val="none" w:sz="0" w:space="0" w:color="auto"/>
        <w:left w:val="none" w:sz="0" w:space="0" w:color="auto"/>
        <w:bottom w:val="none" w:sz="0" w:space="0" w:color="auto"/>
        <w:right w:val="none" w:sz="0" w:space="0" w:color="auto"/>
      </w:divBdr>
    </w:div>
    <w:div w:id="90051665">
      <w:marLeft w:val="0"/>
      <w:marRight w:val="0"/>
      <w:marTop w:val="0"/>
      <w:marBottom w:val="0"/>
      <w:divBdr>
        <w:top w:val="none" w:sz="0" w:space="0" w:color="auto"/>
        <w:left w:val="none" w:sz="0" w:space="0" w:color="auto"/>
        <w:bottom w:val="none" w:sz="0" w:space="0" w:color="auto"/>
        <w:right w:val="none" w:sz="0" w:space="0" w:color="auto"/>
      </w:divBdr>
    </w:div>
    <w:div w:id="90051666">
      <w:marLeft w:val="0"/>
      <w:marRight w:val="0"/>
      <w:marTop w:val="0"/>
      <w:marBottom w:val="0"/>
      <w:divBdr>
        <w:top w:val="none" w:sz="0" w:space="0" w:color="auto"/>
        <w:left w:val="none" w:sz="0" w:space="0" w:color="auto"/>
        <w:bottom w:val="none" w:sz="0" w:space="0" w:color="auto"/>
        <w:right w:val="none" w:sz="0" w:space="0" w:color="auto"/>
      </w:divBdr>
    </w:div>
    <w:div w:id="90051667">
      <w:marLeft w:val="0"/>
      <w:marRight w:val="0"/>
      <w:marTop w:val="0"/>
      <w:marBottom w:val="0"/>
      <w:divBdr>
        <w:top w:val="none" w:sz="0" w:space="0" w:color="auto"/>
        <w:left w:val="none" w:sz="0" w:space="0" w:color="auto"/>
        <w:bottom w:val="none" w:sz="0" w:space="0" w:color="auto"/>
        <w:right w:val="none" w:sz="0" w:space="0" w:color="auto"/>
      </w:divBdr>
    </w:div>
    <w:div w:id="90051669">
      <w:marLeft w:val="0"/>
      <w:marRight w:val="0"/>
      <w:marTop w:val="0"/>
      <w:marBottom w:val="0"/>
      <w:divBdr>
        <w:top w:val="none" w:sz="0" w:space="0" w:color="auto"/>
        <w:left w:val="none" w:sz="0" w:space="0" w:color="auto"/>
        <w:bottom w:val="none" w:sz="0" w:space="0" w:color="auto"/>
        <w:right w:val="none" w:sz="0" w:space="0" w:color="auto"/>
      </w:divBdr>
    </w:div>
    <w:div w:id="90051670">
      <w:marLeft w:val="0"/>
      <w:marRight w:val="0"/>
      <w:marTop w:val="0"/>
      <w:marBottom w:val="0"/>
      <w:divBdr>
        <w:top w:val="none" w:sz="0" w:space="0" w:color="auto"/>
        <w:left w:val="none" w:sz="0" w:space="0" w:color="auto"/>
        <w:bottom w:val="none" w:sz="0" w:space="0" w:color="auto"/>
        <w:right w:val="none" w:sz="0" w:space="0" w:color="auto"/>
      </w:divBdr>
    </w:div>
    <w:div w:id="90051671">
      <w:marLeft w:val="0"/>
      <w:marRight w:val="0"/>
      <w:marTop w:val="0"/>
      <w:marBottom w:val="0"/>
      <w:divBdr>
        <w:top w:val="none" w:sz="0" w:space="0" w:color="auto"/>
        <w:left w:val="none" w:sz="0" w:space="0" w:color="auto"/>
        <w:bottom w:val="none" w:sz="0" w:space="0" w:color="auto"/>
        <w:right w:val="none" w:sz="0" w:space="0" w:color="auto"/>
      </w:divBdr>
    </w:div>
    <w:div w:id="90051672">
      <w:marLeft w:val="0"/>
      <w:marRight w:val="0"/>
      <w:marTop w:val="0"/>
      <w:marBottom w:val="0"/>
      <w:divBdr>
        <w:top w:val="none" w:sz="0" w:space="0" w:color="auto"/>
        <w:left w:val="none" w:sz="0" w:space="0" w:color="auto"/>
        <w:bottom w:val="none" w:sz="0" w:space="0" w:color="auto"/>
        <w:right w:val="none" w:sz="0" w:space="0" w:color="auto"/>
      </w:divBdr>
    </w:div>
    <w:div w:id="90051673">
      <w:marLeft w:val="0"/>
      <w:marRight w:val="0"/>
      <w:marTop w:val="0"/>
      <w:marBottom w:val="0"/>
      <w:divBdr>
        <w:top w:val="none" w:sz="0" w:space="0" w:color="auto"/>
        <w:left w:val="none" w:sz="0" w:space="0" w:color="auto"/>
        <w:bottom w:val="none" w:sz="0" w:space="0" w:color="auto"/>
        <w:right w:val="none" w:sz="0" w:space="0" w:color="auto"/>
      </w:divBdr>
    </w:div>
    <w:div w:id="90051674">
      <w:marLeft w:val="0"/>
      <w:marRight w:val="0"/>
      <w:marTop w:val="0"/>
      <w:marBottom w:val="0"/>
      <w:divBdr>
        <w:top w:val="none" w:sz="0" w:space="0" w:color="auto"/>
        <w:left w:val="none" w:sz="0" w:space="0" w:color="auto"/>
        <w:bottom w:val="none" w:sz="0" w:space="0" w:color="auto"/>
        <w:right w:val="none" w:sz="0" w:space="0" w:color="auto"/>
      </w:divBdr>
    </w:div>
    <w:div w:id="90051675">
      <w:marLeft w:val="0"/>
      <w:marRight w:val="0"/>
      <w:marTop w:val="0"/>
      <w:marBottom w:val="0"/>
      <w:divBdr>
        <w:top w:val="none" w:sz="0" w:space="0" w:color="auto"/>
        <w:left w:val="none" w:sz="0" w:space="0" w:color="auto"/>
        <w:bottom w:val="none" w:sz="0" w:space="0" w:color="auto"/>
        <w:right w:val="none" w:sz="0" w:space="0" w:color="auto"/>
      </w:divBdr>
    </w:div>
    <w:div w:id="90051676">
      <w:marLeft w:val="0"/>
      <w:marRight w:val="0"/>
      <w:marTop w:val="0"/>
      <w:marBottom w:val="0"/>
      <w:divBdr>
        <w:top w:val="none" w:sz="0" w:space="0" w:color="auto"/>
        <w:left w:val="none" w:sz="0" w:space="0" w:color="auto"/>
        <w:bottom w:val="none" w:sz="0" w:space="0" w:color="auto"/>
        <w:right w:val="none" w:sz="0" w:space="0" w:color="auto"/>
      </w:divBdr>
    </w:div>
    <w:div w:id="90051677">
      <w:marLeft w:val="0"/>
      <w:marRight w:val="0"/>
      <w:marTop w:val="0"/>
      <w:marBottom w:val="0"/>
      <w:divBdr>
        <w:top w:val="none" w:sz="0" w:space="0" w:color="auto"/>
        <w:left w:val="none" w:sz="0" w:space="0" w:color="auto"/>
        <w:bottom w:val="none" w:sz="0" w:space="0" w:color="auto"/>
        <w:right w:val="none" w:sz="0" w:space="0" w:color="auto"/>
      </w:divBdr>
    </w:div>
    <w:div w:id="90051678">
      <w:marLeft w:val="0"/>
      <w:marRight w:val="0"/>
      <w:marTop w:val="0"/>
      <w:marBottom w:val="0"/>
      <w:divBdr>
        <w:top w:val="none" w:sz="0" w:space="0" w:color="auto"/>
        <w:left w:val="none" w:sz="0" w:space="0" w:color="auto"/>
        <w:bottom w:val="none" w:sz="0" w:space="0" w:color="auto"/>
        <w:right w:val="none" w:sz="0" w:space="0" w:color="auto"/>
      </w:divBdr>
    </w:div>
    <w:div w:id="90051679">
      <w:marLeft w:val="0"/>
      <w:marRight w:val="0"/>
      <w:marTop w:val="0"/>
      <w:marBottom w:val="0"/>
      <w:divBdr>
        <w:top w:val="none" w:sz="0" w:space="0" w:color="auto"/>
        <w:left w:val="none" w:sz="0" w:space="0" w:color="auto"/>
        <w:bottom w:val="none" w:sz="0" w:space="0" w:color="auto"/>
        <w:right w:val="none" w:sz="0" w:space="0" w:color="auto"/>
      </w:divBdr>
    </w:div>
    <w:div w:id="90051680">
      <w:marLeft w:val="0"/>
      <w:marRight w:val="0"/>
      <w:marTop w:val="0"/>
      <w:marBottom w:val="0"/>
      <w:divBdr>
        <w:top w:val="none" w:sz="0" w:space="0" w:color="auto"/>
        <w:left w:val="none" w:sz="0" w:space="0" w:color="auto"/>
        <w:bottom w:val="none" w:sz="0" w:space="0" w:color="auto"/>
        <w:right w:val="none" w:sz="0" w:space="0" w:color="auto"/>
      </w:divBdr>
    </w:div>
    <w:div w:id="90051681">
      <w:marLeft w:val="0"/>
      <w:marRight w:val="0"/>
      <w:marTop w:val="0"/>
      <w:marBottom w:val="0"/>
      <w:divBdr>
        <w:top w:val="none" w:sz="0" w:space="0" w:color="auto"/>
        <w:left w:val="none" w:sz="0" w:space="0" w:color="auto"/>
        <w:bottom w:val="none" w:sz="0" w:space="0" w:color="auto"/>
        <w:right w:val="none" w:sz="0" w:space="0" w:color="auto"/>
      </w:divBdr>
    </w:div>
    <w:div w:id="90051682">
      <w:marLeft w:val="0"/>
      <w:marRight w:val="0"/>
      <w:marTop w:val="0"/>
      <w:marBottom w:val="0"/>
      <w:divBdr>
        <w:top w:val="none" w:sz="0" w:space="0" w:color="auto"/>
        <w:left w:val="none" w:sz="0" w:space="0" w:color="auto"/>
        <w:bottom w:val="none" w:sz="0" w:space="0" w:color="auto"/>
        <w:right w:val="none" w:sz="0" w:space="0" w:color="auto"/>
      </w:divBdr>
    </w:div>
    <w:div w:id="90051683">
      <w:marLeft w:val="0"/>
      <w:marRight w:val="0"/>
      <w:marTop w:val="0"/>
      <w:marBottom w:val="0"/>
      <w:divBdr>
        <w:top w:val="none" w:sz="0" w:space="0" w:color="auto"/>
        <w:left w:val="none" w:sz="0" w:space="0" w:color="auto"/>
        <w:bottom w:val="none" w:sz="0" w:space="0" w:color="auto"/>
        <w:right w:val="none" w:sz="0" w:space="0" w:color="auto"/>
      </w:divBdr>
    </w:div>
    <w:div w:id="90051684">
      <w:marLeft w:val="0"/>
      <w:marRight w:val="0"/>
      <w:marTop w:val="0"/>
      <w:marBottom w:val="0"/>
      <w:divBdr>
        <w:top w:val="none" w:sz="0" w:space="0" w:color="auto"/>
        <w:left w:val="none" w:sz="0" w:space="0" w:color="auto"/>
        <w:bottom w:val="none" w:sz="0" w:space="0" w:color="auto"/>
        <w:right w:val="none" w:sz="0" w:space="0" w:color="auto"/>
      </w:divBdr>
    </w:div>
    <w:div w:id="90051685">
      <w:marLeft w:val="0"/>
      <w:marRight w:val="0"/>
      <w:marTop w:val="0"/>
      <w:marBottom w:val="0"/>
      <w:divBdr>
        <w:top w:val="none" w:sz="0" w:space="0" w:color="auto"/>
        <w:left w:val="none" w:sz="0" w:space="0" w:color="auto"/>
        <w:bottom w:val="none" w:sz="0" w:space="0" w:color="auto"/>
        <w:right w:val="none" w:sz="0" w:space="0" w:color="auto"/>
      </w:divBdr>
    </w:div>
    <w:div w:id="90051686">
      <w:marLeft w:val="0"/>
      <w:marRight w:val="0"/>
      <w:marTop w:val="0"/>
      <w:marBottom w:val="0"/>
      <w:divBdr>
        <w:top w:val="none" w:sz="0" w:space="0" w:color="auto"/>
        <w:left w:val="none" w:sz="0" w:space="0" w:color="auto"/>
        <w:bottom w:val="none" w:sz="0" w:space="0" w:color="auto"/>
        <w:right w:val="none" w:sz="0" w:space="0" w:color="auto"/>
      </w:divBdr>
    </w:div>
    <w:div w:id="90051687">
      <w:marLeft w:val="0"/>
      <w:marRight w:val="0"/>
      <w:marTop w:val="0"/>
      <w:marBottom w:val="0"/>
      <w:divBdr>
        <w:top w:val="none" w:sz="0" w:space="0" w:color="auto"/>
        <w:left w:val="none" w:sz="0" w:space="0" w:color="auto"/>
        <w:bottom w:val="none" w:sz="0" w:space="0" w:color="auto"/>
        <w:right w:val="none" w:sz="0" w:space="0" w:color="auto"/>
      </w:divBdr>
    </w:div>
    <w:div w:id="90051688">
      <w:marLeft w:val="0"/>
      <w:marRight w:val="0"/>
      <w:marTop w:val="0"/>
      <w:marBottom w:val="0"/>
      <w:divBdr>
        <w:top w:val="none" w:sz="0" w:space="0" w:color="auto"/>
        <w:left w:val="none" w:sz="0" w:space="0" w:color="auto"/>
        <w:bottom w:val="none" w:sz="0" w:space="0" w:color="auto"/>
        <w:right w:val="none" w:sz="0" w:space="0" w:color="auto"/>
      </w:divBdr>
    </w:div>
    <w:div w:id="90051689">
      <w:marLeft w:val="0"/>
      <w:marRight w:val="0"/>
      <w:marTop w:val="0"/>
      <w:marBottom w:val="0"/>
      <w:divBdr>
        <w:top w:val="none" w:sz="0" w:space="0" w:color="auto"/>
        <w:left w:val="none" w:sz="0" w:space="0" w:color="auto"/>
        <w:bottom w:val="none" w:sz="0" w:space="0" w:color="auto"/>
        <w:right w:val="none" w:sz="0" w:space="0" w:color="auto"/>
      </w:divBdr>
    </w:div>
    <w:div w:id="90051690">
      <w:marLeft w:val="0"/>
      <w:marRight w:val="0"/>
      <w:marTop w:val="0"/>
      <w:marBottom w:val="0"/>
      <w:divBdr>
        <w:top w:val="none" w:sz="0" w:space="0" w:color="auto"/>
        <w:left w:val="none" w:sz="0" w:space="0" w:color="auto"/>
        <w:bottom w:val="none" w:sz="0" w:space="0" w:color="auto"/>
        <w:right w:val="none" w:sz="0" w:space="0" w:color="auto"/>
      </w:divBdr>
    </w:div>
    <w:div w:id="90051691">
      <w:marLeft w:val="0"/>
      <w:marRight w:val="0"/>
      <w:marTop w:val="0"/>
      <w:marBottom w:val="0"/>
      <w:divBdr>
        <w:top w:val="none" w:sz="0" w:space="0" w:color="auto"/>
        <w:left w:val="none" w:sz="0" w:space="0" w:color="auto"/>
        <w:bottom w:val="none" w:sz="0" w:space="0" w:color="auto"/>
        <w:right w:val="none" w:sz="0" w:space="0" w:color="auto"/>
      </w:divBdr>
      <w:divsChild>
        <w:div w:id="90051703">
          <w:marLeft w:val="0"/>
          <w:marRight w:val="0"/>
          <w:marTop w:val="0"/>
          <w:marBottom w:val="0"/>
          <w:divBdr>
            <w:top w:val="single" w:sz="6" w:space="8" w:color="666666"/>
            <w:left w:val="single" w:sz="6" w:space="8" w:color="666666"/>
            <w:bottom w:val="single" w:sz="6" w:space="8" w:color="666666"/>
            <w:right w:val="single" w:sz="6" w:space="8" w:color="666666"/>
          </w:divBdr>
        </w:div>
      </w:divsChild>
    </w:div>
    <w:div w:id="90051692">
      <w:marLeft w:val="0"/>
      <w:marRight w:val="0"/>
      <w:marTop w:val="0"/>
      <w:marBottom w:val="0"/>
      <w:divBdr>
        <w:top w:val="none" w:sz="0" w:space="0" w:color="auto"/>
        <w:left w:val="none" w:sz="0" w:space="0" w:color="auto"/>
        <w:bottom w:val="none" w:sz="0" w:space="0" w:color="auto"/>
        <w:right w:val="none" w:sz="0" w:space="0" w:color="auto"/>
      </w:divBdr>
    </w:div>
    <w:div w:id="90051693">
      <w:marLeft w:val="0"/>
      <w:marRight w:val="0"/>
      <w:marTop w:val="0"/>
      <w:marBottom w:val="0"/>
      <w:divBdr>
        <w:top w:val="none" w:sz="0" w:space="0" w:color="auto"/>
        <w:left w:val="none" w:sz="0" w:space="0" w:color="auto"/>
        <w:bottom w:val="none" w:sz="0" w:space="0" w:color="auto"/>
        <w:right w:val="none" w:sz="0" w:space="0" w:color="auto"/>
      </w:divBdr>
    </w:div>
    <w:div w:id="90051694">
      <w:marLeft w:val="0"/>
      <w:marRight w:val="0"/>
      <w:marTop w:val="0"/>
      <w:marBottom w:val="0"/>
      <w:divBdr>
        <w:top w:val="none" w:sz="0" w:space="0" w:color="auto"/>
        <w:left w:val="none" w:sz="0" w:space="0" w:color="auto"/>
        <w:bottom w:val="none" w:sz="0" w:space="0" w:color="auto"/>
        <w:right w:val="none" w:sz="0" w:space="0" w:color="auto"/>
      </w:divBdr>
    </w:div>
    <w:div w:id="90051695">
      <w:marLeft w:val="0"/>
      <w:marRight w:val="0"/>
      <w:marTop w:val="0"/>
      <w:marBottom w:val="0"/>
      <w:divBdr>
        <w:top w:val="none" w:sz="0" w:space="0" w:color="auto"/>
        <w:left w:val="none" w:sz="0" w:space="0" w:color="auto"/>
        <w:bottom w:val="none" w:sz="0" w:space="0" w:color="auto"/>
        <w:right w:val="none" w:sz="0" w:space="0" w:color="auto"/>
      </w:divBdr>
    </w:div>
    <w:div w:id="90051696">
      <w:marLeft w:val="0"/>
      <w:marRight w:val="0"/>
      <w:marTop w:val="0"/>
      <w:marBottom w:val="0"/>
      <w:divBdr>
        <w:top w:val="none" w:sz="0" w:space="0" w:color="auto"/>
        <w:left w:val="none" w:sz="0" w:space="0" w:color="auto"/>
        <w:bottom w:val="none" w:sz="0" w:space="0" w:color="auto"/>
        <w:right w:val="none" w:sz="0" w:space="0" w:color="auto"/>
      </w:divBdr>
    </w:div>
    <w:div w:id="90051697">
      <w:marLeft w:val="0"/>
      <w:marRight w:val="0"/>
      <w:marTop w:val="0"/>
      <w:marBottom w:val="0"/>
      <w:divBdr>
        <w:top w:val="none" w:sz="0" w:space="0" w:color="auto"/>
        <w:left w:val="none" w:sz="0" w:space="0" w:color="auto"/>
        <w:bottom w:val="none" w:sz="0" w:space="0" w:color="auto"/>
        <w:right w:val="none" w:sz="0" w:space="0" w:color="auto"/>
      </w:divBdr>
    </w:div>
    <w:div w:id="90051698">
      <w:marLeft w:val="0"/>
      <w:marRight w:val="0"/>
      <w:marTop w:val="0"/>
      <w:marBottom w:val="0"/>
      <w:divBdr>
        <w:top w:val="none" w:sz="0" w:space="0" w:color="auto"/>
        <w:left w:val="none" w:sz="0" w:space="0" w:color="auto"/>
        <w:bottom w:val="none" w:sz="0" w:space="0" w:color="auto"/>
        <w:right w:val="none" w:sz="0" w:space="0" w:color="auto"/>
      </w:divBdr>
    </w:div>
    <w:div w:id="90051699">
      <w:marLeft w:val="0"/>
      <w:marRight w:val="0"/>
      <w:marTop w:val="0"/>
      <w:marBottom w:val="0"/>
      <w:divBdr>
        <w:top w:val="none" w:sz="0" w:space="0" w:color="auto"/>
        <w:left w:val="none" w:sz="0" w:space="0" w:color="auto"/>
        <w:bottom w:val="none" w:sz="0" w:space="0" w:color="auto"/>
        <w:right w:val="none" w:sz="0" w:space="0" w:color="auto"/>
      </w:divBdr>
    </w:div>
    <w:div w:id="90051700">
      <w:marLeft w:val="0"/>
      <w:marRight w:val="0"/>
      <w:marTop w:val="0"/>
      <w:marBottom w:val="0"/>
      <w:divBdr>
        <w:top w:val="none" w:sz="0" w:space="0" w:color="auto"/>
        <w:left w:val="none" w:sz="0" w:space="0" w:color="auto"/>
        <w:bottom w:val="none" w:sz="0" w:space="0" w:color="auto"/>
        <w:right w:val="none" w:sz="0" w:space="0" w:color="auto"/>
      </w:divBdr>
    </w:div>
    <w:div w:id="90051701">
      <w:marLeft w:val="0"/>
      <w:marRight w:val="0"/>
      <w:marTop w:val="0"/>
      <w:marBottom w:val="0"/>
      <w:divBdr>
        <w:top w:val="none" w:sz="0" w:space="0" w:color="auto"/>
        <w:left w:val="none" w:sz="0" w:space="0" w:color="auto"/>
        <w:bottom w:val="none" w:sz="0" w:space="0" w:color="auto"/>
        <w:right w:val="none" w:sz="0" w:space="0" w:color="auto"/>
      </w:divBdr>
    </w:div>
    <w:div w:id="90051702">
      <w:marLeft w:val="0"/>
      <w:marRight w:val="0"/>
      <w:marTop w:val="0"/>
      <w:marBottom w:val="0"/>
      <w:divBdr>
        <w:top w:val="none" w:sz="0" w:space="0" w:color="auto"/>
        <w:left w:val="none" w:sz="0" w:space="0" w:color="auto"/>
        <w:bottom w:val="none" w:sz="0" w:space="0" w:color="auto"/>
        <w:right w:val="none" w:sz="0" w:space="0" w:color="auto"/>
      </w:divBdr>
    </w:div>
    <w:div w:id="90051704">
      <w:marLeft w:val="0"/>
      <w:marRight w:val="0"/>
      <w:marTop w:val="0"/>
      <w:marBottom w:val="0"/>
      <w:divBdr>
        <w:top w:val="none" w:sz="0" w:space="0" w:color="auto"/>
        <w:left w:val="none" w:sz="0" w:space="0" w:color="auto"/>
        <w:bottom w:val="none" w:sz="0" w:space="0" w:color="auto"/>
        <w:right w:val="none" w:sz="0" w:space="0" w:color="auto"/>
      </w:divBdr>
    </w:div>
    <w:div w:id="90051705">
      <w:marLeft w:val="0"/>
      <w:marRight w:val="0"/>
      <w:marTop w:val="0"/>
      <w:marBottom w:val="0"/>
      <w:divBdr>
        <w:top w:val="none" w:sz="0" w:space="0" w:color="auto"/>
        <w:left w:val="none" w:sz="0" w:space="0" w:color="auto"/>
        <w:bottom w:val="none" w:sz="0" w:space="0" w:color="auto"/>
        <w:right w:val="none" w:sz="0" w:space="0" w:color="auto"/>
      </w:divBdr>
    </w:div>
    <w:div w:id="90051706">
      <w:marLeft w:val="0"/>
      <w:marRight w:val="0"/>
      <w:marTop w:val="0"/>
      <w:marBottom w:val="0"/>
      <w:divBdr>
        <w:top w:val="none" w:sz="0" w:space="0" w:color="auto"/>
        <w:left w:val="none" w:sz="0" w:space="0" w:color="auto"/>
        <w:bottom w:val="none" w:sz="0" w:space="0" w:color="auto"/>
        <w:right w:val="none" w:sz="0" w:space="0" w:color="auto"/>
      </w:divBdr>
    </w:div>
    <w:div w:id="90051707">
      <w:marLeft w:val="0"/>
      <w:marRight w:val="0"/>
      <w:marTop w:val="0"/>
      <w:marBottom w:val="0"/>
      <w:divBdr>
        <w:top w:val="none" w:sz="0" w:space="0" w:color="auto"/>
        <w:left w:val="none" w:sz="0" w:space="0" w:color="auto"/>
        <w:bottom w:val="none" w:sz="0" w:space="0" w:color="auto"/>
        <w:right w:val="none" w:sz="0" w:space="0" w:color="auto"/>
      </w:divBdr>
    </w:div>
    <w:div w:id="90051708">
      <w:marLeft w:val="0"/>
      <w:marRight w:val="0"/>
      <w:marTop w:val="0"/>
      <w:marBottom w:val="0"/>
      <w:divBdr>
        <w:top w:val="none" w:sz="0" w:space="0" w:color="auto"/>
        <w:left w:val="none" w:sz="0" w:space="0" w:color="auto"/>
        <w:bottom w:val="none" w:sz="0" w:space="0" w:color="auto"/>
        <w:right w:val="none" w:sz="0" w:space="0" w:color="auto"/>
      </w:divBdr>
    </w:div>
    <w:div w:id="90051709">
      <w:marLeft w:val="0"/>
      <w:marRight w:val="0"/>
      <w:marTop w:val="0"/>
      <w:marBottom w:val="0"/>
      <w:divBdr>
        <w:top w:val="none" w:sz="0" w:space="0" w:color="auto"/>
        <w:left w:val="none" w:sz="0" w:space="0" w:color="auto"/>
        <w:bottom w:val="none" w:sz="0" w:space="0" w:color="auto"/>
        <w:right w:val="none" w:sz="0" w:space="0" w:color="auto"/>
      </w:divBdr>
    </w:div>
    <w:div w:id="90051710">
      <w:marLeft w:val="0"/>
      <w:marRight w:val="0"/>
      <w:marTop w:val="0"/>
      <w:marBottom w:val="0"/>
      <w:divBdr>
        <w:top w:val="none" w:sz="0" w:space="0" w:color="auto"/>
        <w:left w:val="none" w:sz="0" w:space="0" w:color="auto"/>
        <w:bottom w:val="none" w:sz="0" w:space="0" w:color="auto"/>
        <w:right w:val="none" w:sz="0" w:space="0" w:color="auto"/>
      </w:divBdr>
    </w:div>
    <w:div w:id="90051711">
      <w:marLeft w:val="0"/>
      <w:marRight w:val="0"/>
      <w:marTop w:val="0"/>
      <w:marBottom w:val="0"/>
      <w:divBdr>
        <w:top w:val="none" w:sz="0" w:space="0" w:color="auto"/>
        <w:left w:val="none" w:sz="0" w:space="0" w:color="auto"/>
        <w:bottom w:val="none" w:sz="0" w:space="0" w:color="auto"/>
        <w:right w:val="none" w:sz="0" w:space="0" w:color="auto"/>
      </w:divBdr>
    </w:div>
    <w:div w:id="90051712">
      <w:marLeft w:val="0"/>
      <w:marRight w:val="0"/>
      <w:marTop w:val="0"/>
      <w:marBottom w:val="0"/>
      <w:divBdr>
        <w:top w:val="none" w:sz="0" w:space="0" w:color="auto"/>
        <w:left w:val="none" w:sz="0" w:space="0" w:color="auto"/>
        <w:bottom w:val="none" w:sz="0" w:space="0" w:color="auto"/>
        <w:right w:val="none" w:sz="0" w:space="0" w:color="auto"/>
      </w:divBdr>
    </w:div>
    <w:div w:id="90051713">
      <w:marLeft w:val="0"/>
      <w:marRight w:val="0"/>
      <w:marTop w:val="0"/>
      <w:marBottom w:val="0"/>
      <w:divBdr>
        <w:top w:val="none" w:sz="0" w:space="0" w:color="auto"/>
        <w:left w:val="none" w:sz="0" w:space="0" w:color="auto"/>
        <w:bottom w:val="none" w:sz="0" w:space="0" w:color="auto"/>
        <w:right w:val="none" w:sz="0" w:space="0" w:color="auto"/>
      </w:divBdr>
    </w:div>
    <w:div w:id="90051714">
      <w:marLeft w:val="0"/>
      <w:marRight w:val="0"/>
      <w:marTop w:val="0"/>
      <w:marBottom w:val="0"/>
      <w:divBdr>
        <w:top w:val="none" w:sz="0" w:space="0" w:color="auto"/>
        <w:left w:val="none" w:sz="0" w:space="0" w:color="auto"/>
        <w:bottom w:val="none" w:sz="0" w:space="0" w:color="auto"/>
        <w:right w:val="none" w:sz="0" w:space="0" w:color="auto"/>
      </w:divBdr>
    </w:div>
    <w:div w:id="90051715">
      <w:marLeft w:val="0"/>
      <w:marRight w:val="0"/>
      <w:marTop w:val="0"/>
      <w:marBottom w:val="0"/>
      <w:divBdr>
        <w:top w:val="none" w:sz="0" w:space="0" w:color="auto"/>
        <w:left w:val="none" w:sz="0" w:space="0" w:color="auto"/>
        <w:bottom w:val="none" w:sz="0" w:space="0" w:color="auto"/>
        <w:right w:val="none" w:sz="0" w:space="0" w:color="auto"/>
      </w:divBdr>
    </w:div>
    <w:div w:id="90051716">
      <w:marLeft w:val="0"/>
      <w:marRight w:val="0"/>
      <w:marTop w:val="0"/>
      <w:marBottom w:val="0"/>
      <w:divBdr>
        <w:top w:val="none" w:sz="0" w:space="0" w:color="auto"/>
        <w:left w:val="none" w:sz="0" w:space="0" w:color="auto"/>
        <w:bottom w:val="none" w:sz="0" w:space="0" w:color="auto"/>
        <w:right w:val="none" w:sz="0" w:space="0" w:color="auto"/>
      </w:divBdr>
    </w:div>
    <w:div w:id="90051717">
      <w:marLeft w:val="0"/>
      <w:marRight w:val="0"/>
      <w:marTop w:val="0"/>
      <w:marBottom w:val="0"/>
      <w:divBdr>
        <w:top w:val="none" w:sz="0" w:space="0" w:color="auto"/>
        <w:left w:val="none" w:sz="0" w:space="0" w:color="auto"/>
        <w:bottom w:val="none" w:sz="0" w:space="0" w:color="auto"/>
        <w:right w:val="none" w:sz="0" w:space="0" w:color="auto"/>
      </w:divBdr>
    </w:div>
    <w:div w:id="90051718">
      <w:marLeft w:val="0"/>
      <w:marRight w:val="0"/>
      <w:marTop w:val="0"/>
      <w:marBottom w:val="0"/>
      <w:divBdr>
        <w:top w:val="none" w:sz="0" w:space="0" w:color="auto"/>
        <w:left w:val="none" w:sz="0" w:space="0" w:color="auto"/>
        <w:bottom w:val="none" w:sz="0" w:space="0" w:color="auto"/>
        <w:right w:val="none" w:sz="0" w:space="0" w:color="auto"/>
      </w:divBdr>
    </w:div>
    <w:div w:id="90051719">
      <w:marLeft w:val="0"/>
      <w:marRight w:val="0"/>
      <w:marTop w:val="0"/>
      <w:marBottom w:val="0"/>
      <w:divBdr>
        <w:top w:val="none" w:sz="0" w:space="0" w:color="auto"/>
        <w:left w:val="none" w:sz="0" w:space="0" w:color="auto"/>
        <w:bottom w:val="none" w:sz="0" w:space="0" w:color="auto"/>
        <w:right w:val="none" w:sz="0" w:space="0" w:color="auto"/>
      </w:divBdr>
    </w:div>
    <w:div w:id="90051720">
      <w:marLeft w:val="0"/>
      <w:marRight w:val="0"/>
      <w:marTop w:val="0"/>
      <w:marBottom w:val="0"/>
      <w:divBdr>
        <w:top w:val="none" w:sz="0" w:space="0" w:color="auto"/>
        <w:left w:val="none" w:sz="0" w:space="0" w:color="auto"/>
        <w:bottom w:val="none" w:sz="0" w:space="0" w:color="auto"/>
        <w:right w:val="none" w:sz="0" w:space="0" w:color="auto"/>
      </w:divBdr>
    </w:div>
    <w:div w:id="90051721">
      <w:marLeft w:val="0"/>
      <w:marRight w:val="0"/>
      <w:marTop w:val="0"/>
      <w:marBottom w:val="0"/>
      <w:divBdr>
        <w:top w:val="none" w:sz="0" w:space="0" w:color="auto"/>
        <w:left w:val="none" w:sz="0" w:space="0" w:color="auto"/>
        <w:bottom w:val="none" w:sz="0" w:space="0" w:color="auto"/>
        <w:right w:val="none" w:sz="0" w:space="0" w:color="auto"/>
      </w:divBdr>
    </w:div>
    <w:div w:id="90051722">
      <w:marLeft w:val="0"/>
      <w:marRight w:val="0"/>
      <w:marTop w:val="0"/>
      <w:marBottom w:val="0"/>
      <w:divBdr>
        <w:top w:val="none" w:sz="0" w:space="0" w:color="auto"/>
        <w:left w:val="none" w:sz="0" w:space="0" w:color="auto"/>
        <w:bottom w:val="none" w:sz="0" w:space="0" w:color="auto"/>
        <w:right w:val="none" w:sz="0" w:space="0" w:color="auto"/>
      </w:divBdr>
    </w:div>
    <w:div w:id="90051723">
      <w:marLeft w:val="0"/>
      <w:marRight w:val="0"/>
      <w:marTop w:val="0"/>
      <w:marBottom w:val="0"/>
      <w:divBdr>
        <w:top w:val="none" w:sz="0" w:space="0" w:color="auto"/>
        <w:left w:val="none" w:sz="0" w:space="0" w:color="auto"/>
        <w:bottom w:val="none" w:sz="0" w:space="0" w:color="auto"/>
        <w:right w:val="none" w:sz="0" w:space="0" w:color="auto"/>
      </w:divBdr>
    </w:div>
    <w:div w:id="90051724">
      <w:marLeft w:val="0"/>
      <w:marRight w:val="0"/>
      <w:marTop w:val="0"/>
      <w:marBottom w:val="0"/>
      <w:divBdr>
        <w:top w:val="none" w:sz="0" w:space="0" w:color="auto"/>
        <w:left w:val="none" w:sz="0" w:space="0" w:color="auto"/>
        <w:bottom w:val="none" w:sz="0" w:space="0" w:color="auto"/>
        <w:right w:val="none" w:sz="0" w:space="0" w:color="auto"/>
      </w:divBdr>
    </w:div>
    <w:div w:id="90051725">
      <w:marLeft w:val="0"/>
      <w:marRight w:val="0"/>
      <w:marTop w:val="0"/>
      <w:marBottom w:val="0"/>
      <w:divBdr>
        <w:top w:val="none" w:sz="0" w:space="0" w:color="auto"/>
        <w:left w:val="none" w:sz="0" w:space="0" w:color="auto"/>
        <w:bottom w:val="none" w:sz="0" w:space="0" w:color="auto"/>
        <w:right w:val="none" w:sz="0" w:space="0" w:color="auto"/>
      </w:divBdr>
    </w:div>
    <w:div w:id="90051726">
      <w:marLeft w:val="0"/>
      <w:marRight w:val="0"/>
      <w:marTop w:val="0"/>
      <w:marBottom w:val="0"/>
      <w:divBdr>
        <w:top w:val="none" w:sz="0" w:space="0" w:color="auto"/>
        <w:left w:val="none" w:sz="0" w:space="0" w:color="auto"/>
        <w:bottom w:val="none" w:sz="0" w:space="0" w:color="auto"/>
        <w:right w:val="none" w:sz="0" w:space="0" w:color="auto"/>
      </w:divBdr>
    </w:div>
    <w:div w:id="90051727">
      <w:marLeft w:val="0"/>
      <w:marRight w:val="0"/>
      <w:marTop w:val="0"/>
      <w:marBottom w:val="0"/>
      <w:divBdr>
        <w:top w:val="none" w:sz="0" w:space="0" w:color="auto"/>
        <w:left w:val="none" w:sz="0" w:space="0" w:color="auto"/>
        <w:bottom w:val="none" w:sz="0" w:space="0" w:color="auto"/>
        <w:right w:val="none" w:sz="0" w:space="0" w:color="auto"/>
      </w:divBdr>
    </w:div>
    <w:div w:id="90051728">
      <w:marLeft w:val="0"/>
      <w:marRight w:val="0"/>
      <w:marTop w:val="0"/>
      <w:marBottom w:val="0"/>
      <w:divBdr>
        <w:top w:val="none" w:sz="0" w:space="0" w:color="auto"/>
        <w:left w:val="none" w:sz="0" w:space="0" w:color="auto"/>
        <w:bottom w:val="none" w:sz="0" w:space="0" w:color="auto"/>
        <w:right w:val="none" w:sz="0" w:space="0" w:color="auto"/>
      </w:divBdr>
    </w:div>
    <w:div w:id="90051729">
      <w:marLeft w:val="0"/>
      <w:marRight w:val="0"/>
      <w:marTop w:val="0"/>
      <w:marBottom w:val="0"/>
      <w:divBdr>
        <w:top w:val="none" w:sz="0" w:space="0" w:color="auto"/>
        <w:left w:val="none" w:sz="0" w:space="0" w:color="auto"/>
        <w:bottom w:val="none" w:sz="0" w:space="0" w:color="auto"/>
        <w:right w:val="none" w:sz="0" w:space="0" w:color="auto"/>
      </w:divBdr>
    </w:div>
    <w:div w:id="90051730">
      <w:marLeft w:val="0"/>
      <w:marRight w:val="0"/>
      <w:marTop w:val="0"/>
      <w:marBottom w:val="0"/>
      <w:divBdr>
        <w:top w:val="none" w:sz="0" w:space="0" w:color="auto"/>
        <w:left w:val="none" w:sz="0" w:space="0" w:color="auto"/>
        <w:bottom w:val="none" w:sz="0" w:space="0" w:color="auto"/>
        <w:right w:val="none" w:sz="0" w:space="0" w:color="auto"/>
      </w:divBdr>
    </w:div>
    <w:div w:id="90051731">
      <w:marLeft w:val="0"/>
      <w:marRight w:val="0"/>
      <w:marTop w:val="0"/>
      <w:marBottom w:val="0"/>
      <w:divBdr>
        <w:top w:val="none" w:sz="0" w:space="0" w:color="auto"/>
        <w:left w:val="none" w:sz="0" w:space="0" w:color="auto"/>
        <w:bottom w:val="none" w:sz="0" w:space="0" w:color="auto"/>
        <w:right w:val="none" w:sz="0" w:space="0" w:color="auto"/>
      </w:divBdr>
    </w:div>
    <w:div w:id="90051732">
      <w:marLeft w:val="0"/>
      <w:marRight w:val="0"/>
      <w:marTop w:val="0"/>
      <w:marBottom w:val="0"/>
      <w:divBdr>
        <w:top w:val="none" w:sz="0" w:space="0" w:color="auto"/>
        <w:left w:val="none" w:sz="0" w:space="0" w:color="auto"/>
        <w:bottom w:val="none" w:sz="0" w:space="0" w:color="auto"/>
        <w:right w:val="none" w:sz="0" w:space="0" w:color="auto"/>
      </w:divBdr>
    </w:div>
    <w:div w:id="90051733">
      <w:marLeft w:val="0"/>
      <w:marRight w:val="0"/>
      <w:marTop w:val="0"/>
      <w:marBottom w:val="0"/>
      <w:divBdr>
        <w:top w:val="none" w:sz="0" w:space="0" w:color="auto"/>
        <w:left w:val="none" w:sz="0" w:space="0" w:color="auto"/>
        <w:bottom w:val="none" w:sz="0" w:space="0" w:color="auto"/>
        <w:right w:val="none" w:sz="0" w:space="0" w:color="auto"/>
      </w:divBdr>
    </w:div>
    <w:div w:id="90051734">
      <w:marLeft w:val="0"/>
      <w:marRight w:val="0"/>
      <w:marTop w:val="0"/>
      <w:marBottom w:val="0"/>
      <w:divBdr>
        <w:top w:val="none" w:sz="0" w:space="0" w:color="auto"/>
        <w:left w:val="none" w:sz="0" w:space="0" w:color="auto"/>
        <w:bottom w:val="none" w:sz="0" w:space="0" w:color="auto"/>
        <w:right w:val="none" w:sz="0" w:space="0" w:color="auto"/>
      </w:divBdr>
    </w:div>
    <w:div w:id="90051735">
      <w:marLeft w:val="0"/>
      <w:marRight w:val="0"/>
      <w:marTop w:val="0"/>
      <w:marBottom w:val="0"/>
      <w:divBdr>
        <w:top w:val="none" w:sz="0" w:space="0" w:color="auto"/>
        <w:left w:val="none" w:sz="0" w:space="0" w:color="auto"/>
        <w:bottom w:val="none" w:sz="0" w:space="0" w:color="auto"/>
        <w:right w:val="none" w:sz="0" w:space="0" w:color="auto"/>
      </w:divBdr>
    </w:div>
    <w:div w:id="90051736">
      <w:marLeft w:val="0"/>
      <w:marRight w:val="0"/>
      <w:marTop w:val="0"/>
      <w:marBottom w:val="0"/>
      <w:divBdr>
        <w:top w:val="none" w:sz="0" w:space="0" w:color="auto"/>
        <w:left w:val="none" w:sz="0" w:space="0" w:color="auto"/>
        <w:bottom w:val="none" w:sz="0" w:space="0" w:color="auto"/>
        <w:right w:val="none" w:sz="0" w:space="0" w:color="auto"/>
      </w:divBdr>
    </w:div>
    <w:div w:id="90051737">
      <w:marLeft w:val="0"/>
      <w:marRight w:val="0"/>
      <w:marTop w:val="0"/>
      <w:marBottom w:val="0"/>
      <w:divBdr>
        <w:top w:val="none" w:sz="0" w:space="0" w:color="auto"/>
        <w:left w:val="none" w:sz="0" w:space="0" w:color="auto"/>
        <w:bottom w:val="none" w:sz="0" w:space="0" w:color="auto"/>
        <w:right w:val="none" w:sz="0" w:space="0" w:color="auto"/>
      </w:divBdr>
    </w:div>
    <w:div w:id="90051738">
      <w:marLeft w:val="0"/>
      <w:marRight w:val="0"/>
      <w:marTop w:val="0"/>
      <w:marBottom w:val="0"/>
      <w:divBdr>
        <w:top w:val="none" w:sz="0" w:space="0" w:color="auto"/>
        <w:left w:val="none" w:sz="0" w:space="0" w:color="auto"/>
        <w:bottom w:val="none" w:sz="0" w:space="0" w:color="auto"/>
        <w:right w:val="none" w:sz="0" w:space="0" w:color="auto"/>
      </w:divBdr>
    </w:div>
    <w:div w:id="90051739">
      <w:marLeft w:val="0"/>
      <w:marRight w:val="0"/>
      <w:marTop w:val="0"/>
      <w:marBottom w:val="0"/>
      <w:divBdr>
        <w:top w:val="none" w:sz="0" w:space="0" w:color="auto"/>
        <w:left w:val="none" w:sz="0" w:space="0" w:color="auto"/>
        <w:bottom w:val="none" w:sz="0" w:space="0" w:color="auto"/>
        <w:right w:val="none" w:sz="0" w:space="0" w:color="auto"/>
      </w:divBdr>
    </w:div>
    <w:div w:id="90051740">
      <w:marLeft w:val="0"/>
      <w:marRight w:val="0"/>
      <w:marTop w:val="0"/>
      <w:marBottom w:val="0"/>
      <w:divBdr>
        <w:top w:val="none" w:sz="0" w:space="0" w:color="auto"/>
        <w:left w:val="none" w:sz="0" w:space="0" w:color="auto"/>
        <w:bottom w:val="none" w:sz="0" w:space="0" w:color="auto"/>
        <w:right w:val="none" w:sz="0" w:space="0" w:color="auto"/>
      </w:divBdr>
    </w:div>
    <w:div w:id="90051741">
      <w:marLeft w:val="0"/>
      <w:marRight w:val="0"/>
      <w:marTop w:val="0"/>
      <w:marBottom w:val="0"/>
      <w:divBdr>
        <w:top w:val="none" w:sz="0" w:space="0" w:color="auto"/>
        <w:left w:val="none" w:sz="0" w:space="0" w:color="auto"/>
        <w:bottom w:val="none" w:sz="0" w:space="0" w:color="auto"/>
        <w:right w:val="none" w:sz="0" w:space="0" w:color="auto"/>
      </w:divBdr>
    </w:div>
    <w:div w:id="90051742">
      <w:marLeft w:val="0"/>
      <w:marRight w:val="0"/>
      <w:marTop w:val="0"/>
      <w:marBottom w:val="0"/>
      <w:divBdr>
        <w:top w:val="none" w:sz="0" w:space="0" w:color="auto"/>
        <w:left w:val="none" w:sz="0" w:space="0" w:color="auto"/>
        <w:bottom w:val="none" w:sz="0" w:space="0" w:color="auto"/>
        <w:right w:val="none" w:sz="0" w:space="0" w:color="auto"/>
      </w:divBdr>
    </w:div>
    <w:div w:id="90051743">
      <w:marLeft w:val="0"/>
      <w:marRight w:val="0"/>
      <w:marTop w:val="0"/>
      <w:marBottom w:val="0"/>
      <w:divBdr>
        <w:top w:val="none" w:sz="0" w:space="0" w:color="auto"/>
        <w:left w:val="none" w:sz="0" w:space="0" w:color="auto"/>
        <w:bottom w:val="none" w:sz="0" w:space="0" w:color="auto"/>
        <w:right w:val="none" w:sz="0" w:space="0" w:color="auto"/>
      </w:divBdr>
    </w:div>
    <w:div w:id="90051744">
      <w:marLeft w:val="0"/>
      <w:marRight w:val="0"/>
      <w:marTop w:val="0"/>
      <w:marBottom w:val="0"/>
      <w:divBdr>
        <w:top w:val="none" w:sz="0" w:space="0" w:color="auto"/>
        <w:left w:val="none" w:sz="0" w:space="0" w:color="auto"/>
        <w:bottom w:val="none" w:sz="0" w:space="0" w:color="auto"/>
        <w:right w:val="none" w:sz="0" w:space="0" w:color="auto"/>
      </w:divBdr>
    </w:div>
    <w:div w:id="90051745">
      <w:marLeft w:val="0"/>
      <w:marRight w:val="0"/>
      <w:marTop w:val="0"/>
      <w:marBottom w:val="0"/>
      <w:divBdr>
        <w:top w:val="none" w:sz="0" w:space="0" w:color="auto"/>
        <w:left w:val="none" w:sz="0" w:space="0" w:color="auto"/>
        <w:bottom w:val="none" w:sz="0" w:space="0" w:color="auto"/>
        <w:right w:val="none" w:sz="0" w:space="0" w:color="auto"/>
      </w:divBdr>
    </w:div>
    <w:div w:id="90051746">
      <w:marLeft w:val="0"/>
      <w:marRight w:val="0"/>
      <w:marTop w:val="0"/>
      <w:marBottom w:val="0"/>
      <w:divBdr>
        <w:top w:val="none" w:sz="0" w:space="0" w:color="auto"/>
        <w:left w:val="none" w:sz="0" w:space="0" w:color="auto"/>
        <w:bottom w:val="none" w:sz="0" w:space="0" w:color="auto"/>
        <w:right w:val="none" w:sz="0" w:space="0" w:color="auto"/>
      </w:divBdr>
    </w:div>
    <w:div w:id="90051747">
      <w:marLeft w:val="0"/>
      <w:marRight w:val="0"/>
      <w:marTop w:val="0"/>
      <w:marBottom w:val="0"/>
      <w:divBdr>
        <w:top w:val="none" w:sz="0" w:space="0" w:color="auto"/>
        <w:left w:val="none" w:sz="0" w:space="0" w:color="auto"/>
        <w:bottom w:val="none" w:sz="0" w:space="0" w:color="auto"/>
        <w:right w:val="none" w:sz="0" w:space="0" w:color="auto"/>
      </w:divBdr>
    </w:div>
    <w:div w:id="90051748">
      <w:marLeft w:val="0"/>
      <w:marRight w:val="0"/>
      <w:marTop w:val="0"/>
      <w:marBottom w:val="0"/>
      <w:divBdr>
        <w:top w:val="none" w:sz="0" w:space="0" w:color="auto"/>
        <w:left w:val="none" w:sz="0" w:space="0" w:color="auto"/>
        <w:bottom w:val="none" w:sz="0" w:space="0" w:color="auto"/>
        <w:right w:val="none" w:sz="0" w:space="0" w:color="auto"/>
      </w:divBdr>
    </w:div>
    <w:div w:id="90051749">
      <w:marLeft w:val="0"/>
      <w:marRight w:val="0"/>
      <w:marTop w:val="0"/>
      <w:marBottom w:val="0"/>
      <w:divBdr>
        <w:top w:val="none" w:sz="0" w:space="0" w:color="auto"/>
        <w:left w:val="none" w:sz="0" w:space="0" w:color="auto"/>
        <w:bottom w:val="none" w:sz="0" w:space="0" w:color="auto"/>
        <w:right w:val="none" w:sz="0" w:space="0" w:color="auto"/>
      </w:divBdr>
    </w:div>
    <w:div w:id="90051750">
      <w:marLeft w:val="0"/>
      <w:marRight w:val="0"/>
      <w:marTop w:val="0"/>
      <w:marBottom w:val="0"/>
      <w:divBdr>
        <w:top w:val="none" w:sz="0" w:space="0" w:color="auto"/>
        <w:left w:val="none" w:sz="0" w:space="0" w:color="auto"/>
        <w:bottom w:val="none" w:sz="0" w:space="0" w:color="auto"/>
        <w:right w:val="none" w:sz="0" w:space="0" w:color="auto"/>
      </w:divBdr>
    </w:div>
    <w:div w:id="90051751">
      <w:marLeft w:val="0"/>
      <w:marRight w:val="0"/>
      <w:marTop w:val="0"/>
      <w:marBottom w:val="0"/>
      <w:divBdr>
        <w:top w:val="none" w:sz="0" w:space="0" w:color="auto"/>
        <w:left w:val="none" w:sz="0" w:space="0" w:color="auto"/>
        <w:bottom w:val="none" w:sz="0" w:space="0" w:color="auto"/>
        <w:right w:val="none" w:sz="0" w:space="0" w:color="auto"/>
      </w:divBdr>
    </w:div>
    <w:div w:id="90051752">
      <w:marLeft w:val="0"/>
      <w:marRight w:val="0"/>
      <w:marTop w:val="0"/>
      <w:marBottom w:val="0"/>
      <w:divBdr>
        <w:top w:val="none" w:sz="0" w:space="0" w:color="auto"/>
        <w:left w:val="none" w:sz="0" w:space="0" w:color="auto"/>
        <w:bottom w:val="none" w:sz="0" w:space="0" w:color="auto"/>
        <w:right w:val="none" w:sz="0" w:space="0" w:color="auto"/>
      </w:divBdr>
    </w:div>
    <w:div w:id="90051753">
      <w:marLeft w:val="0"/>
      <w:marRight w:val="0"/>
      <w:marTop w:val="0"/>
      <w:marBottom w:val="0"/>
      <w:divBdr>
        <w:top w:val="none" w:sz="0" w:space="0" w:color="auto"/>
        <w:left w:val="none" w:sz="0" w:space="0" w:color="auto"/>
        <w:bottom w:val="none" w:sz="0" w:space="0" w:color="auto"/>
        <w:right w:val="none" w:sz="0" w:space="0" w:color="auto"/>
      </w:divBdr>
    </w:div>
    <w:div w:id="90051754">
      <w:marLeft w:val="0"/>
      <w:marRight w:val="0"/>
      <w:marTop w:val="0"/>
      <w:marBottom w:val="0"/>
      <w:divBdr>
        <w:top w:val="none" w:sz="0" w:space="0" w:color="auto"/>
        <w:left w:val="none" w:sz="0" w:space="0" w:color="auto"/>
        <w:bottom w:val="none" w:sz="0" w:space="0" w:color="auto"/>
        <w:right w:val="none" w:sz="0" w:space="0" w:color="auto"/>
      </w:divBdr>
    </w:div>
    <w:div w:id="90051755">
      <w:marLeft w:val="0"/>
      <w:marRight w:val="0"/>
      <w:marTop w:val="0"/>
      <w:marBottom w:val="0"/>
      <w:divBdr>
        <w:top w:val="none" w:sz="0" w:space="0" w:color="auto"/>
        <w:left w:val="none" w:sz="0" w:space="0" w:color="auto"/>
        <w:bottom w:val="none" w:sz="0" w:space="0" w:color="auto"/>
        <w:right w:val="none" w:sz="0" w:space="0" w:color="auto"/>
      </w:divBdr>
    </w:div>
    <w:div w:id="90051756">
      <w:marLeft w:val="0"/>
      <w:marRight w:val="0"/>
      <w:marTop w:val="0"/>
      <w:marBottom w:val="0"/>
      <w:divBdr>
        <w:top w:val="none" w:sz="0" w:space="0" w:color="auto"/>
        <w:left w:val="none" w:sz="0" w:space="0" w:color="auto"/>
        <w:bottom w:val="none" w:sz="0" w:space="0" w:color="auto"/>
        <w:right w:val="none" w:sz="0" w:space="0" w:color="auto"/>
      </w:divBdr>
    </w:div>
    <w:div w:id="90051757">
      <w:marLeft w:val="0"/>
      <w:marRight w:val="0"/>
      <w:marTop w:val="0"/>
      <w:marBottom w:val="0"/>
      <w:divBdr>
        <w:top w:val="none" w:sz="0" w:space="0" w:color="auto"/>
        <w:left w:val="none" w:sz="0" w:space="0" w:color="auto"/>
        <w:bottom w:val="none" w:sz="0" w:space="0" w:color="auto"/>
        <w:right w:val="none" w:sz="0" w:space="0" w:color="auto"/>
      </w:divBdr>
    </w:div>
    <w:div w:id="90051758">
      <w:marLeft w:val="0"/>
      <w:marRight w:val="0"/>
      <w:marTop w:val="0"/>
      <w:marBottom w:val="0"/>
      <w:divBdr>
        <w:top w:val="none" w:sz="0" w:space="0" w:color="auto"/>
        <w:left w:val="none" w:sz="0" w:space="0" w:color="auto"/>
        <w:bottom w:val="none" w:sz="0" w:space="0" w:color="auto"/>
        <w:right w:val="none" w:sz="0" w:space="0" w:color="auto"/>
      </w:divBdr>
    </w:div>
    <w:div w:id="90051759">
      <w:marLeft w:val="0"/>
      <w:marRight w:val="0"/>
      <w:marTop w:val="0"/>
      <w:marBottom w:val="0"/>
      <w:divBdr>
        <w:top w:val="none" w:sz="0" w:space="0" w:color="auto"/>
        <w:left w:val="none" w:sz="0" w:space="0" w:color="auto"/>
        <w:bottom w:val="none" w:sz="0" w:space="0" w:color="auto"/>
        <w:right w:val="none" w:sz="0" w:space="0" w:color="auto"/>
      </w:divBdr>
    </w:div>
    <w:div w:id="90051760">
      <w:marLeft w:val="0"/>
      <w:marRight w:val="0"/>
      <w:marTop w:val="0"/>
      <w:marBottom w:val="0"/>
      <w:divBdr>
        <w:top w:val="none" w:sz="0" w:space="0" w:color="auto"/>
        <w:left w:val="none" w:sz="0" w:space="0" w:color="auto"/>
        <w:bottom w:val="none" w:sz="0" w:space="0" w:color="auto"/>
        <w:right w:val="none" w:sz="0" w:space="0" w:color="auto"/>
      </w:divBdr>
    </w:div>
    <w:div w:id="90051761">
      <w:marLeft w:val="0"/>
      <w:marRight w:val="0"/>
      <w:marTop w:val="0"/>
      <w:marBottom w:val="0"/>
      <w:divBdr>
        <w:top w:val="none" w:sz="0" w:space="0" w:color="auto"/>
        <w:left w:val="none" w:sz="0" w:space="0" w:color="auto"/>
        <w:bottom w:val="none" w:sz="0" w:space="0" w:color="auto"/>
        <w:right w:val="none" w:sz="0" w:space="0" w:color="auto"/>
      </w:divBdr>
    </w:div>
    <w:div w:id="90051762">
      <w:marLeft w:val="0"/>
      <w:marRight w:val="0"/>
      <w:marTop w:val="0"/>
      <w:marBottom w:val="0"/>
      <w:divBdr>
        <w:top w:val="none" w:sz="0" w:space="0" w:color="auto"/>
        <w:left w:val="none" w:sz="0" w:space="0" w:color="auto"/>
        <w:bottom w:val="none" w:sz="0" w:space="0" w:color="auto"/>
        <w:right w:val="none" w:sz="0" w:space="0" w:color="auto"/>
      </w:divBdr>
    </w:div>
    <w:div w:id="90051763">
      <w:marLeft w:val="0"/>
      <w:marRight w:val="0"/>
      <w:marTop w:val="0"/>
      <w:marBottom w:val="0"/>
      <w:divBdr>
        <w:top w:val="none" w:sz="0" w:space="0" w:color="auto"/>
        <w:left w:val="none" w:sz="0" w:space="0" w:color="auto"/>
        <w:bottom w:val="none" w:sz="0" w:space="0" w:color="auto"/>
        <w:right w:val="none" w:sz="0" w:space="0" w:color="auto"/>
      </w:divBdr>
    </w:div>
    <w:div w:id="90051764">
      <w:marLeft w:val="0"/>
      <w:marRight w:val="0"/>
      <w:marTop w:val="0"/>
      <w:marBottom w:val="0"/>
      <w:divBdr>
        <w:top w:val="none" w:sz="0" w:space="0" w:color="auto"/>
        <w:left w:val="none" w:sz="0" w:space="0" w:color="auto"/>
        <w:bottom w:val="none" w:sz="0" w:space="0" w:color="auto"/>
        <w:right w:val="none" w:sz="0" w:space="0" w:color="auto"/>
      </w:divBdr>
    </w:div>
    <w:div w:id="90051765">
      <w:marLeft w:val="0"/>
      <w:marRight w:val="0"/>
      <w:marTop w:val="0"/>
      <w:marBottom w:val="0"/>
      <w:divBdr>
        <w:top w:val="none" w:sz="0" w:space="0" w:color="auto"/>
        <w:left w:val="none" w:sz="0" w:space="0" w:color="auto"/>
        <w:bottom w:val="none" w:sz="0" w:space="0" w:color="auto"/>
        <w:right w:val="none" w:sz="0" w:space="0" w:color="auto"/>
      </w:divBdr>
    </w:div>
    <w:div w:id="90051766">
      <w:marLeft w:val="0"/>
      <w:marRight w:val="0"/>
      <w:marTop w:val="0"/>
      <w:marBottom w:val="0"/>
      <w:divBdr>
        <w:top w:val="none" w:sz="0" w:space="0" w:color="auto"/>
        <w:left w:val="none" w:sz="0" w:space="0" w:color="auto"/>
        <w:bottom w:val="none" w:sz="0" w:space="0" w:color="auto"/>
        <w:right w:val="none" w:sz="0" w:space="0" w:color="auto"/>
      </w:divBdr>
    </w:div>
    <w:div w:id="90051767">
      <w:marLeft w:val="0"/>
      <w:marRight w:val="0"/>
      <w:marTop w:val="0"/>
      <w:marBottom w:val="0"/>
      <w:divBdr>
        <w:top w:val="none" w:sz="0" w:space="0" w:color="auto"/>
        <w:left w:val="none" w:sz="0" w:space="0" w:color="auto"/>
        <w:bottom w:val="none" w:sz="0" w:space="0" w:color="auto"/>
        <w:right w:val="none" w:sz="0" w:space="0" w:color="auto"/>
      </w:divBdr>
    </w:div>
    <w:div w:id="90051768">
      <w:marLeft w:val="0"/>
      <w:marRight w:val="0"/>
      <w:marTop w:val="0"/>
      <w:marBottom w:val="0"/>
      <w:divBdr>
        <w:top w:val="none" w:sz="0" w:space="0" w:color="auto"/>
        <w:left w:val="none" w:sz="0" w:space="0" w:color="auto"/>
        <w:bottom w:val="none" w:sz="0" w:space="0" w:color="auto"/>
        <w:right w:val="none" w:sz="0" w:space="0" w:color="auto"/>
      </w:divBdr>
    </w:div>
    <w:div w:id="90051769">
      <w:marLeft w:val="0"/>
      <w:marRight w:val="0"/>
      <w:marTop w:val="0"/>
      <w:marBottom w:val="0"/>
      <w:divBdr>
        <w:top w:val="none" w:sz="0" w:space="0" w:color="auto"/>
        <w:left w:val="none" w:sz="0" w:space="0" w:color="auto"/>
        <w:bottom w:val="none" w:sz="0" w:space="0" w:color="auto"/>
        <w:right w:val="none" w:sz="0" w:space="0" w:color="auto"/>
      </w:divBdr>
    </w:div>
    <w:div w:id="90051770">
      <w:marLeft w:val="0"/>
      <w:marRight w:val="0"/>
      <w:marTop w:val="0"/>
      <w:marBottom w:val="0"/>
      <w:divBdr>
        <w:top w:val="none" w:sz="0" w:space="0" w:color="auto"/>
        <w:left w:val="none" w:sz="0" w:space="0" w:color="auto"/>
        <w:bottom w:val="none" w:sz="0" w:space="0" w:color="auto"/>
        <w:right w:val="none" w:sz="0" w:space="0" w:color="auto"/>
      </w:divBdr>
    </w:div>
    <w:div w:id="90051771">
      <w:marLeft w:val="0"/>
      <w:marRight w:val="0"/>
      <w:marTop w:val="0"/>
      <w:marBottom w:val="0"/>
      <w:divBdr>
        <w:top w:val="none" w:sz="0" w:space="0" w:color="auto"/>
        <w:left w:val="none" w:sz="0" w:space="0" w:color="auto"/>
        <w:bottom w:val="none" w:sz="0" w:space="0" w:color="auto"/>
        <w:right w:val="none" w:sz="0" w:space="0" w:color="auto"/>
      </w:divBdr>
    </w:div>
    <w:div w:id="90051772">
      <w:marLeft w:val="0"/>
      <w:marRight w:val="0"/>
      <w:marTop w:val="0"/>
      <w:marBottom w:val="0"/>
      <w:divBdr>
        <w:top w:val="none" w:sz="0" w:space="0" w:color="auto"/>
        <w:left w:val="none" w:sz="0" w:space="0" w:color="auto"/>
        <w:bottom w:val="none" w:sz="0" w:space="0" w:color="auto"/>
        <w:right w:val="none" w:sz="0" w:space="0" w:color="auto"/>
      </w:divBdr>
    </w:div>
    <w:div w:id="90051773">
      <w:marLeft w:val="0"/>
      <w:marRight w:val="0"/>
      <w:marTop w:val="0"/>
      <w:marBottom w:val="0"/>
      <w:divBdr>
        <w:top w:val="none" w:sz="0" w:space="0" w:color="auto"/>
        <w:left w:val="none" w:sz="0" w:space="0" w:color="auto"/>
        <w:bottom w:val="none" w:sz="0" w:space="0" w:color="auto"/>
        <w:right w:val="none" w:sz="0" w:space="0" w:color="auto"/>
      </w:divBdr>
    </w:div>
    <w:div w:id="90051774">
      <w:marLeft w:val="0"/>
      <w:marRight w:val="0"/>
      <w:marTop w:val="0"/>
      <w:marBottom w:val="0"/>
      <w:divBdr>
        <w:top w:val="none" w:sz="0" w:space="0" w:color="auto"/>
        <w:left w:val="none" w:sz="0" w:space="0" w:color="auto"/>
        <w:bottom w:val="none" w:sz="0" w:space="0" w:color="auto"/>
        <w:right w:val="none" w:sz="0" w:space="0" w:color="auto"/>
      </w:divBdr>
    </w:div>
    <w:div w:id="90051775">
      <w:marLeft w:val="0"/>
      <w:marRight w:val="0"/>
      <w:marTop w:val="0"/>
      <w:marBottom w:val="0"/>
      <w:divBdr>
        <w:top w:val="none" w:sz="0" w:space="0" w:color="auto"/>
        <w:left w:val="none" w:sz="0" w:space="0" w:color="auto"/>
        <w:bottom w:val="none" w:sz="0" w:space="0" w:color="auto"/>
        <w:right w:val="none" w:sz="0" w:space="0" w:color="auto"/>
      </w:divBdr>
    </w:div>
    <w:div w:id="90051776">
      <w:marLeft w:val="0"/>
      <w:marRight w:val="0"/>
      <w:marTop w:val="0"/>
      <w:marBottom w:val="0"/>
      <w:divBdr>
        <w:top w:val="none" w:sz="0" w:space="0" w:color="auto"/>
        <w:left w:val="none" w:sz="0" w:space="0" w:color="auto"/>
        <w:bottom w:val="none" w:sz="0" w:space="0" w:color="auto"/>
        <w:right w:val="none" w:sz="0" w:space="0" w:color="auto"/>
      </w:divBdr>
    </w:div>
    <w:div w:id="90051777">
      <w:marLeft w:val="0"/>
      <w:marRight w:val="0"/>
      <w:marTop w:val="0"/>
      <w:marBottom w:val="0"/>
      <w:divBdr>
        <w:top w:val="none" w:sz="0" w:space="0" w:color="auto"/>
        <w:left w:val="none" w:sz="0" w:space="0" w:color="auto"/>
        <w:bottom w:val="none" w:sz="0" w:space="0" w:color="auto"/>
        <w:right w:val="none" w:sz="0" w:space="0" w:color="auto"/>
      </w:divBdr>
    </w:div>
    <w:div w:id="90051778">
      <w:marLeft w:val="0"/>
      <w:marRight w:val="0"/>
      <w:marTop w:val="0"/>
      <w:marBottom w:val="0"/>
      <w:divBdr>
        <w:top w:val="none" w:sz="0" w:space="0" w:color="auto"/>
        <w:left w:val="none" w:sz="0" w:space="0" w:color="auto"/>
        <w:bottom w:val="none" w:sz="0" w:space="0" w:color="auto"/>
        <w:right w:val="none" w:sz="0" w:space="0" w:color="auto"/>
      </w:divBdr>
    </w:div>
    <w:div w:id="90051779">
      <w:marLeft w:val="0"/>
      <w:marRight w:val="0"/>
      <w:marTop w:val="0"/>
      <w:marBottom w:val="0"/>
      <w:divBdr>
        <w:top w:val="none" w:sz="0" w:space="0" w:color="auto"/>
        <w:left w:val="none" w:sz="0" w:space="0" w:color="auto"/>
        <w:bottom w:val="none" w:sz="0" w:space="0" w:color="auto"/>
        <w:right w:val="none" w:sz="0" w:space="0" w:color="auto"/>
      </w:divBdr>
    </w:div>
    <w:div w:id="90051780">
      <w:marLeft w:val="0"/>
      <w:marRight w:val="0"/>
      <w:marTop w:val="0"/>
      <w:marBottom w:val="0"/>
      <w:divBdr>
        <w:top w:val="none" w:sz="0" w:space="0" w:color="auto"/>
        <w:left w:val="none" w:sz="0" w:space="0" w:color="auto"/>
        <w:bottom w:val="none" w:sz="0" w:space="0" w:color="auto"/>
        <w:right w:val="none" w:sz="0" w:space="0" w:color="auto"/>
      </w:divBdr>
    </w:div>
    <w:div w:id="90051781">
      <w:marLeft w:val="0"/>
      <w:marRight w:val="0"/>
      <w:marTop w:val="0"/>
      <w:marBottom w:val="0"/>
      <w:divBdr>
        <w:top w:val="none" w:sz="0" w:space="0" w:color="auto"/>
        <w:left w:val="none" w:sz="0" w:space="0" w:color="auto"/>
        <w:bottom w:val="none" w:sz="0" w:space="0" w:color="auto"/>
        <w:right w:val="none" w:sz="0" w:space="0" w:color="auto"/>
      </w:divBdr>
    </w:div>
    <w:div w:id="90051782">
      <w:marLeft w:val="0"/>
      <w:marRight w:val="0"/>
      <w:marTop w:val="0"/>
      <w:marBottom w:val="0"/>
      <w:divBdr>
        <w:top w:val="none" w:sz="0" w:space="0" w:color="auto"/>
        <w:left w:val="none" w:sz="0" w:space="0" w:color="auto"/>
        <w:bottom w:val="none" w:sz="0" w:space="0" w:color="auto"/>
        <w:right w:val="none" w:sz="0" w:space="0" w:color="auto"/>
      </w:divBdr>
    </w:div>
    <w:div w:id="90051783">
      <w:marLeft w:val="0"/>
      <w:marRight w:val="0"/>
      <w:marTop w:val="0"/>
      <w:marBottom w:val="0"/>
      <w:divBdr>
        <w:top w:val="none" w:sz="0" w:space="0" w:color="auto"/>
        <w:left w:val="none" w:sz="0" w:space="0" w:color="auto"/>
        <w:bottom w:val="none" w:sz="0" w:space="0" w:color="auto"/>
        <w:right w:val="none" w:sz="0" w:space="0" w:color="auto"/>
      </w:divBdr>
    </w:div>
    <w:div w:id="90051784">
      <w:marLeft w:val="0"/>
      <w:marRight w:val="0"/>
      <w:marTop w:val="0"/>
      <w:marBottom w:val="0"/>
      <w:divBdr>
        <w:top w:val="none" w:sz="0" w:space="0" w:color="auto"/>
        <w:left w:val="none" w:sz="0" w:space="0" w:color="auto"/>
        <w:bottom w:val="none" w:sz="0" w:space="0" w:color="auto"/>
        <w:right w:val="none" w:sz="0" w:space="0" w:color="auto"/>
      </w:divBdr>
    </w:div>
    <w:div w:id="90051785">
      <w:marLeft w:val="0"/>
      <w:marRight w:val="0"/>
      <w:marTop w:val="0"/>
      <w:marBottom w:val="0"/>
      <w:divBdr>
        <w:top w:val="none" w:sz="0" w:space="0" w:color="auto"/>
        <w:left w:val="none" w:sz="0" w:space="0" w:color="auto"/>
        <w:bottom w:val="none" w:sz="0" w:space="0" w:color="auto"/>
        <w:right w:val="none" w:sz="0" w:space="0" w:color="auto"/>
      </w:divBdr>
    </w:div>
    <w:div w:id="90051786">
      <w:marLeft w:val="0"/>
      <w:marRight w:val="0"/>
      <w:marTop w:val="0"/>
      <w:marBottom w:val="0"/>
      <w:divBdr>
        <w:top w:val="none" w:sz="0" w:space="0" w:color="auto"/>
        <w:left w:val="none" w:sz="0" w:space="0" w:color="auto"/>
        <w:bottom w:val="none" w:sz="0" w:space="0" w:color="auto"/>
        <w:right w:val="none" w:sz="0" w:space="0" w:color="auto"/>
      </w:divBdr>
    </w:div>
    <w:div w:id="90051788">
      <w:marLeft w:val="0"/>
      <w:marRight w:val="0"/>
      <w:marTop w:val="0"/>
      <w:marBottom w:val="0"/>
      <w:divBdr>
        <w:top w:val="none" w:sz="0" w:space="0" w:color="auto"/>
        <w:left w:val="none" w:sz="0" w:space="0" w:color="auto"/>
        <w:bottom w:val="none" w:sz="0" w:space="0" w:color="auto"/>
        <w:right w:val="none" w:sz="0" w:space="0" w:color="auto"/>
      </w:divBdr>
    </w:div>
    <w:div w:id="90051789">
      <w:marLeft w:val="0"/>
      <w:marRight w:val="0"/>
      <w:marTop w:val="0"/>
      <w:marBottom w:val="0"/>
      <w:divBdr>
        <w:top w:val="none" w:sz="0" w:space="0" w:color="auto"/>
        <w:left w:val="none" w:sz="0" w:space="0" w:color="auto"/>
        <w:bottom w:val="none" w:sz="0" w:space="0" w:color="auto"/>
        <w:right w:val="none" w:sz="0" w:space="0" w:color="auto"/>
      </w:divBdr>
    </w:div>
    <w:div w:id="90051790">
      <w:marLeft w:val="0"/>
      <w:marRight w:val="0"/>
      <w:marTop w:val="0"/>
      <w:marBottom w:val="0"/>
      <w:divBdr>
        <w:top w:val="none" w:sz="0" w:space="0" w:color="auto"/>
        <w:left w:val="none" w:sz="0" w:space="0" w:color="auto"/>
        <w:bottom w:val="none" w:sz="0" w:space="0" w:color="auto"/>
        <w:right w:val="none" w:sz="0" w:space="0" w:color="auto"/>
      </w:divBdr>
    </w:div>
    <w:div w:id="90051791">
      <w:marLeft w:val="0"/>
      <w:marRight w:val="0"/>
      <w:marTop w:val="0"/>
      <w:marBottom w:val="0"/>
      <w:divBdr>
        <w:top w:val="none" w:sz="0" w:space="0" w:color="auto"/>
        <w:left w:val="none" w:sz="0" w:space="0" w:color="auto"/>
        <w:bottom w:val="none" w:sz="0" w:space="0" w:color="auto"/>
        <w:right w:val="none" w:sz="0" w:space="0" w:color="auto"/>
      </w:divBdr>
    </w:div>
    <w:div w:id="90051792">
      <w:marLeft w:val="0"/>
      <w:marRight w:val="0"/>
      <w:marTop w:val="0"/>
      <w:marBottom w:val="0"/>
      <w:divBdr>
        <w:top w:val="none" w:sz="0" w:space="0" w:color="auto"/>
        <w:left w:val="none" w:sz="0" w:space="0" w:color="auto"/>
        <w:bottom w:val="none" w:sz="0" w:space="0" w:color="auto"/>
        <w:right w:val="none" w:sz="0" w:space="0" w:color="auto"/>
      </w:divBdr>
    </w:div>
    <w:div w:id="90051793">
      <w:marLeft w:val="0"/>
      <w:marRight w:val="0"/>
      <w:marTop w:val="0"/>
      <w:marBottom w:val="0"/>
      <w:divBdr>
        <w:top w:val="none" w:sz="0" w:space="0" w:color="auto"/>
        <w:left w:val="none" w:sz="0" w:space="0" w:color="auto"/>
        <w:bottom w:val="none" w:sz="0" w:space="0" w:color="auto"/>
        <w:right w:val="none" w:sz="0" w:space="0" w:color="auto"/>
      </w:divBdr>
    </w:div>
    <w:div w:id="90051794">
      <w:marLeft w:val="0"/>
      <w:marRight w:val="0"/>
      <w:marTop w:val="0"/>
      <w:marBottom w:val="0"/>
      <w:divBdr>
        <w:top w:val="none" w:sz="0" w:space="0" w:color="auto"/>
        <w:left w:val="none" w:sz="0" w:space="0" w:color="auto"/>
        <w:bottom w:val="none" w:sz="0" w:space="0" w:color="auto"/>
        <w:right w:val="none" w:sz="0" w:space="0" w:color="auto"/>
      </w:divBdr>
    </w:div>
    <w:div w:id="90051795">
      <w:marLeft w:val="0"/>
      <w:marRight w:val="0"/>
      <w:marTop w:val="0"/>
      <w:marBottom w:val="0"/>
      <w:divBdr>
        <w:top w:val="none" w:sz="0" w:space="0" w:color="auto"/>
        <w:left w:val="none" w:sz="0" w:space="0" w:color="auto"/>
        <w:bottom w:val="none" w:sz="0" w:space="0" w:color="auto"/>
        <w:right w:val="none" w:sz="0" w:space="0" w:color="auto"/>
      </w:divBdr>
    </w:div>
    <w:div w:id="90051796">
      <w:marLeft w:val="0"/>
      <w:marRight w:val="0"/>
      <w:marTop w:val="0"/>
      <w:marBottom w:val="0"/>
      <w:divBdr>
        <w:top w:val="none" w:sz="0" w:space="0" w:color="auto"/>
        <w:left w:val="none" w:sz="0" w:space="0" w:color="auto"/>
        <w:bottom w:val="none" w:sz="0" w:space="0" w:color="auto"/>
        <w:right w:val="none" w:sz="0" w:space="0" w:color="auto"/>
      </w:divBdr>
    </w:div>
    <w:div w:id="90051797">
      <w:marLeft w:val="0"/>
      <w:marRight w:val="0"/>
      <w:marTop w:val="0"/>
      <w:marBottom w:val="0"/>
      <w:divBdr>
        <w:top w:val="none" w:sz="0" w:space="0" w:color="auto"/>
        <w:left w:val="none" w:sz="0" w:space="0" w:color="auto"/>
        <w:bottom w:val="none" w:sz="0" w:space="0" w:color="auto"/>
        <w:right w:val="none" w:sz="0" w:space="0" w:color="auto"/>
      </w:divBdr>
    </w:div>
    <w:div w:id="90051798">
      <w:marLeft w:val="0"/>
      <w:marRight w:val="0"/>
      <w:marTop w:val="0"/>
      <w:marBottom w:val="0"/>
      <w:divBdr>
        <w:top w:val="none" w:sz="0" w:space="0" w:color="auto"/>
        <w:left w:val="none" w:sz="0" w:space="0" w:color="auto"/>
        <w:bottom w:val="none" w:sz="0" w:space="0" w:color="auto"/>
        <w:right w:val="none" w:sz="0" w:space="0" w:color="auto"/>
      </w:divBdr>
    </w:div>
    <w:div w:id="90051799">
      <w:marLeft w:val="0"/>
      <w:marRight w:val="0"/>
      <w:marTop w:val="0"/>
      <w:marBottom w:val="0"/>
      <w:divBdr>
        <w:top w:val="none" w:sz="0" w:space="0" w:color="auto"/>
        <w:left w:val="none" w:sz="0" w:space="0" w:color="auto"/>
        <w:bottom w:val="none" w:sz="0" w:space="0" w:color="auto"/>
        <w:right w:val="none" w:sz="0" w:space="0" w:color="auto"/>
      </w:divBdr>
    </w:div>
    <w:div w:id="90051800">
      <w:marLeft w:val="0"/>
      <w:marRight w:val="0"/>
      <w:marTop w:val="0"/>
      <w:marBottom w:val="0"/>
      <w:divBdr>
        <w:top w:val="none" w:sz="0" w:space="0" w:color="auto"/>
        <w:left w:val="none" w:sz="0" w:space="0" w:color="auto"/>
        <w:bottom w:val="none" w:sz="0" w:space="0" w:color="auto"/>
        <w:right w:val="none" w:sz="0" w:space="0" w:color="auto"/>
      </w:divBdr>
    </w:div>
    <w:div w:id="90051801">
      <w:marLeft w:val="0"/>
      <w:marRight w:val="0"/>
      <w:marTop w:val="0"/>
      <w:marBottom w:val="0"/>
      <w:divBdr>
        <w:top w:val="none" w:sz="0" w:space="0" w:color="auto"/>
        <w:left w:val="none" w:sz="0" w:space="0" w:color="auto"/>
        <w:bottom w:val="none" w:sz="0" w:space="0" w:color="auto"/>
        <w:right w:val="none" w:sz="0" w:space="0" w:color="auto"/>
      </w:divBdr>
    </w:div>
    <w:div w:id="90051802">
      <w:marLeft w:val="0"/>
      <w:marRight w:val="0"/>
      <w:marTop w:val="0"/>
      <w:marBottom w:val="0"/>
      <w:divBdr>
        <w:top w:val="none" w:sz="0" w:space="0" w:color="auto"/>
        <w:left w:val="none" w:sz="0" w:space="0" w:color="auto"/>
        <w:bottom w:val="none" w:sz="0" w:space="0" w:color="auto"/>
        <w:right w:val="none" w:sz="0" w:space="0" w:color="auto"/>
      </w:divBdr>
    </w:div>
    <w:div w:id="90051804">
      <w:marLeft w:val="0"/>
      <w:marRight w:val="0"/>
      <w:marTop w:val="0"/>
      <w:marBottom w:val="0"/>
      <w:divBdr>
        <w:top w:val="none" w:sz="0" w:space="0" w:color="auto"/>
        <w:left w:val="none" w:sz="0" w:space="0" w:color="auto"/>
        <w:bottom w:val="none" w:sz="0" w:space="0" w:color="auto"/>
        <w:right w:val="none" w:sz="0" w:space="0" w:color="auto"/>
      </w:divBdr>
    </w:div>
    <w:div w:id="90051805">
      <w:marLeft w:val="0"/>
      <w:marRight w:val="0"/>
      <w:marTop w:val="0"/>
      <w:marBottom w:val="0"/>
      <w:divBdr>
        <w:top w:val="none" w:sz="0" w:space="0" w:color="auto"/>
        <w:left w:val="none" w:sz="0" w:space="0" w:color="auto"/>
        <w:bottom w:val="none" w:sz="0" w:space="0" w:color="auto"/>
        <w:right w:val="none" w:sz="0" w:space="0" w:color="auto"/>
      </w:divBdr>
    </w:div>
    <w:div w:id="90051806">
      <w:marLeft w:val="0"/>
      <w:marRight w:val="0"/>
      <w:marTop w:val="0"/>
      <w:marBottom w:val="0"/>
      <w:divBdr>
        <w:top w:val="none" w:sz="0" w:space="0" w:color="auto"/>
        <w:left w:val="none" w:sz="0" w:space="0" w:color="auto"/>
        <w:bottom w:val="none" w:sz="0" w:space="0" w:color="auto"/>
        <w:right w:val="none" w:sz="0" w:space="0" w:color="auto"/>
      </w:divBdr>
    </w:div>
    <w:div w:id="90051807">
      <w:marLeft w:val="0"/>
      <w:marRight w:val="0"/>
      <w:marTop w:val="0"/>
      <w:marBottom w:val="0"/>
      <w:divBdr>
        <w:top w:val="none" w:sz="0" w:space="0" w:color="auto"/>
        <w:left w:val="none" w:sz="0" w:space="0" w:color="auto"/>
        <w:bottom w:val="none" w:sz="0" w:space="0" w:color="auto"/>
        <w:right w:val="none" w:sz="0" w:space="0" w:color="auto"/>
      </w:divBdr>
    </w:div>
    <w:div w:id="90051808">
      <w:marLeft w:val="0"/>
      <w:marRight w:val="0"/>
      <w:marTop w:val="0"/>
      <w:marBottom w:val="0"/>
      <w:divBdr>
        <w:top w:val="none" w:sz="0" w:space="0" w:color="auto"/>
        <w:left w:val="none" w:sz="0" w:space="0" w:color="auto"/>
        <w:bottom w:val="none" w:sz="0" w:space="0" w:color="auto"/>
        <w:right w:val="none" w:sz="0" w:space="0" w:color="auto"/>
      </w:divBdr>
    </w:div>
    <w:div w:id="90051809">
      <w:marLeft w:val="0"/>
      <w:marRight w:val="0"/>
      <w:marTop w:val="0"/>
      <w:marBottom w:val="0"/>
      <w:divBdr>
        <w:top w:val="none" w:sz="0" w:space="0" w:color="auto"/>
        <w:left w:val="none" w:sz="0" w:space="0" w:color="auto"/>
        <w:bottom w:val="none" w:sz="0" w:space="0" w:color="auto"/>
        <w:right w:val="none" w:sz="0" w:space="0" w:color="auto"/>
      </w:divBdr>
    </w:div>
    <w:div w:id="90051810">
      <w:marLeft w:val="0"/>
      <w:marRight w:val="0"/>
      <w:marTop w:val="0"/>
      <w:marBottom w:val="0"/>
      <w:divBdr>
        <w:top w:val="none" w:sz="0" w:space="0" w:color="auto"/>
        <w:left w:val="none" w:sz="0" w:space="0" w:color="auto"/>
        <w:bottom w:val="none" w:sz="0" w:space="0" w:color="auto"/>
        <w:right w:val="none" w:sz="0" w:space="0" w:color="auto"/>
      </w:divBdr>
    </w:div>
    <w:div w:id="90051811">
      <w:marLeft w:val="0"/>
      <w:marRight w:val="0"/>
      <w:marTop w:val="0"/>
      <w:marBottom w:val="0"/>
      <w:divBdr>
        <w:top w:val="none" w:sz="0" w:space="0" w:color="auto"/>
        <w:left w:val="none" w:sz="0" w:space="0" w:color="auto"/>
        <w:bottom w:val="none" w:sz="0" w:space="0" w:color="auto"/>
        <w:right w:val="none" w:sz="0" w:space="0" w:color="auto"/>
      </w:divBdr>
    </w:div>
    <w:div w:id="90051812">
      <w:marLeft w:val="0"/>
      <w:marRight w:val="0"/>
      <w:marTop w:val="0"/>
      <w:marBottom w:val="0"/>
      <w:divBdr>
        <w:top w:val="none" w:sz="0" w:space="0" w:color="auto"/>
        <w:left w:val="none" w:sz="0" w:space="0" w:color="auto"/>
        <w:bottom w:val="none" w:sz="0" w:space="0" w:color="auto"/>
        <w:right w:val="none" w:sz="0" w:space="0" w:color="auto"/>
      </w:divBdr>
    </w:div>
    <w:div w:id="90051813">
      <w:marLeft w:val="0"/>
      <w:marRight w:val="0"/>
      <w:marTop w:val="0"/>
      <w:marBottom w:val="0"/>
      <w:divBdr>
        <w:top w:val="none" w:sz="0" w:space="0" w:color="auto"/>
        <w:left w:val="none" w:sz="0" w:space="0" w:color="auto"/>
        <w:bottom w:val="none" w:sz="0" w:space="0" w:color="auto"/>
        <w:right w:val="none" w:sz="0" w:space="0" w:color="auto"/>
      </w:divBdr>
    </w:div>
    <w:div w:id="90051814">
      <w:marLeft w:val="0"/>
      <w:marRight w:val="0"/>
      <w:marTop w:val="0"/>
      <w:marBottom w:val="0"/>
      <w:divBdr>
        <w:top w:val="none" w:sz="0" w:space="0" w:color="auto"/>
        <w:left w:val="none" w:sz="0" w:space="0" w:color="auto"/>
        <w:bottom w:val="none" w:sz="0" w:space="0" w:color="auto"/>
        <w:right w:val="none" w:sz="0" w:space="0" w:color="auto"/>
      </w:divBdr>
    </w:div>
    <w:div w:id="90051815">
      <w:marLeft w:val="0"/>
      <w:marRight w:val="0"/>
      <w:marTop w:val="0"/>
      <w:marBottom w:val="0"/>
      <w:divBdr>
        <w:top w:val="none" w:sz="0" w:space="0" w:color="auto"/>
        <w:left w:val="none" w:sz="0" w:space="0" w:color="auto"/>
        <w:bottom w:val="none" w:sz="0" w:space="0" w:color="auto"/>
        <w:right w:val="none" w:sz="0" w:space="0" w:color="auto"/>
      </w:divBdr>
    </w:div>
    <w:div w:id="90051816">
      <w:marLeft w:val="0"/>
      <w:marRight w:val="0"/>
      <w:marTop w:val="0"/>
      <w:marBottom w:val="0"/>
      <w:divBdr>
        <w:top w:val="none" w:sz="0" w:space="0" w:color="auto"/>
        <w:left w:val="none" w:sz="0" w:space="0" w:color="auto"/>
        <w:bottom w:val="none" w:sz="0" w:space="0" w:color="auto"/>
        <w:right w:val="none" w:sz="0" w:space="0" w:color="auto"/>
      </w:divBdr>
    </w:div>
    <w:div w:id="90051817">
      <w:marLeft w:val="0"/>
      <w:marRight w:val="0"/>
      <w:marTop w:val="0"/>
      <w:marBottom w:val="0"/>
      <w:divBdr>
        <w:top w:val="none" w:sz="0" w:space="0" w:color="auto"/>
        <w:left w:val="none" w:sz="0" w:space="0" w:color="auto"/>
        <w:bottom w:val="none" w:sz="0" w:space="0" w:color="auto"/>
        <w:right w:val="none" w:sz="0" w:space="0" w:color="auto"/>
      </w:divBdr>
    </w:div>
    <w:div w:id="90051818">
      <w:marLeft w:val="0"/>
      <w:marRight w:val="0"/>
      <w:marTop w:val="0"/>
      <w:marBottom w:val="0"/>
      <w:divBdr>
        <w:top w:val="none" w:sz="0" w:space="0" w:color="auto"/>
        <w:left w:val="none" w:sz="0" w:space="0" w:color="auto"/>
        <w:bottom w:val="none" w:sz="0" w:space="0" w:color="auto"/>
        <w:right w:val="none" w:sz="0" w:space="0" w:color="auto"/>
      </w:divBdr>
    </w:div>
    <w:div w:id="90051819">
      <w:marLeft w:val="0"/>
      <w:marRight w:val="0"/>
      <w:marTop w:val="0"/>
      <w:marBottom w:val="0"/>
      <w:divBdr>
        <w:top w:val="none" w:sz="0" w:space="0" w:color="auto"/>
        <w:left w:val="none" w:sz="0" w:space="0" w:color="auto"/>
        <w:bottom w:val="none" w:sz="0" w:space="0" w:color="auto"/>
        <w:right w:val="none" w:sz="0" w:space="0" w:color="auto"/>
      </w:divBdr>
    </w:div>
    <w:div w:id="90051820">
      <w:marLeft w:val="0"/>
      <w:marRight w:val="0"/>
      <w:marTop w:val="0"/>
      <w:marBottom w:val="0"/>
      <w:divBdr>
        <w:top w:val="none" w:sz="0" w:space="0" w:color="auto"/>
        <w:left w:val="none" w:sz="0" w:space="0" w:color="auto"/>
        <w:bottom w:val="none" w:sz="0" w:space="0" w:color="auto"/>
        <w:right w:val="none" w:sz="0" w:space="0" w:color="auto"/>
      </w:divBdr>
    </w:div>
    <w:div w:id="90051821">
      <w:marLeft w:val="0"/>
      <w:marRight w:val="0"/>
      <w:marTop w:val="0"/>
      <w:marBottom w:val="0"/>
      <w:divBdr>
        <w:top w:val="none" w:sz="0" w:space="0" w:color="auto"/>
        <w:left w:val="none" w:sz="0" w:space="0" w:color="auto"/>
        <w:bottom w:val="none" w:sz="0" w:space="0" w:color="auto"/>
        <w:right w:val="none" w:sz="0" w:space="0" w:color="auto"/>
      </w:divBdr>
    </w:div>
    <w:div w:id="90051822">
      <w:marLeft w:val="0"/>
      <w:marRight w:val="0"/>
      <w:marTop w:val="0"/>
      <w:marBottom w:val="0"/>
      <w:divBdr>
        <w:top w:val="none" w:sz="0" w:space="0" w:color="auto"/>
        <w:left w:val="none" w:sz="0" w:space="0" w:color="auto"/>
        <w:bottom w:val="none" w:sz="0" w:space="0" w:color="auto"/>
        <w:right w:val="none" w:sz="0" w:space="0" w:color="auto"/>
      </w:divBdr>
    </w:div>
    <w:div w:id="90051823">
      <w:marLeft w:val="0"/>
      <w:marRight w:val="0"/>
      <w:marTop w:val="0"/>
      <w:marBottom w:val="0"/>
      <w:divBdr>
        <w:top w:val="none" w:sz="0" w:space="0" w:color="auto"/>
        <w:left w:val="none" w:sz="0" w:space="0" w:color="auto"/>
        <w:bottom w:val="none" w:sz="0" w:space="0" w:color="auto"/>
        <w:right w:val="none" w:sz="0" w:space="0" w:color="auto"/>
      </w:divBdr>
    </w:div>
    <w:div w:id="90051824">
      <w:marLeft w:val="0"/>
      <w:marRight w:val="0"/>
      <w:marTop w:val="0"/>
      <w:marBottom w:val="0"/>
      <w:divBdr>
        <w:top w:val="none" w:sz="0" w:space="0" w:color="auto"/>
        <w:left w:val="none" w:sz="0" w:space="0" w:color="auto"/>
        <w:bottom w:val="none" w:sz="0" w:space="0" w:color="auto"/>
        <w:right w:val="none" w:sz="0" w:space="0" w:color="auto"/>
      </w:divBdr>
    </w:div>
    <w:div w:id="90051825">
      <w:marLeft w:val="0"/>
      <w:marRight w:val="0"/>
      <w:marTop w:val="0"/>
      <w:marBottom w:val="0"/>
      <w:divBdr>
        <w:top w:val="none" w:sz="0" w:space="0" w:color="auto"/>
        <w:left w:val="none" w:sz="0" w:space="0" w:color="auto"/>
        <w:bottom w:val="none" w:sz="0" w:space="0" w:color="auto"/>
        <w:right w:val="none" w:sz="0" w:space="0" w:color="auto"/>
      </w:divBdr>
    </w:div>
    <w:div w:id="90051826">
      <w:marLeft w:val="0"/>
      <w:marRight w:val="0"/>
      <w:marTop w:val="0"/>
      <w:marBottom w:val="0"/>
      <w:divBdr>
        <w:top w:val="none" w:sz="0" w:space="0" w:color="auto"/>
        <w:left w:val="none" w:sz="0" w:space="0" w:color="auto"/>
        <w:bottom w:val="none" w:sz="0" w:space="0" w:color="auto"/>
        <w:right w:val="none" w:sz="0" w:space="0" w:color="auto"/>
      </w:divBdr>
    </w:div>
    <w:div w:id="90051827">
      <w:marLeft w:val="0"/>
      <w:marRight w:val="0"/>
      <w:marTop w:val="0"/>
      <w:marBottom w:val="0"/>
      <w:divBdr>
        <w:top w:val="none" w:sz="0" w:space="0" w:color="auto"/>
        <w:left w:val="none" w:sz="0" w:space="0" w:color="auto"/>
        <w:bottom w:val="none" w:sz="0" w:space="0" w:color="auto"/>
        <w:right w:val="none" w:sz="0" w:space="0" w:color="auto"/>
      </w:divBdr>
    </w:div>
    <w:div w:id="90051828">
      <w:marLeft w:val="0"/>
      <w:marRight w:val="0"/>
      <w:marTop w:val="0"/>
      <w:marBottom w:val="0"/>
      <w:divBdr>
        <w:top w:val="none" w:sz="0" w:space="0" w:color="auto"/>
        <w:left w:val="none" w:sz="0" w:space="0" w:color="auto"/>
        <w:bottom w:val="none" w:sz="0" w:space="0" w:color="auto"/>
        <w:right w:val="none" w:sz="0" w:space="0" w:color="auto"/>
      </w:divBdr>
    </w:div>
    <w:div w:id="90051829">
      <w:marLeft w:val="0"/>
      <w:marRight w:val="0"/>
      <w:marTop w:val="0"/>
      <w:marBottom w:val="0"/>
      <w:divBdr>
        <w:top w:val="none" w:sz="0" w:space="0" w:color="auto"/>
        <w:left w:val="none" w:sz="0" w:space="0" w:color="auto"/>
        <w:bottom w:val="none" w:sz="0" w:space="0" w:color="auto"/>
        <w:right w:val="none" w:sz="0" w:space="0" w:color="auto"/>
      </w:divBdr>
    </w:div>
    <w:div w:id="90051830">
      <w:marLeft w:val="0"/>
      <w:marRight w:val="0"/>
      <w:marTop w:val="0"/>
      <w:marBottom w:val="0"/>
      <w:divBdr>
        <w:top w:val="none" w:sz="0" w:space="0" w:color="auto"/>
        <w:left w:val="none" w:sz="0" w:space="0" w:color="auto"/>
        <w:bottom w:val="none" w:sz="0" w:space="0" w:color="auto"/>
        <w:right w:val="none" w:sz="0" w:space="0" w:color="auto"/>
      </w:divBdr>
    </w:div>
    <w:div w:id="90051831">
      <w:marLeft w:val="0"/>
      <w:marRight w:val="0"/>
      <w:marTop w:val="0"/>
      <w:marBottom w:val="0"/>
      <w:divBdr>
        <w:top w:val="none" w:sz="0" w:space="0" w:color="auto"/>
        <w:left w:val="none" w:sz="0" w:space="0" w:color="auto"/>
        <w:bottom w:val="none" w:sz="0" w:space="0" w:color="auto"/>
        <w:right w:val="none" w:sz="0" w:space="0" w:color="auto"/>
      </w:divBdr>
    </w:div>
    <w:div w:id="90051832">
      <w:marLeft w:val="0"/>
      <w:marRight w:val="0"/>
      <w:marTop w:val="0"/>
      <w:marBottom w:val="0"/>
      <w:divBdr>
        <w:top w:val="none" w:sz="0" w:space="0" w:color="auto"/>
        <w:left w:val="none" w:sz="0" w:space="0" w:color="auto"/>
        <w:bottom w:val="none" w:sz="0" w:space="0" w:color="auto"/>
        <w:right w:val="none" w:sz="0" w:space="0" w:color="auto"/>
      </w:divBdr>
    </w:div>
    <w:div w:id="90051833">
      <w:marLeft w:val="0"/>
      <w:marRight w:val="0"/>
      <w:marTop w:val="0"/>
      <w:marBottom w:val="0"/>
      <w:divBdr>
        <w:top w:val="none" w:sz="0" w:space="0" w:color="auto"/>
        <w:left w:val="none" w:sz="0" w:space="0" w:color="auto"/>
        <w:bottom w:val="none" w:sz="0" w:space="0" w:color="auto"/>
        <w:right w:val="none" w:sz="0" w:space="0" w:color="auto"/>
      </w:divBdr>
    </w:div>
    <w:div w:id="90051834">
      <w:marLeft w:val="0"/>
      <w:marRight w:val="0"/>
      <w:marTop w:val="0"/>
      <w:marBottom w:val="0"/>
      <w:divBdr>
        <w:top w:val="none" w:sz="0" w:space="0" w:color="auto"/>
        <w:left w:val="none" w:sz="0" w:space="0" w:color="auto"/>
        <w:bottom w:val="none" w:sz="0" w:space="0" w:color="auto"/>
        <w:right w:val="none" w:sz="0" w:space="0" w:color="auto"/>
      </w:divBdr>
    </w:div>
    <w:div w:id="90051835">
      <w:marLeft w:val="0"/>
      <w:marRight w:val="0"/>
      <w:marTop w:val="0"/>
      <w:marBottom w:val="0"/>
      <w:divBdr>
        <w:top w:val="none" w:sz="0" w:space="0" w:color="auto"/>
        <w:left w:val="none" w:sz="0" w:space="0" w:color="auto"/>
        <w:bottom w:val="none" w:sz="0" w:space="0" w:color="auto"/>
        <w:right w:val="none" w:sz="0" w:space="0" w:color="auto"/>
      </w:divBdr>
    </w:div>
    <w:div w:id="90051836">
      <w:marLeft w:val="0"/>
      <w:marRight w:val="0"/>
      <w:marTop w:val="0"/>
      <w:marBottom w:val="0"/>
      <w:divBdr>
        <w:top w:val="none" w:sz="0" w:space="0" w:color="auto"/>
        <w:left w:val="none" w:sz="0" w:space="0" w:color="auto"/>
        <w:bottom w:val="none" w:sz="0" w:space="0" w:color="auto"/>
        <w:right w:val="none" w:sz="0" w:space="0" w:color="auto"/>
      </w:divBdr>
    </w:div>
    <w:div w:id="90051837">
      <w:marLeft w:val="0"/>
      <w:marRight w:val="0"/>
      <w:marTop w:val="0"/>
      <w:marBottom w:val="0"/>
      <w:divBdr>
        <w:top w:val="none" w:sz="0" w:space="0" w:color="auto"/>
        <w:left w:val="none" w:sz="0" w:space="0" w:color="auto"/>
        <w:bottom w:val="none" w:sz="0" w:space="0" w:color="auto"/>
        <w:right w:val="none" w:sz="0" w:space="0" w:color="auto"/>
      </w:divBdr>
    </w:div>
    <w:div w:id="90051838">
      <w:marLeft w:val="0"/>
      <w:marRight w:val="0"/>
      <w:marTop w:val="0"/>
      <w:marBottom w:val="0"/>
      <w:divBdr>
        <w:top w:val="none" w:sz="0" w:space="0" w:color="auto"/>
        <w:left w:val="none" w:sz="0" w:space="0" w:color="auto"/>
        <w:bottom w:val="none" w:sz="0" w:space="0" w:color="auto"/>
        <w:right w:val="none" w:sz="0" w:space="0" w:color="auto"/>
      </w:divBdr>
    </w:div>
    <w:div w:id="90051839">
      <w:marLeft w:val="0"/>
      <w:marRight w:val="0"/>
      <w:marTop w:val="0"/>
      <w:marBottom w:val="0"/>
      <w:divBdr>
        <w:top w:val="none" w:sz="0" w:space="0" w:color="auto"/>
        <w:left w:val="none" w:sz="0" w:space="0" w:color="auto"/>
        <w:bottom w:val="none" w:sz="0" w:space="0" w:color="auto"/>
        <w:right w:val="none" w:sz="0" w:space="0" w:color="auto"/>
      </w:divBdr>
    </w:div>
    <w:div w:id="90051840">
      <w:marLeft w:val="0"/>
      <w:marRight w:val="0"/>
      <w:marTop w:val="0"/>
      <w:marBottom w:val="0"/>
      <w:divBdr>
        <w:top w:val="none" w:sz="0" w:space="0" w:color="auto"/>
        <w:left w:val="none" w:sz="0" w:space="0" w:color="auto"/>
        <w:bottom w:val="none" w:sz="0" w:space="0" w:color="auto"/>
        <w:right w:val="none" w:sz="0" w:space="0" w:color="auto"/>
      </w:divBdr>
    </w:div>
    <w:div w:id="90051841">
      <w:marLeft w:val="0"/>
      <w:marRight w:val="0"/>
      <w:marTop w:val="0"/>
      <w:marBottom w:val="0"/>
      <w:divBdr>
        <w:top w:val="none" w:sz="0" w:space="0" w:color="auto"/>
        <w:left w:val="none" w:sz="0" w:space="0" w:color="auto"/>
        <w:bottom w:val="none" w:sz="0" w:space="0" w:color="auto"/>
        <w:right w:val="none" w:sz="0" w:space="0" w:color="auto"/>
      </w:divBdr>
    </w:div>
    <w:div w:id="90051842">
      <w:marLeft w:val="0"/>
      <w:marRight w:val="0"/>
      <w:marTop w:val="0"/>
      <w:marBottom w:val="0"/>
      <w:divBdr>
        <w:top w:val="none" w:sz="0" w:space="0" w:color="auto"/>
        <w:left w:val="none" w:sz="0" w:space="0" w:color="auto"/>
        <w:bottom w:val="none" w:sz="0" w:space="0" w:color="auto"/>
        <w:right w:val="none" w:sz="0" w:space="0" w:color="auto"/>
      </w:divBdr>
    </w:div>
    <w:div w:id="90051843">
      <w:marLeft w:val="0"/>
      <w:marRight w:val="0"/>
      <w:marTop w:val="0"/>
      <w:marBottom w:val="0"/>
      <w:divBdr>
        <w:top w:val="none" w:sz="0" w:space="0" w:color="auto"/>
        <w:left w:val="none" w:sz="0" w:space="0" w:color="auto"/>
        <w:bottom w:val="none" w:sz="0" w:space="0" w:color="auto"/>
        <w:right w:val="none" w:sz="0" w:space="0" w:color="auto"/>
      </w:divBdr>
    </w:div>
    <w:div w:id="90051844">
      <w:marLeft w:val="0"/>
      <w:marRight w:val="0"/>
      <w:marTop w:val="0"/>
      <w:marBottom w:val="0"/>
      <w:divBdr>
        <w:top w:val="none" w:sz="0" w:space="0" w:color="auto"/>
        <w:left w:val="none" w:sz="0" w:space="0" w:color="auto"/>
        <w:bottom w:val="none" w:sz="0" w:space="0" w:color="auto"/>
        <w:right w:val="none" w:sz="0" w:space="0" w:color="auto"/>
      </w:divBdr>
    </w:div>
    <w:div w:id="90051845">
      <w:marLeft w:val="0"/>
      <w:marRight w:val="0"/>
      <w:marTop w:val="0"/>
      <w:marBottom w:val="0"/>
      <w:divBdr>
        <w:top w:val="none" w:sz="0" w:space="0" w:color="auto"/>
        <w:left w:val="none" w:sz="0" w:space="0" w:color="auto"/>
        <w:bottom w:val="none" w:sz="0" w:space="0" w:color="auto"/>
        <w:right w:val="none" w:sz="0" w:space="0" w:color="auto"/>
      </w:divBdr>
    </w:div>
    <w:div w:id="90051846">
      <w:marLeft w:val="0"/>
      <w:marRight w:val="0"/>
      <w:marTop w:val="0"/>
      <w:marBottom w:val="0"/>
      <w:divBdr>
        <w:top w:val="none" w:sz="0" w:space="0" w:color="auto"/>
        <w:left w:val="none" w:sz="0" w:space="0" w:color="auto"/>
        <w:bottom w:val="none" w:sz="0" w:space="0" w:color="auto"/>
        <w:right w:val="none" w:sz="0" w:space="0" w:color="auto"/>
      </w:divBdr>
    </w:div>
    <w:div w:id="90051847">
      <w:marLeft w:val="0"/>
      <w:marRight w:val="0"/>
      <w:marTop w:val="0"/>
      <w:marBottom w:val="0"/>
      <w:divBdr>
        <w:top w:val="none" w:sz="0" w:space="0" w:color="auto"/>
        <w:left w:val="none" w:sz="0" w:space="0" w:color="auto"/>
        <w:bottom w:val="none" w:sz="0" w:space="0" w:color="auto"/>
        <w:right w:val="none" w:sz="0" w:space="0" w:color="auto"/>
      </w:divBdr>
    </w:div>
    <w:div w:id="90051848">
      <w:marLeft w:val="0"/>
      <w:marRight w:val="0"/>
      <w:marTop w:val="0"/>
      <w:marBottom w:val="0"/>
      <w:divBdr>
        <w:top w:val="none" w:sz="0" w:space="0" w:color="auto"/>
        <w:left w:val="none" w:sz="0" w:space="0" w:color="auto"/>
        <w:bottom w:val="none" w:sz="0" w:space="0" w:color="auto"/>
        <w:right w:val="none" w:sz="0" w:space="0" w:color="auto"/>
      </w:divBdr>
    </w:div>
    <w:div w:id="90051849">
      <w:marLeft w:val="0"/>
      <w:marRight w:val="0"/>
      <w:marTop w:val="0"/>
      <w:marBottom w:val="0"/>
      <w:divBdr>
        <w:top w:val="none" w:sz="0" w:space="0" w:color="auto"/>
        <w:left w:val="none" w:sz="0" w:space="0" w:color="auto"/>
        <w:bottom w:val="none" w:sz="0" w:space="0" w:color="auto"/>
        <w:right w:val="none" w:sz="0" w:space="0" w:color="auto"/>
      </w:divBdr>
    </w:div>
    <w:div w:id="90051850">
      <w:marLeft w:val="0"/>
      <w:marRight w:val="0"/>
      <w:marTop w:val="0"/>
      <w:marBottom w:val="0"/>
      <w:divBdr>
        <w:top w:val="none" w:sz="0" w:space="0" w:color="auto"/>
        <w:left w:val="none" w:sz="0" w:space="0" w:color="auto"/>
        <w:bottom w:val="none" w:sz="0" w:space="0" w:color="auto"/>
        <w:right w:val="none" w:sz="0" w:space="0" w:color="auto"/>
      </w:divBdr>
      <w:divsChild>
        <w:div w:id="90051668">
          <w:marLeft w:val="562"/>
          <w:marRight w:val="0"/>
          <w:marTop w:val="0"/>
          <w:marBottom w:val="0"/>
          <w:divBdr>
            <w:top w:val="none" w:sz="0" w:space="0" w:color="auto"/>
            <w:left w:val="none" w:sz="0" w:space="0" w:color="auto"/>
            <w:bottom w:val="none" w:sz="0" w:space="0" w:color="auto"/>
            <w:right w:val="none" w:sz="0" w:space="0" w:color="auto"/>
          </w:divBdr>
        </w:div>
        <w:div w:id="90051787">
          <w:marLeft w:val="562"/>
          <w:marRight w:val="0"/>
          <w:marTop w:val="0"/>
          <w:marBottom w:val="0"/>
          <w:divBdr>
            <w:top w:val="none" w:sz="0" w:space="0" w:color="auto"/>
            <w:left w:val="none" w:sz="0" w:space="0" w:color="auto"/>
            <w:bottom w:val="none" w:sz="0" w:space="0" w:color="auto"/>
            <w:right w:val="none" w:sz="0" w:space="0" w:color="auto"/>
          </w:divBdr>
        </w:div>
        <w:div w:id="90051803">
          <w:marLeft w:val="562"/>
          <w:marRight w:val="0"/>
          <w:marTop w:val="0"/>
          <w:marBottom w:val="0"/>
          <w:divBdr>
            <w:top w:val="none" w:sz="0" w:space="0" w:color="auto"/>
            <w:left w:val="none" w:sz="0" w:space="0" w:color="auto"/>
            <w:bottom w:val="none" w:sz="0" w:space="0" w:color="auto"/>
            <w:right w:val="none" w:sz="0" w:space="0" w:color="auto"/>
          </w:divBdr>
        </w:div>
        <w:div w:id="90051878">
          <w:marLeft w:val="562"/>
          <w:marRight w:val="0"/>
          <w:marTop w:val="0"/>
          <w:marBottom w:val="0"/>
          <w:divBdr>
            <w:top w:val="none" w:sz="0" w:space="0" w:color="auto"/>
            <w:left w:val="none" w:sz="0" w:space="0" w:color="auto"/>
            <w:bottom w:val="none" w:sz="0" w:space="0" w:color="auto"/>
            <w:right w:val="none" w:sz="0" w:space="0" w:color="auto"/>
          </w:divBdr>
        </w:div>
      </w:divsChild>
    </w:div>
    <w:div w:id="90051851">
      <w:marLeft w:val="0"/>
      <w:marRight w:val="0"/>
      <w:marTop w:val="0"/>
      <w:marBottom w:val="0"/>
      <w:divBdr>
        <w:top w:val="none" w:sz="0" w:space="0" w:color="auto"/>
        <w:left w:val="none" w:sz="0" w:space="0" w:color="auto"/>
        <w:bottom w:val="none" w:sz="0" w:space="0" w:color="auto"/>
        <w:right w:val="none" w:sz="0" w:space="0" w:color="auto"/>
      </w:divBdr>
    </w:div>
    <w:div w:id="90051852">
      <w:marLeft w:val="0"/>
      <w:marRight w:val="0"/>
      <w:marTop w:val="0"/>
      <w:marBottom w:val="0"/>
      <w:divBdr>
        <w:top w:val="none" w:sz="0" w:space="0" w:color="auto"/>
        <w:left w:val="none" w:sz="0" w:space="0" w:color="auto"/>
        <w:bottom w:val="none" w:sz="0" w:space="0" w:color="auto"/>
        <w:right w:val="none" w:sz="0" w:space="0" w:color="auto"/>
      </w:divBdr>
    </w:div>
    <w:div w:id="90051853">
      <w:marLeft w:val="0"/>
      <w:marRight w:val="0"/>
      <w:marTop w:val="0"/>
      <w:marBottom w:val="0"/>
      <w:divBdr>
        <w:top w:val="none" w:sz="0" w:space="0" w:color="auto"/>
        <w:left w:val="none" w:sz="0" w:space="0" w:color="auto"/>
        <w:bottom w:val="none" w:sz="0" w:space="0" w:color="auto"/>
        <w:right w:val="none" w:sz="0" w:space="0" w:color="auto"/>
      </w:divBdr>
    </w:div>
    <w:div w:id="90051854">
      <w:marLeft w:val="0"/>
      <w:marRight w:val="0"/>
      <w:marTop w:val="0"/>
      <w:marBottom w:val="0"/>
      <w:divBdr>
        <w:top w:val="none" w:sz="0" w:space="0" w:color="auto"/>
        <w:left w:val="none" w:sz="0" w:space="0" w:color="auto"/>
        <w:bottom w:val="none" w:sz="0" w:space="0" w:color="auto"/>
        <w:right w:val="none" w:sz="0" w:space="0" w:color="auto"/>
      </w:divBdr>
    </w:div>
    <w:div w:id="90051855">
      <w:marLeft w:val="0"/>
      <w:marRight w:val="0"/>
      <w:marTop w:val="0"/>
      <w:marBottom w:val="0"/>
      <w:divBdr>
        <w:top w:val="none" w:sz="0" w:space="0" w:color="auto"/>
        <w:left w:val="none" w:sz="0" w:space="0" w:color="auto"/>
        <w:bottom w:val="none" w:sz="0" w:space="0" w:color="auto"/>
        <w:right w:val="none" w:sz="0" w:space="0" w:color="auto"/>
      </w:divBdr>
    </w:div>
    <w:div w:id="90051856">
      <w:marLeft w:val="0"/>
      <w:marRight w:val="0"/>
      <w:marTop w:val="0"/>
      <w:marBottom w:val="0"/>
      <w:divBdr>
        <w:top w:val="none" w:sz="0" w:space="0" w:color="auto"/>
        <w:left w:val="none" w:sz="0" w:space="0" w:color="auto"/>
        <w:bottom w:val="none" w:sz="0" w:space="0" w:color="auto"/>
        <w:right w:val="none" w:sz="0" w:space="0" w:color="auto"/>
      </w:divBdr>
    </w:div>
    <w:div w:id="90051857">
      <w:marLeft w:val="0"/>
      <w:marRight w:val="0"/>
      <w:marTop w:val="0"/>
      <w:marBottom w:val="0"/>
      <w:divBdr>
        <w:top w:val="none" w:sz="0" w:space="0" w:color="auto"/>
        <w:left w:val="none" w:sz="0" w:space="0" w:color="auto"/>
        <w:bottom w:val="none" w:sz="0" w:space="0" w:color="auto"/>
        <w:right w:val="none" w:sz="0" w:space="0" w:color="auto"/>
      </w:divBdr>
    </w:div>
    <w:div w:id="90051858">
      <w:marLeft w:val="0"/>
      <w:marRight w:val="0"/>
      <w:marTop w:val="0"/>
      <w:marBottom w:val="0"/>
      <w:divBdr>
        <w:top w:val="none" w:sz="0" w:space="0" w:color="auto"/>
        <w:left w:val="none" w:sz="0" w:space="0" w:color="auto"/>
        <w:bottom w:val="none" w:sz="0" w:space="0" w:color="auto"/>
        <w:right w:val="none" w:sz="0" w:space="0" w:color="auto"/>
      </w:divBdr>
    </w:div>
    <w:div w:id="90051859">
      <w:marLeft w:val="0"/>
      <w:marRight w:val="0"/>
      <w:marTop w:val="0"/>
      <w:marBottom w:val="0"/>
      <w:divBdr>
        <w:top w:val="none" w:sz="0" w:space="0" w:color="auto"/>
        <w:left w:val="none" w:sz="0" w:space="0" w:color="auto"/>
        <w:bottom w:val="none" w:sz="0" w:space="0" w:color="auto"/>
        <w:right w:val="none" w:sz="0" w:space="0" w:color="auto"/>
      </w:divBdr>
    </w:div>
    <w:div w:id="90051860">
      <w:marLeft w:val="0"/>
      <w:marRight w:val="0"/>
      <w:marTop w:val="0"/>
      <w:marBottom w:val="0"/>
      <w:divBdr>
        <w:top w:val="none" w:sz="0" w:space="0" w:color="auto"/>
        <w:left w:val="none" w:sz="0" w:space="0" w:color="auto"/>
        <w:bottom w:val="none" w:sz="0" w:space="0" w:color="auto"/>
        <w:right w:val="none" w:sz="0" w:space="0" w:color="auto"/>
      </w:divBdr>
    </w:div>
    <w:div w:id="90051861">
      <w:marLeft w:val="0"/>
      <w:marRight w:val="0"/>
      <w:marTop w:val="0"/>
      <w:marBottom w:val="0"/>
      <w:divBdr>
        <w:top w:val="none" w:sz="0" w:space="0" w:color="auto"/>
        <w:left w:val="none" w:sz="0" w:space="0" w:color="auto"/>
        <w:bottom w:val="none" w:sz="0" w:space="0" w:color="auto"/>
        <w:right w:val="none" w:sz="0" w:space="0" w:color="auto"/>
      </w:divBdr>
    </w:div>
    <w:div w:id="90051862">
      <w:marLeft w:val="0"/>
      <w:marRight w:val="0"/>
      <w:marTop w:val="0"/>
      <w:marBottom w:val="0"/>
      <w:divBdr>
        <w:top w:val="none" w:sz="0" w:space="0" w:color="auto"/>
        <w:left w:val="none" w:sz="0" w:space="0" w:color="auto"/>
        <w:bottom w:val="none" w:sz="0" w:space="0" w:color="auto"/>
        <w:right w:val="none" w:sz="0" w:space="0" w:color="auto"/>
      </w:divBdr>
    </w:div>
    <w:div w:id="90051863">
      <w:marLeft w:val="0"/>
      <w:marRight w:val="0"/>
      <w:marTop w:val="0"/>
      <w:marBottom w:val="0"/>
      <w:divBdr>
        <w:top w:val="none" w:sz="0" w:space="0" w:color="auto"/>
        <w:left w:val="none" w:sz="0" w:space="0" w:color="auto"/>
        <w:bottom w:val="none" w:sz="0" w:space="0" w:color="auto"/>
        <w:right w:val="none" w:sz="0" w:space="0" w:color="auto"/>
      </w:divBdr>
    </w:div>
    <w:div w:id="90051864">
      <w:marLeft w:val="0"/>
      <w:marRight w:val="0"/>
      <w:marTop w:val="0"/>
      <w:marBottom w:val="0"/>
      <w:divBdr>
        <w:top w:val="none" w:sz="0" w:space="0" w:color="auto"/>
        <w:left w:val="none" w:sz="0" w:space="0" w:color="auto"/>
        <w:bottom w:val="none" w:sz="0" w:space="0" w:color="auto"/>
        <w:right w:val="none" w:sz="0" w:space="0" w:color="auto"/>
      </w:divBdr>
    </w:div>
    <w:div w:id="90051865">
      <w:marLeft w:val="0"/>
      <w:marRight w:val="0"/>
      <w:marTop w:val="0"/>
      <w:marBottom w:val="0"/>
      <w:divBdr>
        <w:top w:val="none" w:sz="0" w:space="0" w:color="auto"/>
        <w:left w:val="none" w:sz="0" w:space="0" w:color="auto"/>
        <w:bottom w:val="none" w:sz="0" w:space="0" w:color="auto"/>
        <w:right w:val="none" w:sz="0" w:space="0" w:color="auto"/>
      </w:divBdr>
    </w:div>
    <w:div w:id="90051866">
      <w:marLeft w:val="0"/>
      <w:marRight w:val="0"/>
      <w:marTop w:val="0"/>
      <w:marBottom w:val="0"/>
      <w:divBdr>
        <w:top w:val="none" w:sz="0" w:space="0" w:color="auto"/>
        <w:left w:val="none" w:sz="0" w:space="0" w:color="auto"/>
        <w:bottom w:val="none" w:sz="0" w:space="0" w:color="auto"/>
        <w:right w:val="none" w:sz="0" w:space="0" w:color="auto"/>
      </w:divBdr>
    </w:div>
    <w:div w:id="90051867">
      <w:marLeft w:val="0"/>
      <w:marRight w:val="0"/>
      <w:marTop w:val="0"/>
      <w:marBottom w:val="0"/>
      <w:divBdr>
        <w:top w:val="none" w:sz="0" w:space="0" w:color="auto"/>
        <w:left w:val="none" w:sz="0" w:space="0" w:color="auto"/>
        <w:bottom w:val="none" w:sz="0" w:space="0" w:color="auto"/>
        <w:right w:val="none" w:sz="0" w:space="0" w:color="auto"/>
      </w:divBdr>
    </w:div>
    <w:div w:id="90051868">
      <w:marLeft w:val="0"/>
      <w:marRight w:val="0"/>
      <w:marTop w:val="0"/>
      <w:marBottom w:val="0"/>
      <w:divBdr>
        <w:top w:val="none" w:sz="0" w:space="0" w:color="auto"/>
        <w:left w:val="none" w:sz="0" w:space="0" w:color="auto"/>
        <w:bottom w:val="none" w:sz="0" w:space="0" w:color="auto"/>
        <w:right w:val="none" w:sz="0" w:space="0" w:color="auto"/>
      </w:divBdr>
    </w:div>
    <w:div w:id="90051869">
      <w:marLeft w:val="0"/>
      <w:marRight w:val="0"/>
      <w:marTop w:val="0"/>
      <w:marBottom w:val="0"/>
      <w:divBdr>
        <w:top w:val="none" w:sz="0" w:space="0" w:color="auto"/>
        <w:left w:val="none" w:sz="0" w:space="0" w:color="auto"/>
        <w:bottom w:val="none" w:sz="0" w:space="0" w:color="auto"/>
        <w:right w:val="none" w:sz="0" w:space="0" w:color="auto"/>
      </w:divBdr>
    </w:div>
    <w:div w:id="90051870">
      <w:marLeft w:val="0"/>
      <w:marRight w:val="0"/>
      <w:marTop w:val="0"/>
      <w:marBottom w:val="0"/>
      <w:divBdr>
        <w:top w:val="none" w:sz="0" w:space="0" w:color="auto"/>
        <w:left w:val="none" w:sz="0" w:space="0" w:color="auto"/>
        <w:bottom w:val="none" w:sz="0" w:space="0" w:color="auto"/>
        <w:right w:val="none" w:sz="0" w:space="0" w:color="auto"/>
      </w:divBdr>
    </w:div>
    <w:div w:id="90051871">
      <w:marLeft w:val="0"/>
      <w:marRight w:val="0"/>
      <w:marTop w:val="0"/>
      <w:marBottom w:val="0"/>
      <w:divBdr>
        <w:top w:val="none" w:sz="0" w:space="0" w:color="auto"/>
        <w:left w:val="none" w:sz="0" w:space="0" w:color="auto"/>
        <w:bottom w:val="none" w:sz="0" w:space="0" w:color="auto"/>
        <w:right w:val="none" w:sz="0" w:space="0" w:color="auto"/>
      </w:divBdr>
    </w:div>
    <w:div w:id="90051872">
      <w:marLeft w:val="0"/>
      <w:marRight w:val="0"/>
      <w:marTop w:val="0"/>
      <w:marBottom w:val="0"/>
      <w:divBdr>
        <w:top w:val="none" w:sz="0" w:space="0" w:color="auto"/>
        <w:left w:val="none" w:sz="0" w:space="0" w:color="auto"/>
        <w:bottom w:val="none" w:sz="0" w:space="0" w:color="auto"/>
        <w:right w:val="none" w:sz="0" w:space="0" w:color="auto"/>
      </w:divBdr>
    </w:div>
    <w:div w:id="90051873">
      <w:marLeft w:val="0"/>
      <w:marRight w:val="0"/>
      <w:marTop w:val="0"/>
      <w:marBottom w:val="0"/>
      <w:divBdr>
        <w:top w:val="none" w:sz="0" w:space="0" w:color="auto"/>
        <w:left w:val="none" w:sz="0" w:space="0" w:color="auto"/>
        <w:bottom w:val="none" w:sz="0" w:space="0" w:color="auto"/>
        <w:right w:val="none" w:sz="0" w:space="0" w:color="auto"/>
      </w:divBdr>
    </w:div>
    <w:div w:id="90051874">
      <w:marLeft w:val="0"/>
      <w:marRight w:val="0"/>
      <w:marTop w:val="0"/>
      <w:marBottom w:val="0"/>
      <w:divBdr>
        <w:top w:val="none" w:sz="0" w:space="0" w:color="auto"/>
        <w:left w:val="none" w:sz="0" w:space="0" w:color="auto"/>
        <w:bottom w:val="none" w:sz="0" w:space="0" w:color="auto"/>
        <w:right w:val="none" w:sz="0" w:space="0" w:color="auto"/>
      </w:divBdr>
    </w:div>
    <w:div w:id="90051875">
      <w:marLeft w:val="0"/>
      <w:marRight w:val="0"/>
      <w:marTop w:val="0"/>
      <w:marBottom w:val="0"/>
      <w:divBdr>
        <w:top w:val="none" w:sz="0" w:space="0" w:color="auto"/>
        <w:left w:val="none" w:sz="0" w:space="0" w:color="auto"/>
        <w:bottom w:val="none" w:sz="0" w:space="0" w:color="auto"/>
        <w:right w:val="none" w:sz="0" w:space="0" w:color="auto"/>
      </w:divBdr>
    </w:div>
    <w:div w:id="90051876">
      <w:marLeft w:val="0"/>
      <w:marRight w:val="0"/>
      <w:marTop w:val="0"/>
      <w:marBottom w:val="0"/>
      <w:divBdr>
        <w:top w:val="none" w:sz="0" w:space="0" w:color="auto"/>
        <w:left w:val="none" w:sz="0" w:space="0" w:color="auto"/>
        <w:bottom w:val="none" w:sz="0" w:space="0" w:color="auto"/>
        <w:right w:val="none" w:sz="0" w:space="0" w:color="auto"/>
      </w:divBdr>
    </w:div>
    <w:div w:id="90051877">
      <w:marLeft w:val="0"/>
      <w:marRight w:val="0"/>
      <w:marTop w:val="0"/>
      <w:marBottom w:val="0"/>
      <w:divBdr>
        <w:top w:val="none" w:sz="0" w:space="0" w:color="auto"/>
        <w:left w:val="none" w:sz="0" w:space="0" w:color="auto"/>
        <w:bottom w:val="none" w:sz="0" w:space="0" w:color="auto"/>
        <w:right w:val="none" w:sz="0" w:space="0" w:color="auto"/>
      </w:divBdr>
    </w:div>
    <w:div w:id="90051879">
      <w:marLeft w:val="0"/>
      <w:marRight w:val="0"/>
      <w:marTop w:val="0"/>
      <w:marBottom w:val="0"/>
      <w:divBdr>
        <w:top w:val="none" w:sz="0" w:space="0" w:color="auto"/>
        <w:left w:val="none" w:sz="0" w:space="0" w:color="auto"/>
        <w:bottom w:val="none" w:sz="0" w:space="0" w:color="auto"/>
        <w:right w:val="none" w:sz="0" w:space="0" w:color="auto"/>
      </w:divBdr>
    </w:div>
    <w:div w:id="90051880">
      <w:marLeft w:val="0"/>
      <w:marRight w:val="0"/>
      <w:marTop w:val="0"/>
      <w:marBottom w:val="0"/>
      <w:divBdr>
        <w:top w:val="none" w:sz="0" w:space="0" w:color="auto"/>
        <w:left w:val="none" w:sz="0" w:space="0" w:color="auto"/>
        <w:bottom w:val="none" w:sz="0" w:space="0" w:color="auto"/>
        <w:right w:val="none" w:sz="0" w:space="0" w:color="auto"/>
      </w:divBdr>
    </w:div>
    <w:div w:id="90051881">
      <w:marLeft w:val="0"/>
      <w:marRight w:val="0"/>
      <w:marTop w:val="0"/>
      <w:marBottom w:val="0"/>
      <w:divBdr>
        <w:top w:val="none" w:sz="0" w:space="0" w:color="auto"/>
        <w:left w:val="none" w:sz="0" w:space="0" w:color="auto"/>
        <w:bottom w:val="none" w:sz="0" w:space="0" w:color="auto"/>
        <w:right w:val="none" w:sz="0" w:space="0" w:color="auto"/>
      </w:divBdr>
    </w:div>
    <w:div w:id="90051882">
      <w:marLeft w:val="0"/>
      <w:marRight w:val="0"/>
      <w:marTop w:val="0"/>
      <w:marBottom w:val="0"/>
      <w:divBdr>
        <w:top w:val="none" w:sz="0" w:space="0" w:color="auto"/>
        <w:left w:val="none" w:sz="0" w:space="0" w:color="auto"/>
        <w:bottom w:val="none" w:sz="0" w:space="0" w:color="auto"/>
        <w:right w:val="none" w:sz="0" w:space="0" w:color="auto"/>
      </w:divBdr>
    </w:div>
    <w:div w:id="90051883">
      <w:marLeft w:val="0"/>
      <w:marRight w:val="0"/>
      <w:marTop w:val="0"/>
      <w:marBottom w:val="0"/>
      <w:divBdr>
        <w:top w:val="none" w:sz="0" w:space="0" w:color="auto"/>
        <w:left w:val="none" w:sz="0" w:space="0" w:color="auto"/>
        <w:bottom w:val="none" w:sz="0" w:space="0" w:color="auto"/>
        <w:right w:val="none" w:sz="0" w:space="0" w:color="auto"/>
      </w:divBdr>
    </w:div>
    <w:div w:id="90051884">
      <w:marLeft w:val="0"/>
      <w:marRight w:val="0"/>
      <w:marTop w:val="0"/>
      <w:marBottom w:val="0"/>
      <w:divBdr>
        <w:top w:val="none" w:sz="0" w:space="0" w:color="auto"/>
        <w:left w:val="none" w:sz="0" w:space="0" w:color="auto"/>
        <w:bottom w:val="none" w:sz="0" w:space="0" w:color="auto"/>
        <w:right w:val="none" w:sz="0" w:space="0" w:color="auto"/>
      </w:divBdr>
    </w:div>
    <w:div w:id="90051885">
      <w:marLeft w:val="0"/>
      <w:marRight w:val="0"/>
      <w:marTop w:val="0"/>
      <w:marBottom w:val="0"/>
      <w:divBdr>
        <w:top w:val="none" w:sz="0" w:space="0" w:color="auto"/>
        <w:left w:val="none" w:sz="0" w:space="0" w:color="auto"/>
        <w:bottom w:val="none" w:sz="0" w:space="0" w:color="auto"/>
        <w:right w:val="none" w:sz="0" w:space="0" w:color="auto"/>
      </w:divBdr>
    </w:div>
    <w:div w:id="90051886">
      <w:marLeft w:val="0"/>
      <w:marRight w:val="0"/>
      <w:marTop w:val="0"/>
      <w:marBottom w:val="0"/>
      <w:divBdr>
        <w:top w:val="none" w:sz="0" w:space="0" w:color="auto"/>
        <w:left w:val="none" w:sz="0" w:space="0" w:color="auto"/>
        <w:bottom w:val="none" w:sz="0" w:space="0" w:color="auto"/>
        <w:right w:val="none" w:sz="0" w:space="0" w:color="auto"/>
      </w:divBdr>
    </w:div>
    <w:div w:id="90051887">
      <w:marLeft w:val="0"/>
      <w:marRight w:val="0"/>
      <w:marTop w:val="0"/>
      <w:marBottom w:val="0"/>
      <w:divBdr>
        <w:top w:val="none" w:sz="0" w:space="0" w:color="auto"/>
        <w:left w:val="none" w:sz="0" w:space="0" w:color="auto"/>
        <w:bottom w:val="none" w:sz="0" w:space="0" w:color="auto"/>
        <w:right w:val="none" w:sz="0" w:space="0" w:color="auto"/>
      </w:divBdr>
    </w:div>
    <w:div w:id="90051888">
      <w:marLeft w:val="0"/>
      <w:marRight w:val="0"/>
      <w:marTop w:val="0"/>
      <w:marBottom w:val="0"/>
      <w:divBdr>
        <w:top w:val="none" w:sz="0" w:space="0" w:color="auto"/>
        <w:left w:val="none" w:sz="0" w:space="0" w:color="auto"/>
        <w:bottom w:val="none" w:sz="0" w:space="0" w:color="auto"/>
        <w:right w:val="none" w:sz="0" w:space="0" w:color="auto"/>
      </w:divBdr>
    </w:div>
    <w:div w:id="90051889">
      <w:marLeft w:val="0"/>
      <w:marRight w:val="0"/>
      <w:marTop w:val="0"/>
      <w:marBottom w:val="0"/>
      <w:divBdr>
        <w:top w:val="none" w:sz="0" w:space="0" w:color="auto"/>
        <w:left w:val="none" w:sz="0" w:space="0" w:color="auto"/>
        <w:bottom w:val="none" w:sz="0" w:space="0" w:color="auto"/>
        <w:right w:val="none" w:sz="0" w:space="0" w:color="auto"/>
      </w:divBdr>
    </w:div>
    <w:div w:id="90051890">
      <w:marLeft w:val="0"/>
      <w:marRight w:val="0"/>
      <w:marTop w:val="0"/>
      <w:marBottom w:val="0"/>
      <w:divBdr>
        <w:top w:val="none" w:sz="0" w:space="0" w:color="auto"/>
        <w:left w:val="none" w:sz="0" w:space="0" w:color="auto"/>
        <w:bottom w:val="none" w:sz="0" w:space="0" w:color="auto"/>
        <w:right w:val="none" w:sz="0" w:space="0" w:color="auto"/>
      </w:divBdr>
    </w:div>
    <w:div w:id="90051891">
      <w:marLeft w:val="0"/>
      <w:marRight w:val="0"/>
      <w:marTop w:val="0"/>
      <w:marBottom w:val="0"/>
      <w:divBdr>
        <w:top w:val="none" w:sz="0" w:space="0" w:color="auto"/>
        <w:left w:val="none" w:sz="0" w:space="0" w:color="auto"/>
        <w:bottom w:val="none" w:sz="0" w:space="0" w:color="auto"/>
        <w:right w:val="none" w:sz="0" w:space="0" w:color="auto"/>
      </w:divBdr>
    </w:div>
    <w:div w:id="90051892">
      <w:marLeft w:val="0"/>
      <w:marRight w:val="0"/>
      <w:marTop w:val="0"/>
      <w:marBottom w:val="0"/>
      <w:divBdr>
        <w:top w:val="none" w:sz="0" w:space="0" w:color="auto"/>
        <w:left w:val="none" w:sz="0" w:space="0" w:color="auto"/>
        <w:bottom w:val="none" w:sz="0" w:space="0" w:color="auto"/>
        <w:right w:val="none" w:sz="0" w:space="0" w:color="auto"/>
      </w:divBdr>
    </w:div>
    <w:div w:id="90051893">
      <w:marLeft w:val="0"/>
      <w:marRight w:val="0"/>
      <w:marTop w:val="0"/>
      <w:marBottom w:val="0"/>
      <w:divBdr>
        <w:top w:val="none" w:sz="0" w:space="0" w:color="auto"/>
        <w:left w:val="none" w:sz="0" w:space="0" w:color="auto"/>
        <w:bottom w:val="none" w:sz="0" w:space="0" w:color="auto"/>
        <w:right w:val="none" w:sz="0" w:space="0" w:color="auto"/>
      </w:divBdr>
    </w:div>
    <w:div w:id="90051894">
      <w:marLeft w:val="0"/>
      <w:marRight w:val="0"/>
      <w:marTop w:val="0"/>
      <w:marBottom w:val="0"/>
      <w:divBdr>
        <w:top w:val="none" w:sz="0" w:space="0" w:color="auto"/>
        <w:left w:val="none" w:sz="0" w:space="0" w:color="auto"/>
        <w:bottom w:val="none" w:sz="0" w:space="0" w:color="auto"/>
        <w:right w:val="none" w:sz="0" w:space="0" w:color="auto"/>
      </w:divBdr>
    </w:div>
    <w:div w:id="90051895">
      <w:marLeft w:val="0"/>
      <w:marRight w:val="0"/>
      <w:marTop w:val="0"/>
      <w:marBottom w:val="0"/>
      <w:divBdr>
        <w:top w:val="none" w:sz="0" w:space="0" w:color="auto"/>
        <w:left w:val="none" w:sz="0" w:space="0" w:color="auto"/>
        <w:bottom w:val="none" w:sz="0" w:space="0" w:color="auto"/>
        <w:right w:val="none" w:sz="0" w:space="0" w:color="auto"/>
      </w:divBdr>
    </w:div>
    <w:div w:id="90051896">
      <w:marLeft w:val="0"/>
      <w:marRight w:val="0"/>
      <w:marTop w:val="0"/>
      <w:marBottom w:val="0"/>
      <w:divBdr>
        <w:top w:val="none" w:sz="0" w:space="0" w:color="auto"/>
        <w:left w:val="none" w:sz="0" w:space="0" w:color="auto"/>
        <w:bottom w:val="none" w:sz="0" w:space="0" w:color="auto"/>
        <w:right w:val="none" w:sz="0" w:space="0" w:color="auto"/>
      </w:divBdr>
    </w:div>
    <w:div w:id="90051897">
      <w:marLeft w:val="0"/>
      <w:marRight w:val="0"/>
      <w:marTop w:val="0"/>
      <w:marBottom w:val="0"/>
      <w:divBdr>
        <w:top w:val="none" w:sz="0" w:space="0" w:color="auto"/>
        <w:left w:val="none" w:sz="0" w:space="0" w:color="auto"/>
        <w:bottom w:val="none" w:sz="0" w:space="0" w:color="auto"/>
        <w:right w:val="none" w:sz="0" w:space="0" w:color="auto"/>
      </w:divBdr>
    </w:div>
    <w:div w:id="90051898">
      <w:marLeft w:val="0"/>
      <w:marRight w:val="0"/>
      <w:marTop w:val="0"/>
      <w:marBottom w:val="0"/>
      <w:divBdr>
        <w:top w:val="none" w:sz="0" w:space="0" w:color="auto"/>
        <w:left w:val="none" w:sz="0" w:space="0" w:color="auto"/>
        <w:bottom w:val="none" w:sz="0" w:space="0" w:color="auto"/>
        <w:right w:val="none" w:sz="0" w:space="0" w:color="auto"/>
      </w:divBdr>
    </w:div>
    <w:div w:id="90051899">
      <w:marLeft w:val="0"/>
      <w:marRight w:val="0"/>
      <w:marTop w:val="0"/>
      <w:marBottom w:val="0"/>
      <w:divBdr>
        <w:top w:val="none" w:sz="0" w:space="0" w:color="auto"/>
        <w:left w:val="none" w:sz="0" w:space="0" w:color="auto"/>
        <w:bottom w:val="none" w:sz="0" w:space="0" w:color="auto"/>
        <w:right w:val="none" w:sz="0" w:space="0" w:color="auto"/>
      </w:divBdr>
    </w:div>
    <w:div w:id="90051900">
      <w:marLeft w:val="0"/>
      <w:marRight w:val="0"/>
      <w:marTop w:val="0"/>
      <w:marBottom w:val="0"/>
      <w:divBdr>
        <w:top w:val="none" w:sz="0" w:space="0" w:color="auto"/>
        <w:left w:val="none" w:sz="0" w:space="0" w:color="auto"/>
        <w:bottom w:val="none" w:sz="0" w:space="0" w:color="auto"/>
        <w:right w:val="none" w:sz="0" w:space="0" w:color="auto"/>
      </w:divBdr>
    </w:div>
    <w:div w:id="90051901">
      <w:marLeft w:val="0"/>
      <w:marRight w:val="0"/>
      <w:marTop w:val="0"/>
      <w:marBottom w:val="0"/>
      <w:divBdr>
        <w:top w:val="none" w:sz="0" w:space="0" w:color="auto"/>
        <w:left w:val="none" w:sz="0" w:space="0" w:color="auto"/>
        <w:bottom w:val="none" w:sz="0" w:space="0" w:color="auto"/>
        <w:right w:val="none" w:sz="0" w:space="0" w:color="auto"/>
      </w:divBdr>
    </w:div>
    <w:div w:id="90051902">
      <w:marLeft w:val="0"/>
      <w:marRight w:val="0"/>
      <w:marTop w:val="0"/>
      <w:marBottom w:val="0"/>
      <w:divBdr>
        <w:top w:val="none" w:sz="0" w:space="0" w:color="auto"/>
        <w:left w:val="none" w:sz="0" w:space="0" w:color="auto"/>
        <w:bottom w:val="none" w:sz="0" w:space="0" w:color="auto"/>
        <w:right w:val="none" w:sz="0" w:space="0" w:color="auto"/>
      </w:divBdr>
    </w:div>
    <w:div w:id="90051903">
      <w:marLeft w:val="0"/>
      <w:marRight w:val="0"/>
      <w:marTop w:val="0"/>
      <w:marBottom w:val="0"/>
      <w:divBdr>
        <w:top w:val="none" w:sz="0" w:space="0" w:color="auto"/>
        <w:left w:val="none" w:sz="0" w:space="0" w:color="auto"/>
        <w:bottom w:val="none" w:sz="0" w:space="0" w:color="auto"/>
        <w:right w:val="none" w:sz="0" w:space="0" w:color="auto"/>
      </w:divBdr>
    </w:div>
    <w:div w:id="90051904">
      <w:marLeft w:val="0"/>
      <w:marRight w:val="0"/>
      <w:marTop w:val="0"/>
      <w:marBottom w:val="0"/>
      <w:divBdr>
        <w:top w:val="none" w:sz="0" w:space="0" w:color="auto"/>
        <w:left w:val="none" w:sz="0" w:space="0" w:color="auto"/>
        <w:bottom w:val="none" w:sz="0" w:space="0" w:color="auto"/>
        <w:right w:val="none" w:sz="0" w:space="0" w:color="auto"/>
      </w:divBdr>
    </w:div>
    <w:div w:id="90051905">
      <w:marLeft w:val="0"/>
      <w:marRight w:val="0"/>
      <w:marTop w:val="0"/>
      <w:marBottom w:val="0"/>
      <w:divBdr>
        <w:top w:val="none" w:sz="0" w:space="0" w:color="auto"/>
        <w:left w:val="none" w:sz="0" w:space="0" w:color="auto"/>
        <w:bottom w:val="none" w:sz="0" w:space="0" w:color="auto"/>
        <w:right w:val="none" w:sz="0" w:space="0" w:color="auto"/>
      </w:divBdr>
    </w:div>
    <w:div w:id="90051906">
      <w:marLeft w:val="0"/>
      <w:marRight w:val="0"/>
      <w:marTop w:val="0"/>
      <w:marBottom w:val="0"/>
      <w:divBdr>
        <w:top w:val="none" w:sz="0" w:space="0" w:color="auto"/>
        <w:left w:val="none" w:sz="0" w:space="0" w:color="auto"/>
        <w:bottom w:val="none" w:sz="0" w:space="0" w:color="auto"/>
        <w:right w:val="none" w:sz="0" w:space="0" w:color="auto"/>
      </w:divBdr>
    </w:div>
    <w:div w:id="90051907">
      <w:marLeft w:val="0"/>
      <w:marRight w:val="0"/>
      <w:marTop w:val="0"/>
      <w:marBottom w:val="0"/>
      <w:divBdr>
        <w:top w:val="none" w:sz="0" w:space="0" w:color="auto"/>
        <w:left w:val="none" w:sz="0" w:space="0" w:color="auto"/>
        <w:bottom w:val="none" w:sz="0" w:space="0" w:color="auto"/>
        <w:right w:val="none" w:sz="0" w:space="0" w:color="auto"/>
      </w:divBdr>
    </w:div>
    <w:div w:id="90051908">
      <w:marLeft w:val="0"/>
      <w:marRight w:val="0"/>
      <w:marTop w:val="0"/>
      <w:marBottom w:val="0"/>
      <w:divBdr>
        <w:top w:val="none" w:sz="0" w:space="0" w:color="auto"/>
        <w:left w:val="none" w:sz="0" w:space="0" w:color="auto"/>
        <w:bottom w:val="none" w:sz="0" w:space="0" w:color="auto"/>
        <w:right w:val="none" w:sz="0" w:space="0" w:color="auto"/>
      </w:divBdr>
    </w:div>
    <w:div w:id="90051909">
      <w:marLeft w:val="0"/>
      <w:marRight w:val="0"/>
      <w:marTop w:val="0"/>
      <w:marBottom w:val="0"/>
      <w:divBdr>
        <w:top w:val="none" w:sz="0" w:space="0" w:color="auto"/>
        <w:left w:val="none" w:sz="0" w:space="0" w:color="auto"/>
        <w:bottom w:val="none" w:sz="0" w:space="0" w:color="auto"/>
        <w:right w:val="none" w:sz="0" w:space="0" w:color="auto"/>
      </w:divBdr>
    </w:div>
    <w:div w:id="90051910">
      <w:marLeft w:val="0"/>
      <w:marRight w:val="0"/>
      <w:marTop w:val="0"/>
      <w:marBottom w:val="0"/>
      <w:divBdr>
        <w:top w:val="none" w:sz="0" w:space="0" w:color="auto"/>
        <w:left w:val="none" w:sz="0" w:space="0" w:color="auto"/>
        <w:bottom w:val="none" w:sz="0" w:space="0" w:color="auto"/>
        <w:right w:val="none" w:sz="0" w:space="0" w:color="auto"/>
      </w:divBdr>
    </w:div>
    <w:div w:id="90051911">
      <w:marLeft w:val="0"/>
      <w:marRight w:val="0"/>
      <w:marTop w:val="0"/>
      <w:marBottom w:val="0"/>
      <w:divBdr>
        <w:top w:val="none" w:sz="0" w:space="0" w:color="auto"/>
        <w:left w:val="none" w:sz="0" w:space="0" w:color="auto"/>
        <w:bottom w:val="none" w:sz="0" w:space="0" w:color="auto"/>
        <w:right w:val="none" w:sz="0" w:space="0" w:color="auto"/>
      </w:divBdr>
    </w:div>
    <w:div w:id="90051912">
      <w:marLeft w:val="0"/>
      <w:marRight w:val="0"/>
      <w:marTop w:val="0"/>
      <w:marBottom w:val="0"/>
      <w:divBdr>
        <w:top w:val="none" w:sz="0" w:space="0" w:color="auto"/>
        <w:left w:val="none" w:sz="0" w:space="0" w:color="auto"/>
        <w:bottom w:val="none" w:sz="0" w:space="0" w:color="auto"/>
        <w:right w:val="none" w:sz="0" w:space="0" w:color="auto"/>
      </w:divBdr>
    </w:div>
    <w:div w:id="192695913">
      <w:bodyDiv w:val="1"/>
      <w:marLeft w:val="0"/>
      <w:marRight w:val="0"/>
      <w:marTop w:val="0"/>
      <w:marBottom w:val="0"/>
      <w:divBdr>
        <w:top w:val="none" w:sz="0" w:space="0" w:color="auto"/>
        <w:left w:val="none" w:sz="0" w:space="0" w:color="auto"/>
        <w:bottom w:val="none" w:sz="0" w:space="0" w:color="auto"/>
        <w:right w:val="none" w:sz="0" w:space="0" w:color="auto"/>
      </w:divBdr>
    </w:div>
    <w:div w:id="225074556">
      <w:bodyDiv w:val="1"/>
      <w:marLeft w:val="0"/>
      <w:marRight w:val="0"/>
      <w:marTop w:val="0"/>
      <w:marBottom w:val="0"/>
      <w:divBdr>
        <w:top w:val="none" w:sz="0" w:space="0" w:color="auto"/>
        <w:left w:val="none" w:sz="0" w:space="0" w:color="auto"/>
        <w:bottom w:val="none" w:sz="0" w:space="0" w:color="auto"/>
        <w:right w:val="none" w:sz="0" w:space="0" w:color="auto"/>
      </w:divBdr>
      <w:divsChild>
        <w:div w:id="267543009">
          <w:marLeft w:val="0"/>
          <w:marRight w:val="0"/>
          <w:marTop w:val="0"/>
          <w:marBottom w:val="0"/>
          <w:divBdr>
            <w:top w:val="none" w:sz="0" w:space="0" w:color="auto"/>
            <w:left w:val="none" w:sz="0" w:space="0" w:color="auto"/>
            <w:bottom w:val="none" w:sz="0" w:space="0" w:color="auto"/>
            <w:right w:val="none" w:sz="0" w:space="0" w:color="auto"/>
          </w:divBdr>
          <w:divsChild>
            <w:div w:id="393702525">
              <w:marLeft w:val="0"/>
              <w:marRight w:val="0"/>
              <w:marTop w:val="0"/>
              <w:marBottom w:val="0"/>
              <w:divBdr>
                <w:top w:val="none" w:sz="0" w:space="0" w:color="auto"/>
                <w:left w:val="none" w:sz="0" w:space="0" w:color="auto"/>
                <w:bottom w:val="none" w:sz="0" w:space="0" w:color="auto"/>
                <w:right w:val="none" w:sz="0" w:space="0" w:color="auto"/>
              </w:divBdr>
              <w:divsChild>
                <w:div w:id="644237171">
                  <w:marLeft w:val="0"/>
                  <w:marRight w:val="0"/>
                  <w:marTop w:val="0"/>
                  <w:marBottom w:val="0"/>
                  <w:divBdr>
                    <w:top w:val="none" w:sz="0" w:space="0" w:color="auto"/>
                    <w:left w:val="none" w:sz="0" w:space="0" w:color="auto"/>
                    <w:bottom w:val="none" w:sz="0" w:space="0" w:color="auto"/>
                    <w:right w:val="none" w:sz="0" w:space="0" w:color="auto"/>
                  </w:divBdr>
                  <w:divsChild>
                    <w:div w:id="1194541655">
                      <w:marLeft w:val="0"/>
                      <w:marRight w:val="0"/>
                      <w:marTop w:val="45"/>
                      <w:marBottom w:val="0"/>
                      <w:divBdr>
                        <w:top w:val="none" w:sz="0" w:space="0" w:color="auto"/>
                        <w:left w:val="none" w:sz="0" w:space="0" w:color="auto"/>
                        <w:bottom w:val="none" w:sz="0" w:space="0" w:color="auto"/>
                        <w:right w:val="none" w:sz="0" w:space="0" w:color="auto"/>
                      </w:divBdr>
                      <w:divsChild>
                        <w:div w:id="1807817628">
                          <w:marLeft w:val="0"/>
                          <w:marRight w:val="0"/>
                          <w:marTop w:val="0"/>
                          <w:marBottom w:val="0"/>
                          <w:divBdr>
                            <w:top w:val="none" w:sz="0" w:space="0" w:color="auto"/>
                            <w:left w:val="none" w:sz="0" w:space="0" w:color="auto"/>
                            <w:bottom w:val="none" w:sz="0" w:space="0" w:color="auto"/>
                            <w:right w:val="none" w:sz="0" w:space="0" w:color="auto"/>
                          </w:divBdr>
                          <w:divsChild>
                            <w:div w:id="976492575">
                              <w:marLeft w:val="2070"/>
                              <w:marRight w:val="3960"/>
                              <w:marTop w:val="0"/>
                              <w:marBottom w:val="0"/>
                              <w:divBdr>
                                <w:top w:val="none" w:sz="0" w:space="0" w:color="auto"/>
                                <w:left w:val="none" w:sz="0" w:space="0" w:color="auto"/>
                                <w:bottom w:val="none" w:sz="0" w:space="0" w:color="auto"/>
                                <w:right w:val="none" w:sz="0" w:space="0" w:color="auto"/>
                              </w:divBdr>
                              <w:divsChild>
                                <w:div w:id="438960757">
                                  <w:marLeft w:val="0"/>
                                  <w:marRight w:val="0"/>
                                  <w:marTop w:val="0"/>
                                  <w:marBottom w:val="0"/>
                                  <w:divBdr>
                                    <w:top w:val="none" w:sz="0" w:space="0" w:color="auto"/>
                                    <w:left w:val="none" w:sz="0" w:space="0" w:color="auto"/>
                                    <w:bottom w:val="none" w:sz="0" w:space="0" w:color="auto"/>
                                    <w:right w:val="none" w:sz="0" w:space="0" w:color="auto"/>
                                  </w:divBdr>
                                  <w:divsChild>
                                    <w:div w:id="1423644581">
                                      <w:marLeft w:val="0"/>
                                      <w:marRight w:val="0"/>
                                      <w:marTop w:val="0"/>
                                      <w:marBottom w:val="0"/>
                                      <w:divBdr>
                                        <w:top w:val="none" w:sz="0" w:space="0" w:color="auto"/>
                                        <w:left w:val="none" w:sz="0" w:space="0" w:color="auto"/>
                                        <w:bottom w:val="none" w:sz="0" w:space="0" w:color="auto"/>
                                        <w:right w:val="none" w:sz="0" w:space="0" w:color="auto"/>
                                      </w:divBdr>
                                      <w:divsChild>
                                        <w:div w:id="1983120947">
                                          <w:marLeft w:val="0"/>
                                          <w:marRight w:val="0"/>
                                          <w:marTop w:val="0"/>
                                          <w:marBottom w:val="0"/>
                                          <w:divBdr>
                                            <w:top w:val="none" w:sz="0" w:space="0" w:color="auto"/>
                                            <w:left w:val="none" w:sz="0" w:space="0" w:color="auto"/>
                                            <w:bottom w:val="none" w:sz="0" w:space="0" w:color="auto"/>
                                            <w:right w:val="none" w:sz="0" w:space="0" w:color="auto"/>
                                          </w:divBdr>
                                          <w:divsChild>
                                            <w:div w:id="1092815509">
                                              <w:marLeft w:val="0"/>
                                              <w:marRight w:val="0"/>
                                              <w:marTop w:val="90"/>
                                              <w:marBottom w:val="0"/>
                                              <w:divBdr>
                                                <w:top w:val="none" w:sz="0" w:space="0" w:color="auto"/>
                                                <w:left w:val="none" w:sz="0" w:space="0" w:color="auto"/>
                                                <w:bottom w:val="none" w:sz="0" w:space="0" w:color="auto"/>
                                                <w:right w:val="none" w:sz="0" w:space="0" w:color="auto"/>
                                              </w:divBdr>
                                              <w:divsChild>
                                                <w:div w:id="766972777">
                                                  <w:marLeft w:val="0"/>
                                                  <w:marRight w:val="0"/>
                                                  <w:marTop w:val="0"/>
                                                  <w:marBottom w:val="0"/>
                                                  <w:divBdr>
                                                    <w:top w:val="none" w:sz="0" w:space="0" w:color="auto"/>
                                                    <w:left w:val="none" w:sz="0" w:space="0" w:color="auto"/>
                                                    <w:bottom w:val="none" w:sz="0" w:space="0" w:color="auto"/>
                                                    <w:right w:val="none" w:sz="0" w:space="0" w:color="auto"/>
                                                  </w:divBdr>
                                                  <w:divsChild>
                                                    <w:div w:id="2080907194">
                                                      <w:marLeft w:val="0"/>
                                                      <w:marRight w:val="0"/>
                                                      <w:marTop w:val="0"/>
                                                      <w:marBottom w:val="0"/>
                                                      <w:divBdr>
                                                        <w:top w:val="none" w:sz="0" w:space="0" w:color="auto"/>
                                                        <w:left w:val="none" w:sz="0" w:space="0" w:color="auto"/>
                                                        <w:bottom w:val="none" w:sz="0" w:space="0" w:color="auto"/>
                                                        <w:right w:val="none" w:sz="0" w:space="0" w:color="auto"/>
                                                      </w:divBdr>
                                                      <w:divsChild>
                                                        <w:div w:id="1770394075">
                                                          <w:marLeft w:val="0"/>
                                                          <w:marRight w:val="0"/>
                                                          <w:marTop w:val="0"/>
                                                          <w:marBottom w:val="390"/>
                                                          <w:divBdr>
                                                            <w:top w:val="none" w:sz="0" w:space="0" w:color="auto"/>
                                                            <w:left w:val="none" w:sz="0" w:space="0" w:color="auto"/>
                                                            <w:bottom w:val="none" w:sz="0" w:space="0" w:color="auto"/>
                                                            <w:right w:val="none" w:sz="0" w:space="0" w:color="auto"/>
                                                          </w:divBdr>
                                                          <w:divsChild>
                                                            <w:div w:id="338121743">
                                                              <w:marLeft w:val="0"/>
                                                              <w:marRight w:val="0"/>
                                                              <w:marTop w:val="0"/>
                                                              <w:marBottom w:val="0"/>
                                                              <w:divBdr>
                                                                <w:top w:val="none" w:sz="0" w:space="0" w:color="auto"/>
                                                                <w:left w:val="none" w:sz="0" w:space="0" w:color="auto"/>
                                                                <w:bottom w:val="none" w:sz="0" w:space="0" w:color="auto"/>
                                                                <w:right w:val="none" w:sz="0" w:space="0" w:color="auto"/>
                                                              </w:divBdr>
                                                              <w:divsChild>
                                                                <w:div w:id="1762557287">
                                                                  <w:marLeft w:val="0"/>
                                                                  <w:marRight w:val="0"/>
                                                                  <w:marTop w:val="0"/>
                                                                  <w:marBottom w:val="0"/>
                                                                  <w:divBdr>
                                                                    <w:top w:val="none" w:sz="0" w:space="0" w:color="auto"/>
                                                                    <w:left w:val="none" w:sz="0" w:space="0" w:color="auto"/>
                                                                    <w:bottom w:val="none" w:sz="0" w:space="0" w:color="auto"/>
                                                                    <w:right w:val="none" w:sz="0" w:space="0" w:color="auto"/>
                                                                  </w:divBdr>
                                                                  <w:divsChild>
                                                                    <w:div w:id="289438224">
                                                                      <w:marLeft w:val="0"/>
                                                                      <w:marRight w:val="0"/>
                                                                      <w:marTop w:val="0"/>
                                                                      <w:marBottom w:val="0"/>
                                                                      <w:divBdr>
                                                                        <w:top w:val="none" w:sz="0" w:space="0" w:color="auto"/>
                                                                        <w:left w:val="none" w:sz="0" w:space="0" w:color="auto"/>
                                                                        <w:bottom w:val="none" w:sz="0" w:space="0" w:color="auto"/>
                                                                        <w:right w:val="none" w:sz="0" w:space="0" w:color="auto"/>
                                                                      </w:divBdr>
                                                                      <w:divsChild>
                                                                        <w:div w:id="1291934710">
                                                                          <w:marLeft w:val="0"/>
                                                                          <w:marRight w:val="0"/>
                                                                          <w:marTop w:val="0"/>
                                                                          <w:marBottom w:val="0"/>
                                                                          <w:divBdr>
                                                                            <w:top w:val="none" w:sz="0" w:space="0" w:color="auto"/>
                                                                            <w:left w:val="none" w:sz="0" w:space="0" w:color="auto"/>
                                                                            <w:bottom w:val="none" w:sz="0" w:space="0" w:color="auto"/>
                                                                            <w:right w:val="none" w:sz="0" w:space="0" w:color="auto"/>
                                                                          </w:divBdr>
                                                                          <w:divsChild>
                                                                            <w:div w:id="534007038">
                                                                              <w:marLeft w:val="0"/>
                                                                              <w:marRight w:val="0"/>
                                                                              <w:marTop w:val="0"/>
                                                                              <w:marBottom w:val="0"/>
                                                                              <w:divBdr>
                                                                                <w:top w:val="none" w:sz="0" w:space="0" w:color="auto"/>
                                                                                <w:left w:val="none" w:sz="0" w:space="0" w:color="auto"/>
                                                                                <w:bottom w:val="none" w:sz="0" w:space="0" w:color="auto"/>
                                                                                <w:right w:val="none" w:sz="0" w:space="0" w:color="auto"/>
                                                                              </w:divBdr>
                                                                              <w:divsChild>
                                                                                <w:div w:id="1874075197">
                                                                                  <w:marLeft w:val="0"/>
                                                                                  <w:marRight w:val="0"/>
                                                                                  <w:marTop w:val="0"/>
                                                                                  <w:marBottom w:val="0"/>
                                                                                  <w:divBdr>
                                                                                    <w:top w:val="none" w:sz="0" w:space="0" w:color="auto"/>
                                                                                    <w:left w:val="none" w:sz="0" w:space="0" w:color="auto"/>
                                                                                    <w:bottom w:val="none" w:sz="0" w:space="0" w:color="auto"/>
                                                                                    <w:right w:val="none" w:sz="0" w:space="0" w:color="auto"/>
                                                                                  </w:divBdr>
                                                                                  <w:divsChild>
                                                                                    <w:div w:id="868295478">
                                                                                      <w:marLeft w:val="0"/>
                                                                                      <w:marRight w:val="0"/>
                                                                                      <w:marTop w:val="0"/>
                                                                                      <w:marBottom w:val="0"/>
                                                                                      <w:divBdr>
                                                                                        <w:top w:val="none" w:sz="0" w:space="0" w:color="auto"/>
                                                                                        <w:left w:val="none" w:sz="0" w:space="0" w:color="auto"/>
                                                                                        <w:bottom w:val="none" w:sz="0" w:space="0" w:color="auto"/>
                                                                                        <w:right w:val="none" w:sz="0" w:space="0" w:color="auto"/>
                                                                                      </w:divBdr>
                                                                                      <w:divsChild>
                                                                                        <w:div w:id="17220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889746">
      <w:bodyDiv w:val="1"/>
      <w:marLeft w:val="0"/>
      <w:marRight w:val="0"/>
      <w:marTop w:val="0"/>
      <w:marBottom w:val="0"/>
      <w:divBdr>
        <w:top w:val="none" w:sz="0" w:space="0" w:color="auto"/>
        <w:left w:val="none" w:sz="0" w:space="0" w:color="auto"/>
        <w:bottom w:val="none" w:sz="0" w:space="0" w:color="auto"/>
        <w:right w:val="none" w:sz="0" w:space="0" w:color="auto"/>
      </w:divBdr>
    </w:div>
    <w:div w:id="271404461">
      <w:bodyDiv w:val="1"/>
      <w:marLeft w:val="0"/>
      <w:marRight w:val="0"/>
      <w:marTop w:val="0"/>
      <w:marBottom w:val="0"/>
      <w:divBdr>
        <w:top w:val="none" w:sz="0" w:space="0" w:color="auto"/>
        <w:left w:val="none" w:sz="0" w:space="0" w:color="auto"/>
        <w:bottom w:val="none" w:sz="0" w:space="0" w:color="auto"/>
        <w:right w:val="none" w:sz="0" w:space="0" w:color="auto"/>
      </w:divBdr>
    </w:div>
    <w:div w:id="433134582">
      <w:bodyDiv w:val="1"/>
      <w:marLeft w:val="0"/>
      <w:marRight w:val="0"/>
      <w:marTop w:val="0"/>
      <w:marBottom w:val="0"/>
      <w:divBdr>
        <w:top w:val="none" w:sz="0" w:space="0" w:color="auto"/>
        <w:left w:val="none" w:sz="0" w:space="0" w:color="auto"/>
        <w:bottom w:val="none" w:sz="0" w:space="0" w:color="auto"/>
        <w:right w:val="none" w:sz="0" w:space="0" w:color="auto"/>
      </w:divBdr>
    </w:div>
    <w:div w:id="465977554">
      <w:bodyDiv w:val="1"/>
      <w:marLeft w:val="0"/>
      <w:marRight w:val="0"/>
      <w:marTop w:val="0"/>
      <w:marBottom w:val="0"/>
      <w:divBdr>
        <w:top w:val="none" w:sz="0" w:space="0" w:color="auto"/>
        <w:left w:val="none" w:sz="0" w:space="0" w:color="auto"/>
        <w:bottom w:val="none" w:sz="0" w:space="0" w:color="auto"/>
        <w:right w:val="none" w:sz="0" w:space="0" w:color="auto"/>
      </w:divBdr>
    </w:div>
    <w:div w:id="506097373">
      <w:bodyDiv w:val="1"/>
      <w:marLeft w:val="0"/>
      <w:marRight w:val="0"/>
      <w:marTop w:val="0"/>
      <w:marBottom w:val="0"/>
      <w:divBdr>
        <w:top w:val="none" w:sz="0" w:space="0" w:color="auto"/>
        <w:left w:val="none" w:sz="0" w:space="0" w:color="auto"/>
        <w:bottom w:val="none" w:sz="0" w:space="0" w:color="auto"/>
        <w:right w:val="none" w:sz="0" w:space="0" w:color="auto"/>
      </w:divBdr>
    </w:div>
    <w:div w:id="511601834">
      <w:bodyDiv w:val="1"/>
      <w:marLeft w:val="0"/>
      <w:marRight w:val="0"/>
      <w:marTop w:val="0"/>
      <w:marBottom w:val="0"/>
      <w:divBdr>
        <w:top w:val="none" w:sz="0" w:space="0" w:color="auto"/>
        <w:left w:val="none" w:sz="0" w:space="0" w:color="auto"/>
        <w:bottom w:val="none" w:sz="0" w:space="0" w:color="auto"/>
        <w:right w:val="none" w:sz="0" w:space="0" w:color="auto"/>
      </w:divBdr>
    </w:div>
    <w:div w:id="544878504">
      <w:bodyDiv w:val="1"/>
      <w:marLeft w:val="0"/>
      <w:marRight w:val="0"/>
      <w:marTop w:val="0"/>
      <w:marBottom w:val="0"/>
      <w:divBdr>
        <w:top w:val="none" w:sz="0" w:space="0" w:color="auto"/>
        <w:left w:val="none" w:sz="0" w:space="0" w:color="auto"/>
        <w:bottom w:val="none" w:sz="0" w:space="0" w:color="auto"/>
        <w:right w:val="none" w:sz="0" w:space="0" w:color="auto"/>
      </w:divBdr>
      <w:divsChild>
        <w:div w:id="565262254">
          <w:marLeft w:val="0"/>
          <w:marRight w:val="0"/>
          <w:marTop w:val="0"/>
          <w:marBottom w:val="0"/>
          <w:divBdr>
            <w:top w:val="none" w:sz="0" w:space="0" w:color="auto"/>
            <w:left w:val="none" w:sz="0" w:space="0" w:color="auto"/>
            <w:bottom w:val="none" w:sz="0" w:space="0" w:color="auto"/>
            <w:right w:val="none" w:sz="0" w:space="0" w:color="auto"/>
          </w:divBdr>
          <w:divsChild>
            <w:div w:id="1264724916">
              <w:marLeft w:val="0"/>
              <w:marRight w:val="0"/>
              <w:marTop w:val="0"/>
              <w:marBottom w:val="0"/>
              <w:divBdr>
                <w:top w:val="none" w:sz="0" w:space="0" w:color="auto"/>
                <w:left w:val="none" w:sz="0" w:space="0" w:color="auto"/>
                <w:bottom w:val="none" w:sz="0" w:space="0" w:color="auto"/>
                <w:right w:val="none" w:sz="0" w:space="0" w:color="auto"/>
              </w:divBdr>
              <w:divsChild>
                <w:div w:id="1187135795">
                  <w:marLeft w:val="0"/>
                  <w:marRight w:val="0"/>
                  <w:marTop w:val="0"/>
                  <w:marBottom w:val="0"/>
                  <w:divBdr>
                    <w:top w:val="none" w:sz="0" w:space="0" w:color="auto"/>
                    <w:left w:val="none" w:sz="0" w:space="0" w:color="auto"/>
                    <w:bottom w:val="none" w:sz="0" w:space="0" w:color="auto"/>
                    <w:right w:val="none" w:sz="0" w:space="0" w:color="auto"/>
                  </w:divBdr>
                  <w:divsChild>
                    <w:div w:id="1510831851">
                      <w:marLeft w:val="0"/>
                      <w:marRight w:val="0"/>
                      <w:marTop w:val="45"/>
                      <w:marBottom w:val="0"/>
                      <w:divBdr>
                        <w:top w:val="none" w:sz="0" w:space="0" w:color="auto"/>
                        <w:left w:val="none" w:sz="0" w:space="0" w:color="auto"/>
                        <w:bottom w:val="none" w:sz="0" w:space="0" w:color="auto"/>
                        <w:right w:val="none" w:sz="0" w:space="0" w:color="auto"/>
                      </w:divBdr>
                      <w:divsChild>
                        <w:div w:id="827130782">
                          <w:marLeft w:val="0"/>
                          <w:marRight w:val="0"/>
                          <w:marTop w:val="0"/>
                          <w:marBottom w:val="0"/>
                          <w:divBdr>
                            <w:top w:val="none" w:sz="0" w:space="0" w:color="auto"/>
                            <w:left w:val="none" w:sz="0" w:space="0" w:color="auto"/>
                            <w:bottom w:val="none" w:sz="0" w:space="0" w:color="auto"/>
                            <w:right w:val="none" w:sz="0" w:space="0" w:color="auto"/>
                          </w:divBdr>
                          <w:divsChild>
                            <w:div w:id="1987969632">
                              <w:marLeft w:val="2070"/>
                              <w:marRight w:val="3960"/>
                              <w:marTop w:val="0"/>
                              <w:marBottom w:val="0"/>
                              <w:divBdr>
                                <w:top w:val="none" w:sz="0" w:space="0" w:color="auto"/>
                                <w:left w:val="none" w:sz="0" w:space="0" w:color="auto"/>
                                <w:bottom w:val="none" w:sz="0" w:space="0" w:color="auto"/>
                                <w:right w:val="none" w:sz="0" w:space="0" w:color="auto"/>
                              </w:divBdr>
                              <w:divsChild>
                                <w:div w:id="452097549">
                                  <w:marLeft w:val="0"/>
                                  <w:marRight w:val="0"/>
                                  <w:marTop w:val="0"/>
                                  <w:marBottom w:val="0"/>
                                  <w:divBdr>
                                    <w:top w:val="none" w:sz="0" w:space="0" w:color="auto"/>
                                    <w:left w:val="none" w:sz="0" w:space="0" w:color="auto"/>
                                    <w:bottom w:val="none" w:sz="0" w:space="0" w:color="auto"/>
                                    <w:right w:val="none" w:sz="0" w:space="0" w:color="auto"/>
                                  </w:divBdr>
                                  <w:divsChild>
                                    <w:div w:id="1271232915">
                                      <w:marLeft w:val="0"/>
                                      <w:marRight w:val="0"/>
                                      <w:marTop w:val="0"/>
                                      <w:marBottom w:val="0"/>
                                      <w:divBdr>
                                        <w:top w:val="none" w:sz="0" w:space="0" w:color="auto"/>
                                        <w:left w:val="none" w:sz="0" w:space="0" w:color="auto"/>
                                        <w:bottom w:val="none" w:sz="0" w:space="0" w:color="auto"/>
                                        <w:right w:val="none" w:sz="0" w:space="0" w:color="auto"/>
                                      </w:divBdr>
                                      <w:divsChild>
                                        <w:div w:id="784738766">
                                          <w:marLeft w:val="0"/>
                                          <w:marRight w:val="0"/>
                                          <w:marTop w:val="0"/>
                                          <w:marBottom w:val="0"/>
                                          <w:divBdr>
                                            <w:top w:val="none" w:sz="0" w:space="0" w:color="auto"/>
                                            <w:left w:val="none" w:sz="0" w:space="0" w:color="auto"/>
                                            <w:bottom w:val="none" w:sz="0" w:space="0" w:color="auto"/>
                                            <w:right w:val="none" w:sz="0" w:space="0" w:color="auto"/>
                                          </w:divBdr>
                                          <w:divsChild>
                                            <w:div w:id="302545386">
                                              <w:marLeft w:val="0"/>
                                              <w:marRight w:val="0"/>
                                              <w:marTop w:val="90"/>
                                              <w:marBottom w:val="0"/>
                                              <w:divBdr>
                                                <w:top w:val="none" w:sz="0" w:space="0" w:color="auto"/>
                                                <w:left w:val="none" w:sz="0" w:space="0" w:color="auto"/>
                                                <w:bottom w:val="none" w:sz="0" w:space="0" w:color="auto"/>
                                                <w:right w:val="none" w:sz="0" w:space="0" w:color="auto"/>
                                              </w:divBdr>
                                              <w:divsChild>
                                                <w:div w:id="1169254701">
                                                  <w:marLeft w:val="0"/>
                                                  <w:marRight w:val="0"/>
                                                  <w:marTop w:val="0"/>
                                                  <w:marBottom w:val="0"/>
                                                  <w:divBdr>
                                                    <w:top w:val="none" w:sz="0" w:space="0" w:color="auto"/>
                                                    <w:left w:val="none" w:sz="0" w:space="0" w:color="auto"/>
                                                    <w:bottom w:val="none" w:sz="0" w:space="0" w:color="auto"/>
                                                    <w:right w:val="none" w:sz="0" w:space="0" w:color="auto"/>
                                                  </w:divBdr>
                                                  <w:divsChild>
                                                    <w:div w:id="1260679828">
                                                      <w:marLeft w:val="0"/>
                                                      <w:marRight w:val="0"/>
                                                      <w:marTop w:val="0"/>
                                                      <w:marBottom w:val="0"/>
                                                      <w:divBdr>
                                                        <w:top w:val="none" w:sz="0" w:space="0" w:color="auto"/>
                                                        <w:left w:val="none" w:sz="0" w:space="0" w:color="auto"/>
                                                        <w:bottom w:val="none" w:sz="0" w:space="0" w:color="auto"/>
                                                        <w:right w:val="none" w:sz="0" w:space="0" w:color="auto"/>
                                                      </w:divBdr>
                                                      <w:divsChild>
                                                        <w:div w:id="1968077821">
                                                          <w:marLeft w:val="0"/>
                                                          <w:marRight w:val="0"/>
                                                          <w:marTop w:val="0"/>
                                                          <w:marBottom w:val="390"/>
                                                          <w:divBdr>
                                                            <w:top w:val="none" w:sz="0" w:space="0" w:color="auto"/>
                                                            <w:left w:val="none" w:sz="0" w:space="0" w:color="auto"/>
                                                            <w:bottom w:val="none" w:sz="0" w:space="0" w:color="auto"/>
                                                            <w:right w:val="none" w:sz="0" w:space="0" w:color="auto"/>
                                                          </w:divBdr>
                                                          <w:divsChild>
                                                            <w:div w:id="118884322">
                                                              <w:marLeft w:val="0"/>
                                                              <w:marRight w:val="0"/>
                                                              <w:marTop w:val="0"/>
                                                              <w:marBottom w:val="0"/>
                                                              <w:divBdr>
                                                                <w:top w:val="none" w:sz="0" w:space="0" w:color="auto"/>
                                                                <w:left w:val="none" w:sz="0" w:space="0" w:color="auto"/>
                                                                <w:bottom w:val="none" w:sz="0" w:space="0" w:color="auto"/>
                                                                <w:right w:val="none" w:sz="0" w:space="0" w:color="auto"/>
                                                              </w:divBdr>
                                                              <w:divsChild>
                                                                <w:div w:id="942766255">
                                                                  <w:marLeft w:val="0"/>
                                                                  <w:marRight w:val="0"/>
                                                                  <w:marTop w:val="0"/>
                                                                  <w:marBottom w:val="0"/>
                                                                  <w:divBdr>
                                                                    <w:top w:val="none" w:sz="0" w:space="0" w:color="auto"/>
                                                                    <w:left w:val="none" w:sz="0" w:space="0" w:color="auto"/>
                                                                    <w:bottom w:val="none" w:sz="0" w:space="0" w:color="auto"/>
                                                                    <w:right w:val="none" w:sz="0" w:space="0" w:color="auto"/>
                                                                  </w:divBdr>
                                                                  <w:divsChild>
                                                                    <w:div w:id="1757824760">
                                                                      <w:marLeft w:val="0"/>
                                                                      <w:marRight w:val="0"/>
                                                                      <w:marTop w:val="0"/>
                                                                      <w:marBottom w:val="0"/>
                                                                      <w:divBdr>
                                                                        <w:top w:val="none" w:sz="0" w:space="0" w:color="auto"/>
                                                                        <w:left w:val="none" w:sz="0" w:space="0" w:color="auto"/>
                                                                        <w:bottom w:val="none" w:sz="0" w:space="0" w:color="auto"/>
                                                                        <w:right w:val="none" w:sz="0" w:space="0" w:color="auto"/>
                                                                      </w:divBdr>
                                                                      <w:divsChild>
                                                                        <w:div w:id="1630017417">
                                                                          <w:marLeft w:val="0"/>
                                                                          <w:marRight w:val="0"/>
                                                                          <w:marTop w:val="0"/>
                                                                          <w:marBottom w:val="0"/>
                                                                          <w:divBdr>
                                                                            <w:top w:val="none" w:sz="0" w:space="0" w:color="auto"/>
                                                                            <w:left w:val="none" w:sz="0" w:space="0" w:color="auto"/>
                                                                            <w:bottom w:val="none" w:sz="0" w:space="0" w:color="auto"/>
                                                                            <w:right w:val="none" w:sz="0" w:space="0" w:color="auto"/>
                                                                          </w:divBdr>
                                                                          <w:divsChild>
                                                                            <w:div w:id="816144403">
                                                                              <w:marLeft w:val="0"/>
                                                                              <w:marRight w:val="0"/>
                                                                              <w:marTop w:val="0"/>
                                                                              <w:marBottom w:val="0"/>
                                                                              <w:divBdr>
                                                                                <w:top w:val="none" w:sz="0" w:space="0" w:color="auto"/>
                                                                                <w:left w:val="none" w:sz="0" w:space="0" w:color="auto"/>
                                                                                <w:bottom w:val="none" w:sz="0" w:space="0" w:color="auto"/>
                                                                                <w:right w:val="none" w:sz="0" w:space="0" w:color="auto"/>
                                                                              </w:divBdr>
                                                                              <w:divsChild>
                                                                                <w:div w:id="887374864">
                                                                                  <w:marLeft w:val="0"/>
                                                                                  <w:marRight w:val="0"/>
                                                                                  <w:marTop w:val="0"/>
                                                                                  <w:marBottom w:val="0"/>
                                                                                  <w:divBdr>
                                                                                    <w:top w:val="none" w:sz="0" w:space="0" w:color="auto"/>
                                                                                    <w:left w:val="none" w:sz="0" w:space="0" w:color="auto"/>
                                                                                    <w:bottom w:val="none" w:sz="0" w:space="0" w:color="auto"/>
                                                                                    <w:right w:val="none" w:sz="0" w:space="0" w:color="auto"/>
                                                                                  </w:divBdr>
                                                                                  <w:divsChild>
                                                                                    <w:div w:id="554701947">
                                                                                      <w:marLeft w:val="0"/>
                                                                                      <w:marRight w:val="0"/>
                                                                                      <w:marTop w:val="0"/>
                                                                                      <w:marBottom w:val="0"/>
                                                                                      <w:divBdr>
                                                                                        <w:top w:val="none" w:sz="0" w:space="0" w:color="auto"/>
                                                                                        <w:left w:val="none" w:sz="0" w:space="0" w:color="auto"/>
                                                                                        <w:bottom w:val="none" w:sz="0" w:space="0" w:color="auto"/>
                                                                                        <w:right w:val="none" w:sz="0" w:space="0" w:color="auto"/>
                                                                                      </w:divBdr>
                                                                                      <w:divsChild>
                                                                                        <w:div w:id="16792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461003">
      <w:bodyDiv w:val="1"/>
      <w:marLeft w:val="0"/>
      <w:marRight w:val="0"/>
      <w:marTop w:val="0"/>
      <w:marBottom w:val="0"/>
      <w:divBdr>
        <w:top w:val="none" w:sz="0" w:space="0" w:color="auto"/>
        <w:left w:val="none" w:sz="0" w:space="0" w:color="auto"/>
        <w:bottom w:val="none" w:sz="0" w:space="0" w:color="auto"/>
        <w:right w:val="none" w:sz="0" w:space="0" w:color="auto"/>
      </w:divBdr>
      <w:divsChild>
        <w:div w:id="331758627">
          <w:marLeft w:val="0"/>
          <w:marRight w:val="0"/>
          <w:marTop w:val="0"/>
          <w:marBottom w:val="0"/>
          <w:divBdr>
            <w:top w:val="none" w:sz="0" w:space="0" w:color="auto"/>
            <w:left w:val="none" w:sz="0" w:space="0" w:color="auto"/>
            <w:bottom w:val="none" w:sz="0" w:space="0" w:color="auto"/>
            <w:right w:val="none" w:sz="0" w:space="0" w:color="auto"/>
          </w:divBdr>
          <w:divsChild>
            <w:div w:id="453063867">
              <w:marLeft w:val="0"/>
              <w:marRight w:val="0"/>
              <w:marTop w:val="0"/>
              <w:marBottom w:val="0"/>
              <w:divBdr>
                <w:top w:val="none" w:sz="0" w:space="0" w:color="auto"/>
                <w:left w:val="none" w:sz="0" w:space="0" w:color="auto"/>
                <w:bottom w:val="none" w:sz="0" w:space="0" w:color="auto"/>
                <w:right w:val="none" w:sz="0" w:space="0" w:color="auto"/>
              </w:divBdr>
              <w:divsChild>
                <w:div w:id="1711221613">
                  <w:marLeft w:val="0"/>
                  <w:marRight w:val="0"/>
                  <w:marTop w:val="0"/>
                  <w:marBottom w:val="0"/>
                  <w:divBdr>
                    <w:top w:val="none" w:sz="0" w:space="0" w:color="auto"/>
                    <w:left w:val="none" w:sz="0" w:space="0" w:color="auto"/>
                    <w:bottom w:val="none" w:sz="0" w:space="0" w:color="auto"/>
                    <w:right w:val="none" w:sz="0" w:space="0" w:color="auto"/>
                  </w:divBdr>
                  <w:divsChild>
                    <w:div w:id="733817868">
                      <w:marLeft w:val="0"/>
                      <w:marRight w:val="0"/>
                      <w:marTop w:val="45"/>
                      <w:marBottom w:val="0"/>
                      <w:divBdr>
                        <w:top w:val="none" w:sz="0" w:space="0" w:color="auto"/>
                        <w:left w:val="none" w:sz="0" w:space="0" w:color="auto"/>
                        <w:bottom w:val="none" w:sz="0" w:space="0" w:color="auto"/>
                        <w:right w:val="none" w:sz="0" w:space="0" w:color="auto"/>
                      </w:divBdr>
                      <w:divsChild>
                        <w:div w:id="792292200">
                          <w:marLeft w:val="0"/>
                          <w:marRight w:val="0"/>
                          <w:marTop w:val="0"/>
                          <w:marBottom w:val="0"/>
                          <w:divBdr>
                            <w:top w:val="none" w:sz="0" w:space="0" w:color="auto"/>
                            <w:left w:val="none" w:sz="0" w:space="0" w:color="auto"/>
                            <w:bottom w:val="none" w:sz="0" w:space="0" w:color="auto"/>
                            <w:right w:val="none" w:sz="0" w:space="0" w:color="auto"/>
                          </w:divBdr>
                          <w:divsChild>
                            <w:div w:id="950010401">
                              <w:marLeft w:val="2070"/>
                              <w:marRight w:val="3960"/>
                              <w:marTop w:val="0"/>
                              <w:marBottom w:val="0"/>
                              <w:divBdr>
                                <w:top w:val="none" w:sz="0" w:space="0" w:color="auto"/>
                                <w:left w:val="none" w:sz="0" w:space="0" w:color="auto"/>
                                <w:bottom w:val="none" w:sz="0" w:space="0" w:color="auto"/>
                                <w:right w:val="none" w:sz="0" w:space="0" w:color="auto"/>
                              </w:divBdr>
                              <w:divsChild>
                                <w:div w:id="2009283720">
                                  <w:marLeft w:val="0"/>
                                  <w:marRight w:val="0"/>
                                  <w:marTop w:val="0"/>
                                  <w:marBottom w:val="0"/>
                                  <w:divBdr>
                                    <w:top w:val="none" w:sz="0" w:space="0" w:color="auto"/>
                                    <w:left w:val="none" w:sz="0" w:space="0" w:color="auto"/>
                                    <w:bottom w:val="none" w:sz="0" w:space="0" w:color="auto"/>
                                    <w:right w:val="none" w:sz="0" w:space="0" w:color="auto"/>
                                  </w:divBdr>
                                  <w:divsChild>
                                    <w:div w:id="1281455018">
                                      <w:marLeft w:val="0"/>
                                      <w:marRight w:val="0"/>
                                      <w:marTop w:val="0"/>
                                      <w:marBottom w:val="0"/>
                                      <w:divBdr>
                                        <w:top w:val="none" w:sz="0" w:space="0" w:color="auto"/>
                                        <w:left w:val="none" w:sz="0" w:space="0" w:color="auto"/>
                                        <w:bottom w:val="none" w:sz="0" w:space="0" w:color="auto"/>
                                        <w:right w:val="none" w:sz="0" w:space="0" w:color="auto"/>
                                      </w:divBdr>
                                      <w:divsChild>
                                        <w:div w:id="1975865271">
                                          <w:marLeft w:val="0"/>
                                          <w:marRight w:val="0"/>
                                          <w:marTop w:val="0"/>
                                          <w:marBottom w:val="0"/>
                                          <w:divBdr>
                                            <w:top w:val="none" w:sz="0" w:space="0" w:color="auto"/>
                                            <w:left w:val="none" w:sz="0" w:space="0" w:color="auto"/>
                                            <w:bottom w:val="none" w:sz="0" w:space="0" w:color="auto"/>
                                            <w:right w:val="none" w:sz="0" w:space="0" w:color="auto"/>
                                          </w:divBdr>
                                          <w:divsChild>
                                            <w:div w:id="619579652">
                                              <w:marLeft w:val="0"/>
                                              <w:marRight w:val="0"/>
                                              <w:marTop w:val="90"/>
                                              <w:marBottom w:val="0"/>
                                              <w:divBdr>
                                                <w:top w:val="none" w:sz="0" w:space="0" w:color="auto"/>
                                                <w:left w:val="none" w:sz="0" w:space="0" w:color="auto"/>
                                                <w:bottom w:val="none" w:sz="0" w:space="0" w:color="auto"/>
                                                <w:right w:val="none" w:sz="0" w:space="0" w:color="auto"/>
                                              </w:divBdr>
                                              <w:divsChild>
                                                <w:div w:id="1168014729">
                                                  <w:marLeft w:val="0"/>
                                                  <w:marRight w:val="0"/>
                                                  <w:marTop w:val="0"/>
                                                  <w:marBottom w:val="0"/>
                                                  <w:divBdr>
                                                    <w:top w:val="none" w:sz="0" w:space="0" w:color="auto"/>
                                                    <w:left w:val="none" w:sz="0" w:space="0" w:color="auto"/>
                                                    <w:bottom w:val="none" w:sz="0" w:space="0" w:color="auto"/>
                                                    <w:right w:val="none" w:sz="0" w:space="0" w:color="auto"/>
                                                  </w:divBdr>
                                                  <w:divsChild>
                                                    <w:div w:id="370611720">
                                                      <w:marLeft w:val="0"/>
                                                      <w:marRight w:val="0"/>
                                                      <w:marTop w:val="0"/>
                                                      <w:marBottom w:val="0"/>
                                                      <w:divBdr>
                                                        <w:top w:val="none" w:sz="0" w:space="0" w:color="auto"/>
                                                        <w:left w:val="none" w:sz="0" w:space="0" w:color="auto"/>
                                                        <w:bottom w:val="none" w:sz="0" w:space="0" w:color="auto"/>
                                                        <w:right w:val="none" w:sz="0" w:space="0" w:color="auto"/>
                                                      </w:divBdr>
                                                      <w:divsChild>
                                                        <w:div w:id="432824317">
                                                          <w:marLeft w:val="0"/>
                                                          <w:marRight w:val="0"/>
                                                          <w:marTop w:val="0"/>
                                                          <w:marBottom w:val="390"/>
                                                          <w:divBdr>
                                                            <w:top w:val="none" w:sz="0" w:space="0" w:color="auto"/>
                                                            <w:left w:val="none" w:sz="0" w:space="0" w:color="auto"/>
                                                            <w:bottom w:val="none" w:sz="0" w:space="0" w:color="auto"/>
                                                            <w:right w:val="none" w:sz="0" w:space="0" w:color="auto"/>
                                                          </w:divBdr>
                                                          <w:divsChild>
                                                            <w:div w:id="216473456">
                                                              <w:marLeft w:val="0"/>
                                                              <w:marRight w:val="0"/>
                                                              <w:marTop w:val="0"/>
                                                              <w:marBottom w:val="0"/>
                                                              <w:divBdr>
                                                                <w:top w:val="none" w:sz="0" w:space="0" w:color="auto"/>
                                                                <w:left w:val="none" w:sz="0" w:space="0" w:color="auto"/>
                                                                <w:bottom w:val="none" w:sz="0" w:space="0" w:color="auto"/>
                                                                <w:right w:val="none" w:sz="0" w:space="0" w:color="auto"/>
                                                              </w:divBdr>
                                                              <w:divsChild>
                                                                <w:div w:id="602759859">
                                                                  <w:marLeft w:val="0"/>
                                                                  <w:marRight w:val="0"/>
                                                                  <w:marTop w:val="0"/>
                                                                  <w:marBottom w:val="0"/>
                                                                  <w:divBdr>
                                                                    <w:top w:val="none" w:sz="0" w:space="0" w:color="auto"/>
                                                                    <w:left w:val="none" w:sz="0" w:space="0" w:color="auto"/>
                                                                    <w:bottom w:val="none" w:sz="0" w:space="0" w:color="auto"/>
                                                                    <w:right w:val="none" w:sz="0" w:space="0" w:color="auto"/>
                                                                  </w:divBdr>
                                                                  <w:divsChild>
                                                                    <w:div w:id="1227569577">
                                                                      <w:marLeft w:val="0"/>
                                                                      <w:marRight w:val="0"/>
                                                                      <w:marTop w:val="0"/>
                                                                      <w:marBottom w:val="0"/>
                                                                      <w:divBdr>
                                                                        <w:top w:val="none" w:sz="0" w:space="0" w:color="auto"/>
                                                                        <w:left w:val="none" w:sz="0" w:space="0" w:color="auto"/>
                                                                        <w:bottom w:val="none" w:sz="0" w:space="0" w:color="auto"/>
                                                                        <w:right w:val="none" w:sz="0" w:space="0" w:color="auto"/>
                                                                      </w:divBdr>
                                                                      <w:divsChild>
                                                                        <w:div w:id="138767960">
                                                                          <w:marLeft w:val="0"/>
                                                                          <w:marRight w:val="0"/>
                                                                          <w:marTop w:val="0"/>
                                                                          <w:marBottom w:val="0"/>
                                                                          <w:divBdr>
                                                                            <w:top w:val="none" w:sz="0" w:space="0" w:color="auto"/>
                                                                            <w:left w:val="none" w:sz="0" w:space="0" w:color="auto"/>
                                                                            <w:bottom w:val="none" w:sz="0" w:space="0" w:color="auto"/>
                                                                            <w:right w:val="none" w:sz="0" w:space="0" w:color="auto"/>
                                                                          </w:divBdr>
                                                                          <w:divsChild>
                                                                            <w:div w:id="1077093432">
                                                                              <w:marLeft w:val="0"/>
                                                                              <w:marRight w:val="0"/>
                                                                              <w:marTop w:val="0"/>
                                                                              <w:marBottom w:val="0"/>
                                                                              <w:divBdr>
                                                                                <w:top w:val="none" w:sz="0" w:space="0" w:color="auto"/>
                                                                                <w:left w:val="none" w:sz="0" w:space="0" w:color="auto"/>
                                                                                <w:bottom w:val="none" w:sz="0" w:space="0" w:color="auto"/>
                                                                                <w:right w:val="none" w:sz="0" w:space="0" w:color="auto"/>
                                                                              </w:divBdr>
                                                                              <w:divsChild>
                                                                                <w:div w:id="1713656185">
                                                                                  <w:marLeft w:val="0"/>
                                                                                  <w:marRight w:val="0"/>
                                                                                  <w:marTop w:val="0"/>
                                                                                  <w:marBottom w:val="0"/>
                                                                                  <w:divBdr>
                                                                                    <w:top w:val="none" w:sz="0" w:space="0" w:color="auto"/>
                                                                                    <w:left w:val="none" w:sz="0" w:space="0" w:color="auto"/>
                                                                                    <w:bottom w:val="none" w:sz="0" w:space="0" w:color="auto"/>
                                                                                    <w:right w:val="none" w:sz="0" w:space="0" w:color="auto"/>
                                                                                  </w:divBdr>
                                                                                  <w:divsChild>
                                                                                    <w:div w:id="1399093826">
                                                                                      <w:marLeft w:val="0"/>
                                                                                      <w:marRight w:val="0"/>
                                                                                      <w:marTop w:val="0"/>
                                                                                      <w:marBottom w:val="0"/>
                                                                                      <w:divBdr>
                                                                                        <w:top w:val="none" w:sz="0" w:space="0" w:color="auto"/>
                                                                                        <w:left w:val="none" w:sz="0" w:space="0" w:color="auto"/>
                                                                                        <w:bottom w:val="none" w:sz="0" w:space="0" w:color="auto"/>
                                                                                        <w:right w:val="none" w:sz="0" w:space="0" w:color="auto"/>
                                                                                      </w:divBdr>
                                                                                      <w:divsChild>
                                                                                        <w:div w:id="17934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4827">
      <w:bodyDiv w:val="1"/>
      <w:marLeft w:val="0"/>
      <w:marRight w:val="0"/>
      <w:marTop w:val="0"/>
      <w:marBottom w:val="0"/>
      <w:divBdr>
        <w:top w:val="none" w:sz="0" w:space="0" w:color="auto"/>
        <w:left w:val="none" w:sz="0" w:space="0" w:color="auto"/>
        <w:bottom w:val="none" w:sz="0" w:space="0" w:color="auto"/>
        <w:right w:val="none" w:sz="0" w:space="0" w:color="auto"/>
      </w:divBdr>
      <w:divsChild>
        <w:div w:id="725420140">
          <w:marLeft w:val="0"/>
          <w:marRight w:val="0"/>
          <w:marTop w:val="0"/>
          <w:marBottom w:val="0"/>
          <w:divBdr>
            <w:top w:val="none" w:sz="0" w:space="0" w:color="auto"/>
            <w:left w:val="none" w:sz="0" w:space="0" w:color="auto"/>
            <w:bottom w:val="none" w:sz="0" w:space="0" w:color="auto"/>
            <w:right w:val="none" w:sz="0" w:space="0" w:color="auto"/>
          </w:divBdr>
          <w:divsChild>
            <w:div w:id="1469125387">
              <w:marLeft w:val="0"/>
              <w:marRight w:val="0"/>
              <w:marTop w:val="0"/>
              <w:marBottom w:val="0"/>
              <w:divBdr>
                <w:top w:val="none" w:sz="0" w:space="0" w:color="auto"/>
                <w:left w:val="none" w:sz="0" w:space="0" w:color="auto"/>
                <w:bottom w:val="none" w:sz="0" w:space="0" w:color="auto"/>
                <w:right w:val="none" w:sz="0" w:space="0" w:color="auto"/>
              </w:divBdr>
              <w:divsChild>
                <w:div w:id="894464160">
                  <w:marLeft w:val="0"/>
                  <w:marRight w:val="0"/>
                  <w:marTop w:val="0"/>
                  <w:marBottom w:val="0"/>
                  <w:divBdr>
                    <w:top w:val="none" w:sz="0" w:space="0" w:color="auto"/>
                    <w:left w:val="none" w:sz="0" w:space="0" w:color="auto"/>
                    <w:bottom w:val="none" w:sz="0" w:space="0" w:color="auto"/>
                    <w:right w:val="none" w:sz="0" w:space="0" w:color="auto"/>
                  </w:divBdr>
                  <w:divsChild>
                    <w:div w:id="1910650208">
                      <w:marLeft w:val="0"/>
                      <w:marRight w:val="0"/>
                      <w:marTop w:val="45"/>
                      <w:marBottom w:val="0"/>
                      <w:divBdr>
                        <w:top w:val="none" w:sz="0" w:space="0" w:color="auto"/>
                        <w:left w:val="none" w:sz="0" w:space="0" w:color="auto"/>
                        <w:bottom w:val="none" w:sz="0" w:space="0" w:color="auto"/>
                        <w:right w:val="none" w:sz="0" w:space="0" w:color="auto"/>
                      </w:divBdr>
                      <w:divsChild>
                        <w:div w:id="1934507572">
                          <w:marLeft w:val="0"/>
                          <w:marRight w:val="0"/>
                          <w:marTop w:val="0"/>
                          <w:marBottom w:val="0"/>
                          <w:divBdr>
                            <w:top w:val="none" w:sz="0" w:space="0" w:color="auto"/>
                            <w:left w:val="none" w:sz="0" w:space="0" w:color="auto"/>
                            <w:bottom w:val="none" w:sz="0" w:space="0" w:color="auto"/>
                            <w:right w:val="none" w:sz="0" w:space="0" w:color="auto"/>
                          </w:divBdr>
                          <w:divsChild>
                            <w:div w:id="1838230807">
                              <w:marLeft w:val="2070"/>
                              <w:marRight w:val="3960"/>
                              <w:marTop w:val="0"/>
                              <w:marBottom w:val="0"/>
                              <w:divBdr>
                                <w:top w:val="none" w:sz="0" w:space="0" w:color="auto"/>
                                <w:left w:val="none" w:sz="0" w:space="0" w:color="auto"/>
                                <w:bottom w:val="none" w:sz="0" w:space="0" w:color="auto"/>
                                <w:right w:val="none" w:sz="0" w:space="0" w:color="auto"/>
                              </w:divBdr>
                              <w:divsChild>
                                <w:div w:id="1387222332">
                                  <w:marLeft w:val="0"/>
                                  <w:marRight w:val="0"/>
                                  <w:marTop w:val="0"/>
                                  <w:marBottom w:val="0"/>
                                  <w:divBdr>
                                    <w:top w:val="none" w:sz="0" w:space="0" w:color="auto"/>
                                    <w:left w:val="none" w:sz="0" w:space="0" w:color="auto"/>
                                    <w:bottom w:val="none" w:sz="0" w:space="0" w:color="auto"/>
                                    <w:right w:val="none" w:sz="0" w:space="0" w:color="auto"/>
                                  </w:divBdr>
                                  <w:divsChild>
                                    <w:div w:id="183061191">
                                      <w:marLeft w:val="0"/>
                                      <w:marRight w:val="0"/>
                                      <w:marTop w:val="0"/>
                                      <w:marBottom w:val="0"/>
                                      <w:divBdr>
                                        <w:top w:val="none" w:sz="0" w:space="0" w:color="auto"/>
                                        <w:left w:val="none" w:sz="0" w:space="0" w:color="auto"/>
                                        <w:bottom w:val="none" w:sz="0" w:space="0" w:color="auto"/>
                                        <w:right w:val="none" w:sz="0" w:space="0" w:color="auto"/>
                                      </w:divBdr>
                                      <w:divsChild>
                                        <w:div w:id="1016351052">
                                          <w:marLeft w:val="0"/>
                                          <w:marRight w:val="0"/>
                                          <w:marTop w:val="0"/>
                                          <w:marBottom w:val="0"/>
                                          <w:divBdr>
                                            <w:top w:val="none" w:sz="0" w:space="0" w:color="auto"/>
                                            <w:left w:val="none" w:sz="0" w:space="0" w:color="auto"/>
                                            <w:bottom w:val="none" w:sz="0" w:space="0" w:color="auto"/>
                                            <w:right w:val="none" w:sz="0" w:space="0" w:color="auto"/>
                                          </w:divBdr>
                                          <w:divsChild>
                                            <w:div w:id="180894529">
                                              <w:marLeft w:val="0"/>
                                              <w:marRight w:val="0"/>
                                              <w:marTop w:val="90"/>
                                              <w:marBottom w:val="0"/>
                                              <w:divBdr>
                                                <w:top w:val="none" w:sz="0" w:space="0" w:color="auto"/>
                                                <w:left w:val="none" w:sz="0" w:space="0" w:color="auto"/>
                                                <w:bottom w:val="none" w:sz="0" w:space="0" w:color="auto"/>
                                                <w:right w:val="none" w:sz="0" w:space="0" w:color="auto"/>
                                              </w:divBdr>
                                              <w:divsChild>
                                                <w:div w:id="56754296">
                                                  <w:marLeft w:val="0"/>
                                                  <w:marRight w:val="0"/>
                                                  <w:marTop w:val="0"/>
                                                  <w:marBottom w:val="0"/>
                                                  <w:divBdr>
                                                    <w:top w:val="none" w:sz="0" w:space="0" w:color="auto"/>
                                                    <w:left w:val="none" w:sz="0" w:space="0" w:color="auto"/>
                                                    <w:bottom w:val="none" w:sz="0" w:space="0" w:color="auto"/>
                                                    <w:right w:val="none" w:sz="0" w:space="0" w:color="auto"/>
                                                  </w:divBdr>
                                                  <w:divsChild>
                                                    <w:div w:id="45179731">
                                                      <w:marLeft w:val="0"/>
                                                      <w:marRight w:val="0"/>
                                                      <w:marTop w:val="0"/>
                                                      <w:marBottom w:val="0"/>
                                                      <w:divBdr>
                                                        <w:top w:val="none" w:sz="0" w:space="0" w:color="auto"/>
                                                        <w:left w:val="none" w:sz="0" w:space="0" w:color="auto"/>
                                                        <w:bottom w:val="none" w:sz="0" w:space="0" w:color="auto"/>
                                                        <w:right w:val="none" w:sz="0" w:space="0" w:color="auto"/>
                                                      </w:divBdr>
                                                      <w:divsChild>
                                                        <w:div w:id="966468217">
                                                          <w:marLeft w:val="0"/>
                                                          <w:marRight w:val="0"/>
                                                          <w:marTop w:val="0"/>
                                                          <w:marBottom w:val="390"/>
                                                          <w:divBdr>
                                                            <w:top w:val="none" w:sz="0" w:space="0" w:color="auto"/>
                                                            <w:left w:val="none" w:sz="0" w:space="0" w:color="auto"/>
                                                            <w:bottom w:val="none" w:sz="0" w:space="0" w:color="auto"/>
                                                            <w:right w:val="none" w:sz="0" w:space="0" w:color="auto"/>
                                                          </w:divBdr>
                                                          <w:divsChild>
                                                            <w:div w:id="1676424174">
                                                              <w:marLeft w:val="0"/>
                                                              <w:marRight w:val="0"/>
                                                              <w:marTop w:val="0"/>
                                                              <w:marBottom w:val="0"/>
                                                              <w:divBdr>
                                                                <w:top w:val="none" w:sz="0" w:space="0" w:color="auto"/>
                                                                <w:left w:val="none" w:sz="0" w:space="0" w:color="auto"/>
                                                                <w:bottom w:val="none" w:sz="0" w:space="0" w:color="auto"/>
                                                                <w:right w:val="none" w:sz="0" w:space="0" w:color="auto"/>
                                                              </w:divBdr>
                                                              <w:divsChild>
                                                                <w:div w:id="3014809">
                                                                  <w:marLeft w:val="0"/>
                                                                  <w:marRight w:val="0"/>
                                                                  <w:marTop w:val="0"/>
                                                                  <w:marBottom w:val="0"/>
                                                                  <w:divBdr>
                                                                    <w:top w:val="none" w:sz="0" w:space="0" w:color="auto"/>
                                                                    <w:left w:val="none" w:sz="0" w:space="0" w:color="auto"/>
                                                                    <w:bottom w:val="none" w:sz="0" w:space="0" w:color="auto"/>
                                                                    <w:right w:val="none" w:sz="0" w:space="0" w:color="auto"/>
                                                                  </w:divBdr>
                                                                  <w:divsChild>
                                                                    <w:div w:id="527259157">
                                                                      <w:marLeft w:val="0"/>
                                                                      <w:marRight w:val="0"/>
                                                                      <w:marTop w:val="0"/>
                                                                      <w:marBottom w:val="0"/>
                                                                      <w:divBdr>
                                                                        <w:top w:val="none" w:sz="0" w:space="0" w:color="auto"/>
                                                                        <w:left w:val="none" w:sz="0" w:space="0" w:color="auto"/>
                                                                        <w:bottom w:val="none" w:sz="0" w:space="0" w:color="auto"/>
                                                                        <w:right w:val="none" w:sz="0" w:space="0" w:color="auto"/>
                                                                      </w:divBdr>
                                                                      <w:divsChild>
                                                                        <w:div w:id="354158109">
                                                                          <w:marLeft w:val="0"/>
                                                                          <w:marRight w:val="0"/>
                                                                          <w:marTop w:val="0"/>
                                                                          <w:marBottom w:val="0"/>
                                                                          <w:divBdr>
                                                                            <w:top w:val="none" w:sz="0" w:space="0" w:color="auto"/>
                                                                            <w:left w:val="none" w:sz="0" w:space="0" w:color="auto"/>
                                                                            <w:bottom w:val="none" w:sz="0" w:space="0" w:color="auto"/>
                                                                            <w:right w:val="none" w:sz="0" w:space="0" w:color="auto"/>
                                                                          </w:divBdr>
                                                                          <w:divsChild>
                                                                            <w:div w:id="1817259919">
                                                                              <w:marLeft w:val="0"/>
                                                                              <w:marRight w:val="0"/>
                                                                              <w:marTop w:val="0"/>
                                                                              <w:marBottom w:val="0"/>
                                                                              <w:divBdr>
                                                                                <w:top w:val="none" w:sz="0" w:space="0" w:color="auto"/>
                                                                                <w:left w:val="none" w:sz="0" w:space="0" w:color="auto"/>
                                                                                <w:bottom w:val="none" w:sz="0" w:space="0" w:color="auto"/>
                                                                                <w:right w:val="none" w:sz="0" w:space="0" w:color="auto"/>
                                                                              </w:divBdr>
                                                                              <w:divsChild>
                                                                                <w:div w:id="695817205">
                                                                                  <w:marLeft w:val="0"/>
                                                                                  <w:marRight w:val="0"/>
                                                                                  <w:marTop w:val="0"/>
                                                                                  <w:marBottom w:val="0"/>
                                                                                  <w:divBdr>
                                                                                    <w:top w:val="none" w:sz="0" w:space="0" w:color="auto"/>
                                                                                    <w:left w:val="none" w:sz="0" w:space="0" w:color="auto"/>
                                                                                    <w:bottom w:val="none" w:sz="0" w:space="0" w:color="auto"/>
                                                                                    <w:right w:val="none" w:sz="0" w:space="0" w:color="auto"/>
                                                                                  </w:divBdr>
                                                                                  <w:divsChild>
                                                                                    <w:div w:id="1460758536">
                                                                                      <w:marLeft w:val="0"/>
                                                                                      <w:marRight w:val="0"/>
                                                                                      <w:marTop w:val="0"/>
                                                                                      <w:marBottom w:val="0"/>
                                                                                      <w:divBdr>
                                                                                        <w:top w:val="none" w:sz="0" w:space="0" w:color="auto"/>
                                                                                        <w:left w:val="none" w:sz="0" w:space="0" w:color="auto"/>
                                                                                        <w:bottom w:val="none" w:sz="0" w:space="0" w:color="auto"/>
                                                                                        <w:right w:val="none" w:sz="0" w:space="0" w:color="auto"/>
                                                                                      </w:divBdr>
                                                                                      <w:divsChild>
                                                                                        <w:div w:id="10831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27400">
      <w:bodyDiv w:val="1"/>
      <w:marLeft w:val="0"/>
      <w:marRight w:val="0"/>
      <w:marTop w:val="0"/>
      <w:marBottom w:val="0"/>
      <w:divBdr>
        <w:top w:val="none" w:sz="0" w:space="0" w:color="auto"/>
        <w:left w:val="none" w:sz="0" w:space="0" w:color="auto"/>
        <w:bottom w:val="none" w:sz="0" w:space="0" w:color="auto"/>
        <w:right w:val="none" w:sz="0" w:space="0" w:color="auto"/>
      </w:divBdr>
      <w:divsChild>
        <w:div w:id="342368466">
          <w:marLeft w:val="0"/>
          <w:marRight w:val="0"/>
          <w:marTop w:val="0"/>
          <w:marBottom w:val="0"/>
          <w:divBdr>
            <w:top w:val="none" w:sz="0" w:space="0" w:color="auto"/>
            <w:left w:val="none" w:sz="0" w:space="0" w:color="auto"/>
            <w:bottom w:val="none" w:sz="0" w:space="0" w:color="auto"/>
            <w:right w:val="none" w:sz="0" w:space="0" w:color="auto"/>
          </w:divBdr>
          <w:divsChild>
            <w:div w:id="329409747">
              <w:marLeft w:val="0"/>
              <w:marRight w:val="0"/>
              <w:marTop w:val="0"/>
              <w:marBottom w:val="0"/>
              <w:divBdr>
                <w:top w:val="none" w:sz="0" w:space="0" w:color="auto"/>
                <w:left w:val="none" w:sz="0" w:space="0" w:color="auto"/>
                <w:bottom w:val="none" w:sz="0" w:space="0" w:color="auto"/>
                <w:right w:val="none" w:sz="0" w:space="0" w:color="auto"/>
              </w:divBdr>
              <w:divsChild>
                <w:div w:id="52505443">
                  <w:marLeft w:val="0"/>
                  <w:marRight w:val="0"/>
                  <w:marTop w:val="0"/>
                  <w:marBottom w:val="0"/>
                  <w:divBdr>
                    <w:top w:val="none" w:sz="0" w:space="0" w:color="auto"/>
                    <w:left w:val="none" w:sz="0" w:space="0" w:color="auto"/>
                    <w:bottom w:val="none" w:sz="0" w:space="0" w:color="auto"/>
                    <w:right w:val="none" w:sz="0" w:space="0" w:color="auto"/>
                  </w:divBdr>
                  <w:divsChild>
                    <w:div w:id="1959990307">
                      <w:marLeft w:val="0"/>
                      <w:marRight w:val="0"/>
                      <w:marTop w:val="45"/>
                      <w:marBottom w:val="0"/>
                      <w:divBdr>
                        <w:top w:val="none" w:sz="0" w:space="0" w:color="auto"/>
                        <w:left w:val="none" w:sz="0" w:space="0" w:color="auto"/>
                        <w:bottom w:val="none" w:sz="0" w:space="0" w:color="auto"/>
                        <w:right w:val="none" w:sz="0" w:space="0" w:color="auto"/>
                      </w:divBdr>
                      <w:divsChild>
                        <w:div w:id="802578155">
                          <w:marLeft w:val="0"/>
                          <w:marRight w:val="0"/>
                          <w:marTop w:val="0"/>
                          <w:marBottom w:val="0"/>
                          <w:divBdr>
                            <w:top w:val="none" w:sz="0" w:space="0" w:color="auto"/>
                            <w:left w:val="none" w:sz="0" w:space="0" w:color="auto"/>
                            <w:bottom w:val="none" w:sz="0" w:space="0" w:color="auto"/>
                            <w:right w:val="none" w:sz="0" w:space="0" w:color="auto"/>
                          </w:divBdr>
                          <w:divsChild>
                            <w:div w:id="1922636443">
                              <w:marLeft w:val="2070"/>
                              <w:marRight w:val="3960"/>
                              <w:marTop w:val="0"/>
                              <w:marBottom w:val="0"/>
                              <w:divBdr>
                                <w:top w:val="none" w:sz="0" w:space="0" w:color="auto"/>
                                <w:left w:val="none" w:sz="0" w:space="0" w:color="auto"/>
                                <w:bottom w:val="none" w:sz="0" w:space="0" w:color="auto"/>
                                <w:right w:val="none" w:sz="0" w:space="0" w:color="auto"/>
                              </w:divBdr>
                              <w:divsChild>
                                <w:div w:id="1668364648">
                                  <w:marLeft w:val="0"/>
                                  <w:marRight w:val="0"/>
                                  <w:marTop w:val="0"/>
                                  <w:marBottom w:val="0"/>
                                  <w:divBdr>
                                    <w:top w:val="none" w:sz="0" w:space="0" w:color="auto"/>
                                    <w:left w:val="none" w:sz="0" w:space="0" w:color="auto"/>
                                    <w:bottom w:val="none" w:sz="0" w:space="0" w:color="auto"/>
                                    <w:right w:val="none" w:sz="0" w:space="0" w:color="auto"/>
                                  </w:divBdr>
                                  <w:divsChild>
                                    <w:div w:id="788353175">
                                      <w:marLeft w:val="0"/>
                                      <w:marRight w:val="0"/>
                                      <w:marTop w:val="0"/>
                                      <w:marBottom w:val="0"/>
                                      <w:divBdr>
                                        <w:top w:val="none" w:sz="0" w:space="0" w:color="auto"/>
                                        <w:left w:val="none" w:sz="0" w:space="0" w:color="auto"/>
                                        <w:bottom w:val="none" w:sz="0" w:space="0" w:color="auto"/>
                                        <w:right w:val="none" w:sz="0" w:space="0" w:color="auto"/>
                                      </w:divBdr>
                                      <w:divsChild>
                                        <w:div w:id="1732341575">
                                          <w:marLeft w:val="0"/>
                                          <w:marRight w:val="0"/>
                                          <w:marTop w:val="0"/>
                                          <w:marBottom w:val="0"/>
                                          <w:divBdr>
                                            <w:top w:val="none" w:sz="0" w:space="0" w:color="auto"/>
                                            <w:left w:val="none" w:sz="0" w:space="0" w:color="auto"/>
                                            <w:bottom w:val="none" w:sz="0" w:space="0" w:color="auto"/>
                                            <w:right w:val="none" w:sz="0" w:space="0" w:color="auto"/>
                                          </w:divBdr>
                                          <w:divsChild>
                                            <w:div w:id="1237132323">
                                              <w:marLeft w:val="0"/>
                                              <w:marRight w:val="0"/>
                                              <w:marTop w:val="90"/>
                                              <w:marBottom w:val="0"/>
                                              <w:divBdr>
                                                <w:top w:val="none" w:sz="0" w:space="0" w:color="auto"/>
                                                <w:left w:val="none" w:sz="0" w:space="0" w:color="auto"/>
                                                <w:bottom w:val="none" w:sz="0" w:space="0" w:color="auto"/>
                                                <w:right w:val="none" w:sz="0" w:space="0" w:color="auto"/>
                                              </w:divBdr>
                                              <w:divsChild>
                                                <w:div w:id="424376160">
                                                  <w:marLeft w:val="0"/>
                                                  <w:marRight w:val="0"/>
                                                  <w:marTop w:val="0"/>
                                                  <w:marBottom w:val="0"/>
                                                  <w:divBdr>
                                                    <w:top w:val="none" w:sz="0" w:space="0" w:color="auto"/>
                                                    <w:left w:val="none" w:sz="0" w:space="0" w:color="auto"/>
                                                    <w:bottom w:val="none" w:sz="0" w:space="0" w:color="auto"/>
                                                    <w:right w:val="none" w:sz="0" w:space="0" w:color="auto"/>
                                                  </w:divBdr>
                                                  <w:divsChild>
                                                    <w:div w:id="99030915">
                                                      <w:marLeft w:val="0"/>
                                                      <w:marRight w:val="0"/>
                                                      <w:marTop w:val="0"/>
                                                      <w:marBottom w:val="0"/>
                                                      <w:divBdr>
                                                        <w:top w:val="none" w:sz="0" w:space="0" w:color="auto"/>
                                                        <w:left w:val="none" w:sz="0" w:space="0" w:color="auto"/>
                                                        <w:bottom w:val="none" w:sz="0" w:space="0" w:color="auto"/>
                                                        <w:right w:val="none" w:sz="0" w:space="0" w:color="auto"/>
                                                      </w:divBdr>
                                                      <w:divsChild>
                                                        <w:div w:id="882519110">
                                                          <w:marLeft w:val="0"/>
                                                          <w:marRight w:val="0"/>
                                                          <w:marTop w:val="0"/>
                                                          <w:marBottom w:val="390"/>
                                                          <w:divBdr>
                                                            <w:top w:val="none" w:sz="0" w:space="0" w:color="auto"/>
                                                            <w:left w:val="none" w:sz="0" w:space="0" w:color="auto"/>
                                                            <w:bottom w:val="none" w:sz="0" w:space="0" w:color="auto"/>
                                                            <w:right w:val="none" w:sz="0" w:space="0" w:color="auto"/>
                                                          </w:divBdr>
                                                          <w:divsChild>
                                                            <w:div w:id="1719278685">
                                                              <w:marLeft w:val="0"/>
                                                              <w:marRight w:val="0"/>
                                                              <w:marTop w:val="0"/>
                                                              <w:marBottom w:val="0"/>
                                                              <w:divBdr>
                                                                <w:top w:val="none" w:sz="0" w:space="0" w:color="auto"/>
                                                                <w:left w:val="none" w:sz="0" w:space="0" w:color="auto"/>
                                                                <w:bottom w:val="none" w:sz="0" w:space="0" w:color="auto"/>
                                                                <w:right w:val="none" w:sz="0" w:space="0" w:color="auto"/>
                                                              </w:divBdr>
                                                              <w:divsChild>
                                                                <w:div w:id="1400246916">
                                                                  <w:marLeft w:val="0"/>
                                                                  <w:marRight w:val="0"/>
                                                                  <w:marTop w:val="0"/>
                                                                  <w:marBottom w:val="0"/>
                                                                  <w:divBdr>
                                                                    <w:top w:val="none" w:sz="0" w:space="0" w:color="auto"/>
                                                                    <w:left w:val="none" w:sz="0" w:space="0" w:color="auto"/>
                                                                    <w:bottom w:val="none" w:sz="0" w:space="0" w:color="auto"/>
                                                                    <w:right w:val="none" w:sz="0" w:space="0" w:color="auto"/>
                                                                  </w:divBdr>
                                                                  <w:divsChild>
                                                                    <w:div w:id="854148877">
                                                                      <w:marLeft w:val="0"/>
                                                                      <w:marRight w:val="0"/>
                                                                      <w:marTop w:val="0"/>
                                                                      <w:marBottom w:val="0"/>
                                                                      <w:divBdr>
                                                                        <w:top w:val="none" w:sz="0" w:space="0" w:color="auto"/>
                                                                        <w:left w:val="none" w:sz="0" w:space="0" w:color="auto"/>
                                                                        <w:bottom w:val="none" w:sz="0" w:space="0" w:color="auto"/>
                                                                        <w:right w:val="none" w:sz="0" w:space="0" w:color="auto"/>
                                                                      </w:divBdr>
                                                                      <w:divsChild>
                                                                        <w:div w:id="1690372335">
                                                                          <w:marLeft w:val="0"/>
                                                                          <w:marRight w:val="0"/>
                                                                          <w:marTop w:val="0"/>
                                                                          <w:marBottom w:val="0"/>
                                                                          <w:divBdr>
                                                                            <w:top w:val="none" w:sz="0" w:space="0" w:color="auto"/>
                                                                            <w:left w:val="none" w:sz="0" w:space="0" w:color="auto"/>
                                                                            <w:bottom w:val="none" w:sz="0" w:space="0" w:color="auto"/>
                                                                            <w:right w:val="none" w:sz="0" w:space="0" w:color="auto"/>
                                                                          </w:divBdr>
                                                                          <w:divsChild>
                                                                            <w:div w:id="344554420">
                                                                              <w:marLeft w:val="0"/>
                                                                              <w:marRight w:val="0"/>
                                                                              <w:marTop w:val="0"/>
                                                                              <w:marBottom w:val="0"/>
                                                                              <w:divBdr>
                                                                                <w:top w:val="none" w:sz="0" w:space="0" w:color="auto"/>
                                                                                <w:left w:val="none" w:sz="0" w:space="0" w:color="auto"/>
                                                                                <w:bottom w:val="none" w:sz="0" w:space="0" w:color="auto"/>
                                                                                <w:right w:val="none" w:sz="0" w:space="0" w:color="auto"/>
                                                                              </w:divBdr>
                                                                              <w:divsChild>
                                                                                <w:div w:id="521751694">
                                                                                  <w:marLeft w:val="0"/>
                                                                                  <w:marRight w:val="0"/>
                                                                                  <w:marTop w:val="0"/>
                                                                                  <w:marBottom w:val="0"/>
                                                                                  <w:divBdr>
                                                                                    <w:top w:val="none" w:sz="0" w:space="0" w:color="auto"/>
                                                                                    <w:left w:val="none" w:sz="0" w:space="0" w:color="auto"/>
                                                                                    <w:bottom w:val="none" w:sz="0" w:space="0" w:color="auto"/>
                                                                                    <w:right w:val="none" w:sz="0" w:space="0" w:color="auto"/>
                                                                                  </w:divBdr>
                                                                                  <w:divsChild>
                                                                                    <w:div w:id="842089701">
                                                                                      <w:marLeft w:val="0"/>
                                                                                      <w:marRight w:val="0"/>
                                                                                      <w:marTop w:val="0"/>
                                                                                      <w:marBottom w:val="0"/>
                                                                                      <w:divBdr>
                                                                                        <w:top w:val="none" w:sz="0" w:space="0" w:color="auto"/>
                                                                                        <w:left w:val="none" w:sz="0" w:space="0" w:color="auto"/>
                                                                                        <w:bottom w:val="none" w:sz="0" w:space="0" w:color="auto"/>
                                                                                        <w:right w:val="none" w:sz="0" w:space="0" w:color="auto"/>
                                                                                      </w:divBdr>
                                                                                      <w:divsChild>
                                                                                        <w:div w:id="16925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8657">
      <w:bodyDiv w:val="1"/>
      <w:marLeft w:val="0"/>
      <w:marRight w:val="0"/>
      <w:marTop w:val="0"/>
      <w:marBottom w:val="0"/>
      <w:divBdr>
        <w:top w:val="none" w:sz="0" w:space="0" w:color="auto"/>
        <w:left w:val="none" w:sz="0" w:space="0" w:color="auto"/>
        <w:bottom w:val="none" w:sz="0" w:space="0" w:color="auto"/>
        <w:right w:val="none" w:sz="0" w:space="0" w:color="auto"/>
      </w:divBdr>
    </w:div>
    <w:div w:id="702247707">
      <w:bodyDiv w:val="1"/>
      <w:marLeft w:val="0"/>
      <w:marRight w:val="0"/>
      <w:marTop w:val="0"/>
      <w:marBottom w:val="0"/>
      <w:divBdr>
        <w:top w:val="none" w:sz="0" w:space="0" w:color="auto"/>
        <w:left w:val="none" w:sz="0" w:space="0" w:color="auto"/>
        <w:bottom w:val="none" w:sz="0" w:space="0" w:color="auto"/>
        <w:right w:val="none" w:sz="0" w:space="0" w:color="auto"/>
      </w:divBdr>
      <w:divsChild>
        <w:div w:id="1309553362">
          <w:marLeft w:val="0"/>
          <w:marRight w:val="0"/>
          <w:marTop w:val="0"/>
          <w:marBottom w:val="0"/>
          <w:divBdr>
            <w:top w:val="none" w:sz="0" w:space="0" w:color="auto"/>
            <w:left w:val="none" w:sz="0" w:space="0" w:color="auto"/>
            <w:bottom w:val="none" w:sz="0" w:space="0" w:color="auto"/>
            <w:right w:val="none" w:sz="0" w:space="0" w:color="auto"/>
          </w:divBdr>
          <w:divsChild>
            <w:div w:id="1856191978">
              <w:marLeft w:val="0"/>
              <w:marRight w:val="0"/>
              <w:marTop w:val="0"/>
              <w:marBottom w:val="0"/>
              <w:divBdr>
                <w:top w:val="none" w:sz="0" w:space="0" w:color="auto"/>
                <w:left w:val="none" w:sz="0" w:space="0" w:color="auto"/>
                <w:bottom w:val="none" w:sz="0" w:space="0" w:color="auto"/>
                <w:right w:val="none" w:sz="0" w:space="0" w:color="auto"/>
              </w:divBdr>
              <w:divsChild>
                <w:div w:id="1424299005">
                  <w:marLeft w:val="0"/>
                  <w:marRight w:val="0"/>
                  <w:marTop w:val="0"/>
                  <w:marBottom w:val="0"/>
                  <w:divBdr>
                    <w:top w:val="none" w:sz="0" w:space="0" w:color="auto"/>
                    <w:left w:val="none" w:sz="0" w:space="0" w:color="auto"/>
                    <w:bottom w:val="none" w:sz="0" w:space="0" w:color="auto"/>
                    <w:right w:val="none" w:sz="0" w:space="0" w:color="auto"/>
                  </w:divBdr>
                  <w:divsChild>
                    <w:div w:id="47731990">
                      <w:marLeft w:val="0"/>
                      <w:marRight w:val="0"/>
                      <w:marTop w:val="45"/>
                      <w:marBottom w:val="0"/>
                      <w:divBdr>
                        <w:top w:val="none" w:sz="0" w:space="0" w:color="auto"/>
                        <w:left w:val="none" w:sz="0" w:space="0" w:color="auto"/>
                        <w:bottom w:val="none" w:sz="0" w:space="0" w:color="auto"/>
                        <w:right w:val="none" w:sz="0" w:space="0" w:color="auto"/>
                      </w:divBdr>
                      <w:divsChild>
                        <w:div w:id="1648320916">
                          <w:marLeft w:val="0"/>
                          <w:marRight w:val="0"/>
                          <w:marTop w:val="0"/>
                          <w:marBottom w:val="0"/>
                          <w:divBdr>
                            <w:top w:val="none" w:sz="0" w:space="0" w:color="auto"/>
                            <w:left w:val="none" w:sz="0" w:space="0" w:color="auto"/>
                            <w:bottom w:val="none" w:sz="0" w:space="0" w:color="auto"/>
                            <w:right w:val="none" w:sz="0" w:space="0" w:color="auto"/>
                          </w:divBdr>
                          <w:divsChild>
                            <w:div w:id="1314524173">
                              <w:marLeft w:val="2070"/>
                              <w:marRight w:val="3960"/>
                              <w:marTop w:val="0"/>
                              <w:marBottom w:val="0"/>
                              <w:divBdr>
                                <w:top w:val="none" w:sz="0" w:space="0" w:color="auto"/>
                                <w:left w:val="none" w:sz="0" w:space="0" w:color="auto"/>
                                <w:bottom w:val="none" w:sz="0" w:space="0" w:color="auto"/>
                                <w:right w:val="none" w:sz="0" w:space="0" w:color="auto"/>
                              </w:divBdr>
                              <w:divsChild>
                                <w:div w:id="604649982">
                                  <w:marLeft w:val="0"/>
                                  <w:marRight w:val="0"/>
                                  <w:marTop w:val="0"/>
                                  <w:marBottom w:val="0"/>
                                  <w:divBdr>
                                    <w:top w:val="none" w:sz="0" w:space="0" w:color="auto"/>
                                    <w:left w:val="none" w:sz="0" w:space="0" w:color="auto"/>
                                    <w:bottom w:val="none" w:sz="0" w:space="0" w:color="auto"/>
                                    <w:right w:val="none" w:sz="0" w:space="0" w:color="auto"/>
                                  </w:divBdr>
                                  <w:divsChild>
                                    <w:div w:id="1517496871">
                                      <w:marLeft w:val="0"/>
                                      <w:marRight w:val="0"/>
                                      <w:marTop w:val="0"/>
                                      <w:marBottom w:val="0"/>
                                      <w:divBdr>
                                        <w:top w:val="none" w:sz="0" w:space="0" w:color="auto"/>
                                        <w:left w:val="none" w:sz="0" w:space="0" w:color="auto"/>
                                        <w:bottom w:val="none" w:sz="0" w:space="0" w:color="auto"/>
                                        <w:right w:val="none" w:sz="0" w:space="0" w:color="auto"/>
                                      </w:divBdr>
                                      <w:divsChild>
                                        <w:div w:id="1939605804">
                                          <w:marLeft w:val="0"/>
                                          <w:marRight w:val="0"/>
                                          <w:marTop w:val="0"/>
                                          <w:marBottom w:val="0"/>
                                          <w:divBdr>
                                            <w:top w:val="none" w:sz="0" w:space="0" w:color="auto"/>
                                            <w:left w:val="none" w:sz="0" w:space="0" w:color="auto"/>
                                            <w:bottom w:val="none" w:sz="0" w:space="0" w:color="auto"/>
                                            <w:right w:val="none" w:sz="0" w:space="0" w:color="auto"/>
                                          </w:divBdr>
                                          <w:divsChild>
                                            <w:div w:id="189952588">
                                              <w:marLeft w:val="0"/>
                                              <w:marRight w:val="0"/>
                                              <w:marTop w:val="90"/>
                                              <w:marBottom w:val="0"/>
                                              <w:divBdr>
                                                <w:top w:val="none" w:sz="0" w:space="0" w:color="auto"/>
                                                <w:left w:val="none" w:sz="0" w:space="0" w:color="auto"/>
                                                <w:bottom w:val="none" w:sz="0" w:space="0" w:color="auto"/>
                                                <w:right w:val="none" w:sz="0" w:space="0" w:color="auto"/>
                                              </w:divBdr>
                                              <w:divsChild>
                                                <w:div w:id="2008560394">
                                                  <w:marLeft w:val="0"/>
                                                  <w:marRight w:val="0"/>
                                                  <w:marTop w:val="0"/>
                                                  <w:marBottom w:val="0"/>
                                                  <w:divBdr>
                                                    <w:top w:val="none" w:sz="0" w:space="0" w:color="auto"/>
                                                    <w:left w:val="none" w:sz="0" w:space="0" w:color="auto"/>
                                                    <w:bottom w:val="none" w:sz="0" w:space="0" w:color="auto"/>
                                                    <w:right w:val="none" w:sz="0" w:space="0" w:color="auto"/>
                                                  </w:divBdr>
                                                  <w:divsChild>
                                                    <w:div w:id="2141728414">
                                                      <w:marLeft w:val="0"/>
                                                      <w:marRight w:val="0"/>
                                                      <w:marTop w:val="0"/>
                                                      <w:marBottom w:val="0"/>
                                                      <w:divBdr>
                                                        <w:top w:val="none" w:sz="0" w:space="0" w:color="auto"/>
                                                        <w:left w:val="none" w:sz="0" w:space="0" w:color="auto"/>
                                                        <w:bottom w:val="none" w:sz="0" w:space="0" w:color="auto"/>
                                                        <w:right w:val="none" w:sz="0" w:space="0" w:color="auto"/>
                                                      </w:divBdr>
                                                      <w:divsChild>
                                                        <w:div w:id="552430743">
                                                          <w:marLeft w:val="0"/>
                                                          <w:marRight w:val="0"/>
                                                          <w:marTop w:val="0"/>
                                                          <w:marBottom w:val="390"/>
                                                          <w:divBdr>
                                                            <w:top w:val="none" w:sz="0" w:space="0" w:color="auto"/>
                                                            <w:left w:val="none" w:sz="0" w:space="0" w:color="auto"/>
                                                            <w:bottom w:val="none" w:sz="0" w:space="0" w:color="auto"/>
                                                            <w:right w:val="none" w:sz="0" w:space="0" w:color="auto"/>
                                                          </w:divBdr>
                                                          <w:divsChild>
                                                            <w:div w:id="1643347174">
                                                              <w:marLeft w:val="0"/>
                                                              <w:marRight w:val="0"/>
                                                              <w:marTop w:val="0"/>
                                                              <w:marBottom w:val="0"/>
                                                              <w:divBdr>
                                                                <w:top w:val="none" w:sz="0" w:space="0" w:color="auto"/>
                                                                <w:left w:val="none" w:sz="0" w:space="0" w:color="auto"/>
                                                                <w:bottom w:val="none" w:sz="0" w:space="0" w:color="auto"/>
                                                                <w:right w:val="none" w:sz="0" w:space="0" w:color="auto"/>
                                                              </w:divBdr>
                                                              <w:divsChild>
                                                                <w:div w:id="182862315">
                                                                  <w:marLeft w:val="0"/>
                                                                  <w:marRight w:val="0"/>
                                                                  <w:marTop w:val="0"/>
                                                                  <w:marBottom w:val="0"/>
                                                                  <w:divBdr>
                                                                    <w:top w:val="none" w:sz="0" w:space="0" w:color="auto"/>
                                                                    <w:left w:val="none" w:sz="0" w:space="0" w:color="auto"/>
                                                                    <w:bottom w:val="none" w:sz="0" w:space="0" w:color="auto"/>
                                                                    <w:right w:val="none" w:sz="0" w:space="0" w:color="auto"/>
                                                                  </w:divBdr>
                                                                  <w:divsChild>
                                                                    <w:div w:id="332492651">
                                                                      <w:marLeft w:val="0"/>
                                                                      <w:marRight w:val="0"/>
                                                                      <w:marTop w:val="0"/>
                                                                      <w:marBottom w:val="0"/>
                                                                      <w:divBdr>
                                                                        <w:top w:val="none" w:sz="0" w:space="0" w:color="auto"/>
                                                                        <w:left w:val="none" w:sz="0" w:space="0" w:color="auto"/>
                                                                        <w:bottom w:val="none" w:sz="0" w:space="0" w:color="auto"/>
                                                                        <w:right w:val="none" w:sz="0" w:space="0" w:color="auto"/>
                                                                      </w:divBdr>
                                                                      <w:divsChild>
                                                                        <w:div w:id="969870074">
                                                                          <w:marLeft w:val="0"/>
                                                                          <w:marRight w:val="0"/>
                                                                          <w:marTop w:val="0"/>
                                                                          <w:marBottom w:val="0"/>
                                                                          <w:divBdr>
                                                                            <w:top w:val="none" w:sz="0" w:space="0" w:color="auto"/>
                                                                            <w:left w:val="none" w:sz="0" w:space="0" w:color="auto"/>
                                                                            <w:bottom w:val="none" w:sz="0" w:space="0" w:color="auto"/>
                                                                            <w:right w:val="none" w:sz="0" w:space="0" w:color="auto"/>
                                                                          </w:divBdr>
                                                                          <w:divsChild>
                                                                            <w:div w:id="1406757176">
                                                                              <w:marLeft w:val="0"/>
                                                                              <w:marRight w:val="0"/>
                                                                              <w:marTop w:val="0"/>
                                                                              <w:marBottom w:val="0"/>
                                                                              <w:divBdr>
                                                                                <w:top w:val="none" w:sz="0" w:space="0" w:color="auto"/>
                                                                                <w:left w:val="none" w:sz="0" w:space="0" w:color="auto"/>
                                                                                <w:bottom w:val="none" w:sz="0" w:space="0" w:color="auto"/>
                                                                                <w:right w:val="none" w:sz="0" w:space="0" w:color="auto"/>
                                                                              </w:divBdr>
                                                                              <w:divsChild>
                                                                                <w:div w:id="101849946">
                                                                                  <w:marLeft w:val="0"/>
                                                                                  <w:marRight w:val="0"/>
                                                                                  <w:marTop w:val="0"/>
                                                                                  <w:marBottom w:val="0"/>
                                                                                  <w:divBdr>
                                                                                    <w:top w:val="none" w:sz="0" w:space="0" w:color="auto"/>
                                                                                    <w:left w:val="none" w:sz="0" w:space="0" w:color="auto"/>
                                                                                    <w:bottom w:val="none" w:sz="0" w:space="0" w:color="auto"/>
                                                                                    <w:right w:val="none" w:sz="0" w:space="0" w:color="auto"/>
                                                                                  </w:divBdr>
                                                                                  <w:divsChild>
                                                                                    <w:div w:id="908925717">
                                                                                      <w:marLeft w:val="0"/>
                                                                                      <w:marRight w:val="0"/>
                                                                                      <w:marTop w:val="0"/>
                                                                                      <w:marBottom w:val="0"/>
                                                                                      <w:divBdr>
                                                                                        <w:top w:val="none" w:sz="0" w:space="0" w:color="auto"/>
                                                                                        <w:left w:val="none" w:sz="0" w:space="0" w:color="auto"/>
                                                                                        <w:bottom w:val="none" w:sz="0" w:space="0" w:color="auto"/>
                                                                                        <w:right w:val="none" w:sz="0" w:space="0" w:color="auto"/>
                                                                                      </w:divBdr>
                                                                                      <w:divsChild>
                                                                                        <w:div w:id="1769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548588">
      <w:bodyDiv w:val="1"/>
      <w:marLeft w:val="0"/>
      <w:marRight w:val="0"/>
      <w:marTop w:val="0"/>
      <w:marBottom w:val="0"/>
      <w:divBdr>
        <w:top w:val="none" w:sz="0" w:space="0" w:color="auto"/>
        <w:left w:val="none" w:sz="0" w:space="0" w:color="auto"/>
        <w:bottom w:val="none" w:sz="0" w:space="0" w:color="auto"/>
        <w:right w:val="none" w:sz="0" w:space="0" w:color="auto"/>
      </w:divBdr>
      <w:divsChild>
        <w:div w:id="1245604439">
          <w:marLeft w:val="0"/>
          <w:marRight w:val="0"/>
          <w:marTop w:val="0"/>
          <w:marBottom w:val="0"/>
          <w:divBdr>
            <w:top w:val="none" w:sz="0" w:space="0" w:color="auto"/>
            <w:left w:val="none" w:sz="0" w:space="0" w:color="auto"/>
            <w:bottom w:val="none" w:sz="0" w:space="0" w:color="auto"/>
            <w:right w:val="none" w:sz="0" w:space="0" w:color="auto"/>
          </w:divBdr>
          <w:divsChild>
            <w:div w:id="705909584">
              <w:marLeft w:val="0"/>
              <w:marRight w:val="0"/>
              <w:marTop w:val="0"/>
              <w:marBottom w:val="0"/>
              <w:divBdr>
                <w:top w:val="none" w:sz="0" w:space="0" w:color="auto"/>
                <w:left w:val="none" w:sz="0" w:space="0" w:color="auto"/>
                <w:bottom w:val="none" w:sz="0" w:space="0" w:color="auto"/>
                <w:right w:val="none" w:sz="0" w:space="0" w:color="auto"/>
              </w:divBdr>
              <w:divsChild>
                <w:div w:id="906844054">
                  <w:marLeft w:val="0"/>
                  <w:marRight w:val="0"/>
                  <w:marTop w:val="0"/>
                  <w:marBottom w:val="0"/>
                  <w:divBdr>
                    <w:top w:val="none" w:sz="0" w:space="0" w:color="auto"/>
                    <w:left w:val="none" w:sz="0" w:space="0" w:color="auto"/>
                    <w:bottom w:val="none" w:sz="0" w:space="0" w:color="auto"/>
                    <w:right w:val="none" w:sz="0" w:space="0" w:color="auto"/>
                  </w:divBdr>
                  <w:divsChild>
                    <w:div w:id="1062751752">
                      <w:marLeft w:val="0"/>
                      <w:marRight w:val="0"/>
                      <w:marTop w:val="45"/>
                      <w:marBottom w:val="0"/>
                      <w:divBdr>
                        <w:top w:val="none" w:sz="0" w:space="0" w:color="auto"/>
                        <w:left w:val="none" w:sz="0" w:space="0" w:color="auto"/>
                        <w:bottom w:val="none" w:sz="0" w:space="0" w:color="auto"/>
                        <w:right w:val="none" w:sz="0" w:space="0" w:color="auto"/>
                      </w:divBdr>
                      <w:divsChild>
                        <w:div w:id="1917588446">
                          <w:marLeft w:val="0"/>
                          <w:marRight w:val="0"/>
                          <w:marTop w:val="0"/>
                          <w:marBottom w:val="0"/>
                          <w:divBdr>
                            <w:top w:val="none" w:sz="0" w:space="0" w:color="auto"/>
                            <w:left w:val="none" w:sz="0" w:space="0" w:color="auto"/>
                            <w:bottom w:val="none" w:sz="0" w:space="0" w:color="auto"/>
                            <w:right w:val="none" w:sz="0" w:space="0" w:color="auto"/>
                          </w:divBdr>
                          <w:divsChild>
                            <w:div w:id="1534920464">
                              <w:marLeft w:val="2070"/>
                              <w:marRight w:val="3960"/>
                              <w:marTop w:val="0"/>
                              <w:marBottom w:val="0"/>
                              <w:divBdr>
                                <w:top w:val="none" w:sz="0" w:space="0" w:color="auto"/>
                                <w:left w:val="none" w:sz="0" w:space="0" w:color="auto"/>
                                <w:bottom w:val="none" w:sz="0" w:space="0" w:color="auto"/>
                                <w:right w:val="none" w:sz="0" w:space="0" w:color="auto"/>
                              </w:divBdr>
                              <w:divsChild>
                                <w:div w:id="1736009140">
                                  <w:marLeft w:val="0"/>
                                  <w:marRight w:val="0"/>
                                  <w:marTop w:val="0"/>
                                  <w:marBottom w:val="0"/>
                                  <w:divBdr>
                                    <w:top w:val="none" w:sz="0" w:space="0" w:color="auto"/>
                                    <w:left w:val="none" w:sz="0" w:space="0" w:color="auto"/>
                                    <w:bottom w:val="none" w:sz="0" w:space="0" w:color="auto"/>
                                    <w:right w:val="none" w:sz="0" w:space="0" w:color="auto"/>
                                  </w:divBdr>
                                  <w:divsChild>
                                    <w:div w:id="1842767972">
                                      <w:marLeft w:val="0"/>
                                      <w:marRight w:val="0"/>
                                      <w:marTop w:val="0"/>
                                      <w:marBottom w:val="0"/>
                                      <w:divBdr>
                                        <w:top w:val="none" w:sz="0" w:space="0" w:color="auto"/>
                                        <w:left w:val="none" w:sz="0" w:space="0" w:color="auto"/>
                                        <w:bottom w:val="none" w:sz="0" w:space="0" w:color="auto"/>
                                        <w:right w:val="none" w:sz="0" w:space="0" w:color="auto"/>
                                      </w:divBdr>
                                      <w:divsChild>
                                        <w:div w:id="1209993836">
                                          <w:marLeft w:val="0"/>
                                          <w:marRight w:val="0"/>
                                          <w:marTop w:val="0"/>
                                          <w:marBottom w:val="0"/>
                                          <w:divBdr>
                                            <w:top w:val="none" w:sz="0" w:space="0" w:color="auto"/>
                                            <w:left w:val="none" w:sz="0" w:space="0" w:color="auto"/>
                                            <w:bottom w:val="none" w:sz="0" w:space="0" w:color="auto"/>
                                            <w:right w:val="none" w:sz="0" w:space="0" w:color="auto"/>
                                          </w:divBdr>
                                          <w:divsChild>
                                            <w:div w:id="774138102">
                                              <w:marLeft w:val="0"/>
                                              <w:marRight w:val="0"/>
                                              <w:marTop w:val="90"/>
                                              <w:marBottom w:val="0"/>
                                              <w:divBdr>
                                                <w:top w:val="none" w:sz="0" w:space="0" w:color="auto"/>
                                                <w:left w:val="none" w:sz="0" w:space="0" w:color="auto"/>
                                                <w:bottom w:val="none" w:sz="0" w:space="0" w:color="auto"/>
                                                <w:right w:val="none" w:sz="0" w:space="0" w:color="auto"/>
                                              </w:divBdr>
                                              <w:divsChild>
                                                <w:div w:id="1141263496">
                                                  <w:marLeft w:val="0"/>
                                                  <w:marRight w:val="0"/>
                                                  <w:marTop w:val="0"/>
                                                  <w:marBottom w:val="0"/>
                                                  <w:divBdr>
                                                    <w:top w:val="none" w:sz="0" w:space="0" w:color="auto"/>
                                                    <w:left w:val="none" w:sz="0" w:space="0" w:color="auto"/>
                                                    <w:bottom w:val="none" w:sz="0" w:space="0" w:color="auto"/>
                                                    <w:right w:val="none" w:sz="0" w:space="0" w:color="auto"/>
                                                  </w:divBdr>
                                                  <w:divsChild>
                                                    <w:div w:id="1435173913">
                                                      <w:marLeft w:val="0"/>
                                                      <w:marRight w:val="0"/>
                                                      <w:marTop w:val="0"/>
                                                      <w:marBottom w:val="0"/>
                                                      <w:divBdr>
                                                        <w:top w:val="none" w:sz="0" w:space="0" w:color="auto"/>
                                                        <w:left w:val="none" w:sz="0" w:space="0" w:color="auto"/>
                                                        <w:bottom w:val="none" w:sz="0" w:space="0" w:color="auto"/>
                                                        <w:right w:val="none" w:sz="0" w:space="0" w:color="auto"/>
                                                      </w:divBdr>
                                                      <w:divsChild>
                                                        <w:div w:id="70659915">
                                                          <w:marLeft w:val="0"/>
                                                          <w:marRight w:val="0"/>
                                                          <w:marTop w:val="0"/>
                                                          <w:marBottom w:val="390"/>
                                                          <w:divBdr>
                                                            <w:top w:val="none" w:sz="0" w:space="0" w:color="auto"/>
                                                            <w:left w:val="none" w:sz="0" w:space="0" w:color="auto"/>
                                                            <w:bottom w:val="none" w:sz="0" w:space="0" w:color="auto"/>
                                                            <w:right w:val="none" w:sz="0" w:space="0" w:color="auto"/>
                                                          </w:divBdr>
                                                          <w:divsChild>
                                                            <w:div w:id="1279948161">
                                                              <w:marLeft w:val="0"/>
                                                              <w:marRight w:val="0"/>
                                                              <w:marTop w:val="0"/>
                                                              <w:marBottom w:val="0"/>
                                                              <w:divBdr>
                                                                <w:top w:val="none" w:sz="0" w:space="0" w:color="auto"/>
                                                                <w:left w:val="none" w:sz="0" w:space="0" w:color="auto"/>
                                                                <w:bottom w:val="none" w:sz="0" w:space="0" w:color="auto"/>
                                                                <w:right w:val="none" w:sz="0" w:space="0" w:color="auto"/>
                                                              </w:divBdr>
                                                              <w:divsChild>
                                                                <w:div w:id="26685465">
                                                                  <w:marLeft w:val="0"/>
                                                                  <w:marRight w:val="0"/>
                                                                  <w:marTop w:val="0"/>
                                                                  <w:marBottom w:val="0"/>
                                                                  <w:divBdr>
                                                                    <w:top w:val="none" w:sz="0" w:space="0" w:color="auto"/>
                                                                    <w:left w:val="none" w:sz="0" w:space="0" w:color="auto"/>
                                                                    <w:bottom w:val="none" w:sz="0" w:space="0" w:color="auto"/>
                                                                    <w:right w:val="none" w:sz="0" w:space="0" w:color="auto"/>
                                                                  </w:divBdr>
                                                                  <w:divsChild>
                                                                    <w:div w:id="81875690">
                                                                      <w:marLeft w:val="0"/>
                                                                      <w:marRight w:val="0"/>
                                                                      <w:marTop w:val="0"/>
                                                                      <w:marBottom w:val="0"/>
                                                                      <w:divBdr>
                                                                        <w:top w:val="none" w:sz="0" w:space="0" w:color="auto"/>
                                                                        <w:left w:val="none" w:sz="0" w:space="0" w:color="auto"/>
                                                                        <w:bottom w:val="none" w:sz="0" w:space="0" w:color="auto"/>
                                                                        <w:right w:val="none" w:sz="0" w:space="0" w:color="auto"/>
                                                                      </w:divBdr>
                                                                      <w:divsChild>
                                                                        <w:div w:id="1598097472">
                                                                          <w:marLeft w:val="0"/>
                                                                          <w:marRight w:val="0"/>
                                                                          <w:marTop w:val="0"/>
                                                                          <w:marBottom w:val="0"/>
                                                                          <w:divBdr>
                                                                            <w:top w:val="none" w:sz="0" w:space="0" w:color="auto"/>
                                                                            <w:left w:val="none" w:sz="0" w:space="0" w:color="auto"/>
                                                                            <w:bottom w:val="none" w:sz="0" w:space="0" w:color="auto"/>
                                                                            <w:right w:val="none" w:sz="0" w:space="0" w:color="auto"/>
                                                                          </w:divBdr>
                                                                          <w:divsChild>
                                                                            <w:div w:id="157158964">
                                                                              <w:marLeft w:val="0"/>
                                                                              <w:marRight w:val="0"/>
                                                                              <w:marTop w:val="0"/>
                                                                              <w:marBottom w:val="0"/>
                                                                              <w:divBdr>
                                                                                <w:top w:val="none" w:sz="0" w:space="0" w:color="auto"/>
                                                                                <w:left w:val="none" w:sz="0" w:space="0" w:color="auto"/>
                                                                                <w:bottom w:val="none" w:sz="0" w:space="0" w:color="auto"/>
                                                                                <w:right w:val="none" w:sz="0" w:space="0" w:color="auto"/>
                                                                              </w:divBdr>
                                                                              <w:divsChild>
                                                                                <w:div w:id="371031112">
                                                                                  <w:marLeft w:val="0"/>
                                                                                  <w:marRight w:val="0"/>
                                                                                  <w:marTop w:val="0"/>
                                                                                  <w:marBottom w:val="0"/>
                                                                                  <w:divBdr>
                                                                                    <w:top w:val="none" w:sz="0" w:space="0" w:color="auto"/>
                                                                                    <w:left w:val="none" w:sz="0" w:space="0" w:color="auto"/>
                                                                                    <w:bottom w:val="none" w:sz="0" w:space="0" w:color="auto"/>
                                                                                    <w:right w:val="none" w:sz="0" w:space="0" w:color="auto"/>
                                                                                  </w:divBdr>
                                                                                  <w:divsChild>
                                                                                    <w:div w:id="1482887486">
                                                                                      <w:marLeft w:val="0"/>
                                                                                      <w:marRight w:val="0"/>
                                                                                      <w:marTop w:val="0"/>
                                                                                      <w:marBottom w:val="0"/>
                                                                                      <w:divBdr>
                                                                                        <w:top w:val="none" w:sz="0" w:space="0" w:color="auto"/>
                                                                                        <w:left w:val="none" w:sz="0" w:space="0" w:color="auto"/>
                                                                                        <w:bottom w:val="none" w:sz="0" w:space="0" w:color="auto"/>
                                                                                        <w:right w:val="none" w:sz="0" w:space="0" w:color="auto"/>
                                                                                      </w:divBdr>
                                                                                      <w:divsChild>
                                                                                        <w:div w:id="18694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73138">
      <w:bodyDiv w:val="1"/>
      <w:marLeft w:val="0"/>
      <w:marRight w:val="0"/>
      <w:marTop w:val="0"/>
      <w:marBottom w:val="0"/>
      <w:divBdr>
        <w:top w:val="none" w:sz="0" w:space="0" w:color="auto"/>
        <w:left w:val="none" w:sz="0" w:space="0" w:color="auto"/>
        <w:bottom w:val="none" w:sz="0" w:space="0" w:color="auto"/>
        <w:right w:val="none" w:sz="0" w:space="0" w:color="auto"/>
      </w:divBdr>
    </w:div>
    <w:div w:id="815269102">
      <w:bodyDiv w:val="1"/>
      <w:marLeft w:val="0"/>
      <w:marRight w:val="0"/>
      <w:marTop w:val="0"/>
      <w:marBottom w:val="0"/>
      <w:divBdr>
        <w:top w:val="none" w:sz="0" w:space="0" w:color="auto"/>
        <w:left w:val="none" w:sz="0" w:space="0" w:color="auto"/>
        <w:bottom w:val="none" w:sz="0" w:space="0" w:color="auto"/>
        <w:right w:val="none" w:sz="0" w:space="0" w:color="auto"/>
      </w:divBdr>
    </w:div>
    <w:div w:id="827139856">
      <w:bodyDiv w:val="1"/>
      <w:marLeft w:val="0"/>
      <w:marRight w:val="0"/>
      <w:marTop w:val="0"/>
      <w:marBottom w:val="0"/>
      <w:divBdr>
        <w:top w:val="none" w:sz="0" w:space="0" w:color="auto"/>
        <w:left w:val="none" w:sz="0" w:space="0" w:color="auto"/>
        <w:bottom w:val="none" w:sz="0" w:space="0" w:color="auto"/>
        <w:right w:val="none" w:sz="0" w:space="0" w:color="auto"/>
      </w:divBdr>
    </w:div>
    <w:div w:id="888035270">
      <w:bodyDiv w:val="1"/>
      <w:marLeft w:val="0"/>
      <w:marRight w:val="0"/>
      <w:marTop w:val="0"/>
      <w:marBottom w:val="0"/>
      <w:divBdr>
        <w:top w:val="none" w:sz="0" w:space="0" w:color="auto"/>
        <w:left w:val="none" w:sz="0" w:space="0" w:color="auto"/>
        <w:bottom w:val="none" w:sz="0" w:space="0" w:color="auto"/>
        <w:right w:val="none" w:sz="0" w:space="0" w:color="auto"/>
      </w:divBdr>
      <w:divsChild>
        <w:div w:id="1328366545">
          <w:marLeft w:val="1166"/>
          <w:marRight w:val="0"/>
          <w:marTop w:val="0"/>
          <w:marBottom w:val="0"/>
          <w:divBdr>
            <w:top w:val="none" w:sz="0" w:space="0" w:color="auto"/>
            <w:left w:val="none" w:sz="0" w:space="0" w:color="auto"/>
            <w:bottom w:val="none" w:sz="0" w:space="0" w:color="auto"/>
            <w:right w:val="none" w:sz="0" w:space="0" w:color="auto"/>
          </w:divBdr>
        </w:div>
        <w:div w:id="183397988">
          <w:marLeft w:val="1166"/>
          <w:marRight w:val="0"/>
          <w:marTop w:val="0"/>
          <w:marBottom w:val="0"/>
          <w:divBdr>
            <w:top w:val="none" w:sz="0" w:space="0" w:color="auto"/>
            <w:left w:val="none" w:sz="0" w:space="0" w:color="auto"/>
            <w:bottom w:val="none" w:sz="0" w:space="0" w:color="auto"/>
            <w:right w:val="none" w:sz="0" w:space="0" w:color="auto"/>
          </w:divBdr>
        </w:div>
        <w:div w:id="961424659">
          <w:marLeft w:val="1166"/>
          <w:marRight w:val="0"/>
          <w:marTop w:val="0"/>
          <w:marBottom w:val="0"/>
          <w:divBdr>
            <w:top w:val="none" w:sz="0" w:space="0" w:color="auto"/>
            <w:left w:val="none" w:sz="0" w:space="0" w:color="auto"/>
            <w:bottom w:val="none" w:sz="0" w:space="0" w:color="auto"/>
            <w:right w:val="none" w:sz="0" w:space="0" w:color="auto"/>
          </w:divBdr>
        </w:div>
        <w:div w:id="1440568804">
          <w:marLeft w:val="1166"/>
          <w:marRight w:val="0"/>
          <w:marTop w:val="0"/>
          <w:marBottom w:val="0"/>
          <w:divBdr>
            <w:top w:val="none" w:sz="0" w:space="0" w:color="auto"/>
            <w:left w:val="none" w:sz="0" w:space="0" w:color="auto"/>
            <w:bottom w:val="none" w:sz="0" w:space="0" w:color="auto"/>
            <w:right w:val="none" w:sz="0" w:space="0" w:color="auto"/>
          </w:divBdr>
        </w:div>
      </w:divsChild>
    </w:div>
    <w:div w:id="909386084">
      <w:bodyDiv w:val="1"/>
      <w:marLeft w:val="0"/>
      <w:marRight w:val="0"/>
      <w:marTop w:val="0"/>
      <w:marBottom w:val="0"/>
      <w:divBdr>
        <w:top w:val="none" w:sz="0" w:space="0" w:color="auto"/>
        <w:left w:val="none" w:sz="0" w:space="0" w:color="auto"/>
        <w:bottom w:val="none" w:sz="0" w:space="0" w:color="auto"/>
        <w:right w:val="none" w:sz="0" w:space="0" w:color="auto"/>
      </w:divBdr>
      <w:divsChild>
        <w:div w:id="433132684">
          <w:marLeft w:val="446"/>
          <w:marRight w:val="0"/>
          <w:marTop w:val="0"/>
          <w:marBottom w:val="0"/>
          <w:divBdr>
            <w:top w:val="none" w:sz="0" w:space="0" w:color="auto"/>
            <w:left w:val="none" w:sz="0" w:space="0" w:color="auto"/>
            <w:bottom w:val="none" w:sz="0" w:space="0" w:color="auto"/>
            <w:right w:val="none" w:sz="0" w:space="0" w:color="auto"/>
          </w:divBdr>
        </w:div>
        <w:div w:id="114569377">
          <w:marLeft w:val="446"/>
          <w:marRight w:val="0"/>
          <w:marTop w:val="0"/>
          <w:marBottom w:val="0"/>
          <w:divBdr>
            <w:top w:val="none" w:sz="0" w:space="0" w:color="auto"/>
            <w:left w:val="none" w:sz="0" w:space="0" w:color="auto"/>
            <w:bottom w:val="none" w:sz="0" w:space="0" w:color="auto"/>
            <w:right w:val="none" w:sz="0" w:space="0" w:color="auto"/>
          </w:divBdr>
        </w:div>
        <w:div w:id="1453674543">
          <w:marLeft w:val="446"/>
          <w:marRight w:val="0"/>
          <w:marTop w:val="0"/>
          <w:marBottom w:val="0"/>
          <w:divBdr>
            <w:top w:val="none" w:sz="0" w:space="0" w:color="auto"/>
            <w:left w:val="none" w:sz="0" w:space="0" w:color="auto"/>
            <w:bottom w:val="none" w:sz="0" w:space="0" w:color="auto"/>
            <w:right w:val="none" w:sz="0" w:space="0" w:color="auto"/>
          </w:divBdr>
        </w:div>
      </w:divsChild>
    </w:div>
    <w:div w:id="985472604">
      <w:marLeft w:val="0"/>
      <w:marRight w:val="0"/>
      <w:marTop w:val="0"/>
      <w:marBottom w:val="0"/>
      <w:divBdr>
        <w:top w:val="none" w:sz="0" w:space="0" w:color="auto"/>
        <w:left w:val="none" w:sz="0" w:space="0" w:color="auto"/>
        <w:bottom w:val="none" w:sz="0" w:space="0" w:color="auto"/>
        <w:right w:val="none" w:sz="0" w:space="0" w:color="auto"/>
      </w:divBdr>
      <w:divsChild>
        <w:div w:id="2008820423">
          <w:marLeft w:val="2070"/>
          <w:marRight w:val="3960"/>
          <w:marTop w:val="0"/>
          <w:marBottom w:val="0"/>
          <w:divBdr>
            <w:top w:val="none" w:sz="0" w:space="0" w:color="auto"/>
            <w:left w:val="none" w:sz="0" w:space="0" w:color="auto"/>
            <w:bottom w:val="none" w:sz="0" w:space="0" w:color="auto"/>
            <w:right w:val="none" w:sz="0" w:space="0" w:color="auto"/>
          </w:divBdr>
          <w:divsChild>
            <w:div w:id="1490174041">
              <w:marLeft w:val="0"/>
              <w:marRight w:val="0"/>
              <w:marTop w:val="0"/>
              <w:marBottom w:val="0"/>
              <w:divBdr>
                <w:top w:val="none" w:sz="0" w:space="0" w:color="auto"/>
                <w:left w:val="none" w:sz="0" w:space="0" w:color="auto"/>
                <w:bottom w:val="none" w:sz="0" w:space="0" w:color="auto"/>
                <w:right w:val="none" w:sz="0" w:space="0" w:color="auto"/>
              </w:divBdr>
              <w:divsChild>
                <w:div w:id="1043402488">
                  <w:marLeft w:val="0"/>
                  <w:marRight w:val="0"/>
                  <w:marTop w:val="0"/>
                  <w:marBottom w:val="0"/>
                  <w:divBdr>
                    <w:top w:val="none" w:sz="0" w:space="0" w:color="auto"/>
                    <w:left w:val="none" w:sz="0" w:space="0" w:color="auto"/>
                    <w:bottom w:val="none" w:sz="0" w:space="0" w:color="auto"/>
                    <w:right w:val="none" w:sz="0" w:space="0" w:color="auto"/>
                  </w:divBdr>
                  <w:divsChild>
                    <w:div w:id="654574477">
                      <w:marLeft w:val="0"/>
                      <w:marRight w:val="0"/>
                      <w:marTop w:val="0"/>
                      <w:marBottom w:val="0"/>
                      <w:divBdr>
                        <w:top w:val="none" w:sz="0" w:space="0" w:color="auto"/>
                        <w:left w:val="none" w:sz="0" w:space="0" w:color="auto"/>
                        <w:bottom w:val="none" w:sz="0" w:space="0" w:color="auto"/>
                        <w:right w:val="none" w:sz="0" w:space="0" w:color="auto"/>
                      </w:divBdr>
                      <w:divsChild>
                        <w:div w:id="1091781411">
                          <w:marLeft w:val="0"/>
                          <w:marRight w:val="0"/>
                          <w:marTop w:val="90"/>
                          <w:marBottom w:val="0"/>
                          <w:divBdr>
                            <w:top w:val="none" w:sz="0" w:space="0" w:color="auto"/>
                            <w:left w:val="none" w:sz="0" w:space="0" w:color="auto"/>
                            <w:bottom w:val="none" w:sz="0" w:space="0" w:color="auto"/>
                            <w:right w:val="none" w:sz="0" w:space="0" w:color="auto"/>
                          </w:divBdr>
                          <w:divsChild>
                            <w:div w:id="345405190">
                              <w:marLeft w:val="0"/>
                              <w:marRight w:val="0"/>
                              <w:marTop w:val="0"/>
                              <w:marBottom w:val="0"/>
                              <w:divBdr>
                                <w:top w:val="none" w:sz="0" w:space="0" w:color="auto"/>
                                <w:left w:val="none" w:sz="0" w:space="0" w:color="auto"/>
                                <w:bottom w:val="none" w:sz="0" w:space="0" w:color="auto"/>
                                <w:right w:val="none" w:sz="0" w:space="0" w:color="auto"/>
                              </w:divBdr>
                              <w:divsChild>
                                <w:div w:id="1832595467">
                                  <w:marLeft w:val="0"/>
                                  <w:marRight w:val="0"/>
                                  <w:marTop w:val="0"/>
                                  <w:marBottom w:val="0"/>
                                  <w:divBdr>
                                    <w:top w:val="none" w:sz="0" w:space="0" w:color="auto"/>
                                    <w:left w:val="none" w:sz="0" w:space="0" w:color="auto"/>
                                    <w:bottom w:val="none" w:sz="0" w:space="0" w:color="auto"/>
                                    <w:right w:val="none" w:sz="0" w:space="0" w:color="auto"/>
                                  </w:divBdr>
                                  <w:divsChild>
                                    <w:div w:id="973759411">
                                      <w:marLeft w:val="0"/>
                                      <w:marRight w:val="0"/>
                                      <w:marTop w:val="0"/>
                                      <w:marBottom w:val="390"/>
                                      <w:divBdr>
                                        <w:top w:val="none" w:sz="0" w:space="0" w:color="auto"/>
                                        <w:left w:val="none" w:sz="0" w:space="0" w:color="auto"/>
                                        <w:bottom w:val="none" w:sz="0" w:space="0" w:color="auto"/>
                                        <w:right w:val="none" w:sz="0" w:space="0" w:color="auto"/>
                                      </w:divBdr>
                                      <w:divsChild>
                                        <w:div w:id="1055154695">
                                          <w:marLeft w:val="0"/>
                                          <w:marRight w:val="0"/>
                                          <w:marTop w:val="0"/>
                                          <w:marBottom w:val="0"/>
                                          <w:divBdr>
                                            <w:top w:val="none" w:sz="0" w:space="0" w:color="auto"/>
                                            <w:left w:val="none" w:sz="0" w:space="0" w:color="auto"/>
                                            <w:bottom w:val="none" w:sz="0" w:space="0" w:color="auto"/>
                                            <w:right w:val="none" w:sz="0" w:space="0" w:color="auto"/>
                                          </w:divBdr>
                                          <w:divsChild>
                                            <w:div w:id="1933468586">
                                              <w:marLeft w:val="0"/>
                                              <w:marRight w:val="0"/>
                                              <w:marTop w:val="0"/>
                                              <w:marBottom w:val="0"/>
                                              <w:divBdr>
                                                <w:top w:val="none" w:sz="0" w:space="0" w:color="auto"/>
                                                <w:left w:val="none" w:sz="0" w:space="0" w:color="auto"/>
                                                <w:bottom w:val="none" w:sz="0" w:space="0" w:color="auto"/>
                                                <w:right w:val="none" w:sz="0" w:space="0" w:color="auto"/>
                                              </w:divBdr>
                                              <w:divsChild>
                                                <w:div w:id="1231454099">
                                                  <w:marLeft w:val="0"/>
                                                  <w:marRight w:val="0"/>
                                                  <w:marTop w:val="0"/>
                                                  <w:marBottom w:val="0"/>
                                                  <w:divBdr>
                                                    <w:top w:val="none" w:sz="0" w:space="0" w:color="auto"/>
                                                    <w:left w:val="none" w:sz="0" w:space="0" w:color="auto"/>
                                                    <w:bottom w:val="none" w:sz="0" w:space="0" w:color="auto"/>
                                                    <w:right w:val="none" w:sz="0" w:space="0" w:color="auto"/>
                                                  </w:divBdr>
                                                  <w:divsChild>
                                                    <w:div w:id="1520065">
                                                      <w:marLeft w:val="0"/>
                                                      <w:marRight w:val="0"/>
                                                      <w:marTop w:val="0"/>
                                                      <w:marBottom w:val="0"/>
                                                      <w:divBdr>
                                                        <w:top w:val="none" w:sz="0" w:space="0" w:color="auto"/>
                                                        <w:left w:val="none" w:sz="0" w:space="0" w:color="auto"/>
                                                        <w:bottom w:val="none" w:sz="0" w:space="0" w:color="auto"/>
                                                        <w:right w:val="none" w:sz="0" w:space="0" w:color="auto"/>
                                                      </w:divBdr>
                                                      <w:divsChild>
                                                        <w:div w:id="2052338595">
                                                          <w:marLeft w:val="0"/>
                                                          <w:marRight w:val="0"/>
                                                          <w:marTop w:val="0"/>
                                                          <w:marBottom w:val="0"/>
                                                          <w:divBdr>
                                                            <w:top w:val="none" w:sz="0" w:space="0" w:color="auto"/>
                                                            <w:left w:val="none" w:sz="0" w:space="0" w:color="auto"/>
                                                            <w:bottom w:val="none" w:sz="0" w:space="0" w:color="auto"/>
                                                            <w:right w:val="none" w:sz="0" w:space="0" w:color="auto"/>
                                                          </w:divBdr>
                                                          <w:divsChild>
                                                            <w:div w:id="186140423">
                                                              <w:marLeft w:val="0"/>
                                                              <w:marRight w:val="0"/>
                                                              <w:marTop w:val="0"/>
                                                              <w:marBottom w:val="0"/>
                                                              <w:divBdr>
                                                                <w:top w:val="none" w:sz="0" w:space="0" w:color="auto"/>
                                                                <w:left w:val="none" w:sz="0" w:space="0" w:color="auto"/>
                                                                <w:bottom w:val="none" w:sz="0" w:space="0" w:color="auto"/>
                                                                <w:right w:val="none" w:sz="0" w:space="0" w:color="auto"/>
                                                              </w:divBdr>
                                                              <w:divsChild>
                                                                <w:div w:id="1343967520">
                                                                  <w:marLeft w:val="0"/>
                                                                  <w:marRight w:val="0"/>
                                                                  <w:marTop w:val="0"/>
                                                                  <w:marBottom w:val="0"/>
                                                                  <w:divBdr>
                                                                    <w:top w:val="none" w:sz="0" w:space="0" w:color="auto"/>
                                                                    <w:left w:val="none" w:sz="0" w:space="0" w:color="auto"/>
                                                                    <w:bottom w:val="none" w:sz="0" w:space="0" w:color="auto"/>
                                                                    <w:right w:val="none" w:sz="0" w:space="0" w:color="auto"/>
                                                                  </w:divBdr>
                                                                </w:div>
                                                                <w:div w:id="1432779891">
                                                                  <w:marLeft w:val="0"/>
                                                                  <w:marRight w:val="0"/>
                                                                  <w:marTop w:val="0"/>
                                                                  <w:marBottom w:val="0"/>
                                                                  <w:divBdr>
                                                                    <w:top w:val="none" w:sz="0" w:space="0" w:color="auto"/>
                                                                    <w:left w:val="none" w:sz="0" w:space="0" w:color="auto"/>
                                                                    <w:bottom w:val="none" w:sz="0" w:space="0" w:color="auto"/>
                                                                    <w:right w:val="none" w:sz="0" w:space="0" w:color="auto"/>
                                                                  </w:divBdr>
                                                                </w:div>
                                                                <w:div w:id="1712067770">
                                                                  <w:marLeft w:val="0"/>
                                                                  <w:marRight w:val="0"/>
                                                                  <w:marTop w:val="0"/>
                                                                  <w:marBottom w:val="0"/>
                                                                  <w:divBdr>
                                                                    <w:top w:val="none" w:sz="0" w:space="0" w:color="auto"/>
                                                                    <w:left w:val="none" w:sz="0" w:space="0" w:color="auto"/>
                                                                    <w:bottom w:val="none" w:sz="0" w:space="0" w:color="auto"/>
                                                                    <w:right w:val="none" w:sz="0" w:space="0" w:color="auto"/>
                                                                  </w:divBdr>
                                                                </w:div>
                                                                <w:div w:id="280647456">
                                                                  <w:marLeft w:val="0"/>
                                                                  <w:marRight w:val="0"/>
                                                                  <w:marTop w:val="0"/>
                                                                  <w:marBottom w:val="0"/>
                                                                  <w:divBdr>
                                                                    <w:top w:val="none" w:sz="0" w:space="0" w:color="auto"/>
                                                                    <w:left w:val="none" w:sz="0" w:space="0" w:color="auto"/>
                                                                    <w:bottom w:val="none" w:sz="0" w:space="0" w:color="auto"/>
                                                                    <w:right w:val="none" w:sz="0" w:space="0" w:color="auto"/>
                                                                  </w:divBdr>
                                                                  <w:divsChild>
                                                                    <w:div w:id="965308131">
                                                                      <w:marLeft w:val="0"/>
                                                                      <w:marRight w:val="0"/>
                                                                      <w:marTop w:val="0"/>
                                                                      <w:marBottom w:val="0"/>
                                                                      <w:divBdr>
                                                                        <w:top w:val="none" w:sz="0" w:space="0" w:color="auto"/>
                                                                        <w:left w:val="none" w:sz="0" w:space="0" w:color="auto"/>
                                                                        <w:bottom w:val="none" w:sz="0" w:space="0" w:color="auto"/>
                                                                        <w:right w:val="none" w:sz="0" w:space="0" w:color="auto"/>
                                                                      </w:divBdr>
                                                                      <w:divsChild>
                                                                        <w:div w:id="9597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902964">
                                                  <w:marLeft w:val="0"/>
                                                  <w:marRight w:val="0"/>
                                                  <w:marTop w:val="0"/>
                                                  <w:marBottom w:val="0"/>
                                                  <w:divBdr>
                                                    <w:top w:val="none" w:sz="0" w:space="0" w:color="auto"/>
                                                    <w:left w:val="none" w:sz="0" w:space="0" w:color="auto"/>
                                                    <w:bottom w:val="none" w:sz="0" w:space="0" w:color="auto"/>
                                                    <w:right w:val="none" w:sz="0" w:space="0" w:color="auto"/>
                                                  </w:divBdr>
                                                  <w:divsChild>
                                                    <w:div w:id="1485924528">
                                                      <w:marLeft w:val="0"/>
                                                      <w:marRight w:val="0"/>
                                                      <w:marTop w:val="0"/>
                                                      <w:marBottom w:val="0"/>
                                                      <w:divBdr>
                                                        <w:top w:val="none" w:sz="0" w:space="0" w:color="auto"/>
                                                        <w:left w:val="none" w:sz="0" w:space="0" w:color="auto"/>
                                                        <w:bottom w:val="none" w:sz="0" w:space="0" w:color="auto"/>
                                                        <w:right w:val="none" w:sz="0" w:space="0" w:color="auto"/>
                                                      </w:divBdr>
                                                    </w:div>
                                                    <w:div w:id="11914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1722">
                                  <w:marLeft w:val="0"/>
                                  <w:marRight w:val="0"/>
                                  <w:marTop w:val="0"/>
                                  <w:marBottom w:val="0"/>
                                  <w:divBdr>
                                    <w:top w:val="none" w:sz="0" w:space="0" w:color="auto"/>
                                    <w:left w:val="none" w:sz="0" w:space="0" w:color="auto"/>
                                    <w:bottom w:val="none" w:sz="0" w:space="0" w:color="auto"/>
                                    <w:right w:val="none" w:sz="0" w:space="0" w:color="auto"/>
                                  </w:divBdr>
                                  <w:divsChild>
                                    <w:div w:id="201982088">
                                      <w:marLeft w:val="0"/>
                                      <w:marRight w:val="0"/>
                                      <w:marTop w:val="0"/>
                                      <w:marBottom w:val="0"/>
                                      <w:divBdr>
                                        <w:top w:val="none" w:sz="0" w:space="0" w:color="auto"/>
                                        <w:left w:val="none" w:sz="0" w:space="0" w:color="auto"/>
                                        <w:bottom w:val="none" w:sz="0" w:space="0" w:color="auto"/>
                                        <w:right w:val="none" w:sz="0" w:space="0" w:color="auto"/>
                                      </w:divBdr>
                                      <w:divsChild>
                                        <w:div w:id="1836064421">
                                          <w:marLeft w:val="0"/>
                                          <w:marRight w:val="0"/>
                                          <w:marTop w:val="0"/>
                                          <w:marBottom w:val="390"/>
                                          <w:divBdr>
                                            <w:top w:val="none" w:sz="0" w:space="0" w:color="auto"/>
                                            <w:left w:val="none" w:sz="0" w:space="0" w:color="auto"/>
                                            <w:bottom w:val="none" w:sz="0" w:space="0" w:color="auto"/>
                                            <w:right w:val="none" w:sz="0" w:space="0" w:color="auto"/>
                                          </w:divBdr>
                                          <w:divsChild>
                                            <w:div w:id="71776319">
                                              <w:marLeft w:val="0"/>
                                              <w:marRight w:val="0"/>
                                              <w:marTop w:val="0"/>
                                              <w:marBottom w:val="0"/>
                                              <w:divBdr>
                                                <w:top w:val="none" w:sz="0" w:space="0" w:color="auto"/>
                                                <w:left w:val="none" w:sz="0" w:space="0" w:color="auto"/>
                                                <w:bottom w:val="none" w:sz="0" w:space="0" w:color="auto"/>
                                                <w:right w:val="none" w:sz="0" w:space="0" w:color="auto"/>
                                              </w:divBdr>
                                              <w:divsChild>
                                                <w:div w:id="894270826">
                                                  <w:marLeft w:val="0"/>
                                                  <w:marRight w:val="0"/>
                                                  <w:marTop w:val="0"/>
                                                  <w:marBottom w:val="0"/>
                                                  <w:divBdr>
                                                    <w:top w:val="none" w:sz="0" w:space="0" w:color="auto"/>
                                                    <w:left w:val="none" w:sz="0" w:space="0" w:color="auto"/>
                                                    <w:bottom w:val="none" w:sz="0" w:space="0" w:color="auto"/>
                                                    <w:right w:val="none" w:sz="0" w:space="0" w:color="auto"/>
                                                  </w:divBdr>
                                                  <w:divsChild>
                                                    <w:div w:id="1625774715">
                                                      <w:marLeft w:val="0"/>
                                                      <w:marRight w:val="0"/>
                                                      <w:marTop w:val="0"/>
                                                      <w:marBottom w:val="0"/>
                                                      <w:divBdr>
                                                        <w:top w:val="none" w:sz="0" w:space="0" w:color="auto"/>
                                                        <w:left w:val="none" w:sz="0" w:space="0" w:color="auto"/>
                                                        <w:bottom w:val="none" w:sz="0" w:space="0" w:color="auto"/>
                                                        <w:right w:val="none" w:sz="0" w:space="0" w:color="auto"/>
                                                      </w:divBdr>
                                                      <w:divsChild>
                                                        <w:div w:id="321855326">
                                                          <w:marLeft w:val="0"/>
                                                          <w:marRight w:val="0"/>
                                                          <w:marTop w:val="0"/>
                                                          <w:marBottom w:val="0"/>
                                                          <w:divBdr>
                                                            <w:top w:val="none" w:sz="0" w:space="0" w:color="auto"/>
                                                            <w:left w:val="none" w:sz="0" w:space="0" w:color="auto"/>
                                                            <w:bottom w:val="none" w:sz="0" w:space="0" w:color="auto"/>
                                                            <w:right w:val="none" w:sz="0" w:space="0" w:color="auto"/>
                                                          </w:divBdr>
                                                          <w:divsChild>
                                                            <w:div w:id="767846725">
                                                              <w:marLeft w:val="0"/>
                                                              <w:marRight w:val="0"/>
                                                              <w:marTop w:val="0"/>
                                                              <w:marBottom w:val="0"/>
                                                              <w:divBdr>
                                                                <w:top w:val="none" w:sz="0" w:space="0" w:color="auto"/>
                                                                <w:left w:val="none" w:sz="0" w:space="0" w:color="auto"/>
                                                                <w:bottom w:val="none" w:sz="0" w:space="0" w:color="auto"/>
                                                                <w:right w:val="none" w:sz="0" w:space="0" w:color="auto"/>
                                                              </w:divBdr>
                                                              <w:divsChild>
                                                                <w:div w:id="2087804268">
                                                                  <w:marLeft w:val="0"/>
                                                                  <w:marRight w:val="0"/>
                                                                  <w:marTop w:val="0"/>
                                                                  <w:marBottom w:val="0"/>
                                                                  <w:divBdr>
                                                                    <w:top w:val="none" w:sz="0" w:space="0" w:color="auto"/>
                                                                    <w:left w:val="none" w:sz="0" w:space="0" w:color="auto"/>
                                                                    <w:bottom w:val="none" w:sz="0" w:space="0" w:color="auto"/>
                                                                    <w:right w:val="none" w:sz="0" w:space="0" w:color="auto"/>
                                                                  </w:divBdr>
                                                                  <w:divsChild>
                                                                    <w:div w:id="141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230835">
                                          <w:marLeft w:val="0"/>
                                          <w:marRight w:val="0"/>
                                          <w:marTop w:val="0"/>
                                          <w:marBottom w:val="390"/>
                                          <w:divBdr>
                                            <w:top w:val="none" w:sz="0" w:space="0" w:color="auto"/>
                                            <w:left w:val="none" w:sz="0" w:space="0" w:color="auto"/>
                                            <w:bottom w:val="none" w:sz="0" w:space="0" w:color="auto"/>
                                            <w:right w:val="none" w:sz="0" w:space="0" w:color="auto"/>
                                          </w:divBdr>
                                          <w:divsChild>
                                            <w:div w:id="587999968">
                                              <w:marLeft w:val="0"/>
                                              <w:marRight w:val="0"/>
                                              <w:marTop w:val="0"/>
                                              <w:marBottom w:val="0"/>
                                              <w:divBdr>
                                                <w:top w:val="none" w:sz="0" w:space="0" w:color="auto"/>
                                                <w:left w:val="none" w:sz="0" w:space="0" w:color="auto"/>
                                                <w:bottom w:val="none" w:sz="0" w:space="0" w:color="auto"/>
                                                <w:right w:val="none" w:sz="0" w:space="0" w:color="auto"/>
                                              </w:divBdr>
                                              <w:divsChild>
                                                <w:div w:id="2004816678">
                                                  <w:marLeft w:val="0"/>
                                                  <w:marRight w:val="0"/>
                                                  <w:marTop w:val="0"/>
                                                  <w:marBottom w:val="0"/>
                                                  <w:divBdr>
                                                    <w:top w:val="none" w:sz="0" w:space="0" w:color="auto"/>
                                                    <w:left w:val="none" w:sz="0" w:space="0" w:color="auto"/>
                                                    <w:bottom w:val="none" w:sz="0" w:space="0" w:color="auto"/>
                                                    <w:right w:val="none" w:sz="0" w:space="0" w:color="auto"/>
                                                  </w:divBdr>
                                                  <w:divsChild>
                                                    <w:div w:id="1323702780">
                                                      <w:marLeft w:val="0"/>
                                                      <w:marRight w:val="0"/>
                                                      <w:marTop w:val="0"/>
                                                      <w:marBottom w:val="0"/>
                                                      <w:divBdr>
                                                        <w:top w:val="none" w:sz="0" w:space="0" w:color="auto"/>
                                                        <w:left w:val="none" w:sz="0" w:space="0" w:color="auto"/>
                                                        <w:bottom w:val="none" w:sz="0" w:space="0" w:color="auto"/>
                                                        <w:right w:val="none" w:sz="0" w:space="0" w:color="auto"/>
                                                      </w:divBdr>
                                                      <w:divsChild>
                                                        <w:div w:id="915672964">
                                                          <w:marLeft w:val="0"/>
                                                          <w:marRight w:val="0"/>
                                                          <w:marTop w:val="0"/>
                                                          <w:marBottom w:val="0"/>
                                                          <w:divBdr>
                                                            <w:top w:val="none" w:sz="0" w:space="0" w:color="auto"/>
                                                            <w:left w:val="none" w:sz="0" w:space="0" w:color="auto"/>
                                                            <w:bottom w:val="none" w:sz="0" w:space="0" w:color="auto"/>
                                                            <w:right w:val="none" w:sz="0" w:space="0" w:color="auto"/>
                                                          </w:divBdr>
                                                          <w:divsChild>
                                                            <w:div w:id="1880389538">
                                                              <w:marLeft w:val="0"/>
                                                              <w:marRight w:val="0"/>
                                                              <w:marTop w:val="0"/>
                                                              <w:marBottom w:val="0"/>
                                                              <w:divBdr>
                                                                <w:top w:val="none" w:sz="0" w:space="0" w:color="auto"/>
                                                                <w:left w:val="none" w:sz="0" w:space="0" w:color="auto"/>
                                                                <w:bottom w:val="none" w:sz="0" w:space="0" w:color="auto"/>
                                                                <w:right w:val="none" w:sz="0" w:space="0" w:color="auto"/>
                                                              </w:divBdr>
                                                              <w:divsChild>
                                                                <w:div w:id="1873809592">
                                                                  <w:marLeft w:val="0"/>
                                                                  <w:marRight w:val="0"/>
                                                                  <w:marTop w:val="0"/>
                                                                  <w:marBottom w:val="0"/>
                                                                  <w:divBdr>
                                                                    <w:top w:val="none" w:sz="0" w:space="0" w:color="auto"/>
                                                                    <w:left w:val="none" w:sz="0" w:space="0" w:color="auto"/>
                                                                    <w:bottom w:val="none" w:sz="0" w:space="0" w:color="auto"/>
                                                                    <w:right w:val="none" w:sz="0" w:space="0" w:color="auto"/>
                                                                  </w:divBdr>
                                                                  <w:divsChild>
                                                                    <w:div w:id="18882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559821">
                                          <w:marLeft w:val="0"/>
                                          <w:marRight w:val="0"/>
                                          <w:marTop w:val="0"/>
                                          <w:marBottom w:val="390"/>
                                          <w:divBdr>
                                            <w:top w:val="none" w:sz="0" w:space="0" w:color="auto"/>
                                            <w:left w:val="none" w:sz="0" w:space="0" w:color="auto"/>
                                            <w:bottom w:val="none" w:sz="0" w:space="0" w:color="auto"/>
                                            <w:right w:val="none" w:sz="0" w:space="0" w:color="auto"/>
                                          </w:divBdr>
                                          <w:divsChild>
                                            <w:div w:id="1083726183">
                                              <w:marLeft w:val="0"/>
                                              <w:marRight w:val="0"/>
                                              <w:marTop w:val="0"/>
                                              <w:marBottom w:val="0"/>
                                              <w:divBdr>
                                                <w:top w:val="none" w:sz="0" w:space="0" w:color="auto"/>
                                                <w:left w:val="none" w:sz="0" w:space="0" w:color="auto"/>
                                                <w:bottom w:val="none" w:sz="0" w:space="0" w:color="auto"/>
                                                <w:right w:val="none" w:sz="0" w:space="0" w:color="auto"/>
                                              </w:divBdr>
                                              <w:divsChild>
                                                <w:div w:id="835918268">
                                                  <w:marLeft w:val="0"/>
                                                  <w:marRight w:val="0"/>
                                                  <w:marTop w:val="0"/>
                                                  <w:marBottom w:val="0"/>
                                                  <w:divBdr>
                                                    <w:top w:val="none" w:sz="0" w:space="0" w:color="auto"/>
                                                    <w:left w:val="none" w:sz="0" w:space="0" w:color="auto"/>
                                                    <w:bottom w:val="none" w:sz="0" w:space="0" w:color="auto"/>
                                                    <w:right w:val="none" w:sz="0" w:space="0" w:color="auto"/>
                                                  </w:divBdr>
                                                  <w:divsChild>
                                                    <w:div w:id="1141969058">
                                                      <w:marLeft w:val="0"/>
                                                      <w:marRight w:val="0"/>
                                                      <w:marTop w:val="0"/>
                                                      <w:marBottom w:val="0"/>
                                                      <w:divBdr>
                                                        <w:top w:val="none" w:sz="0" w:space="0" w:color="auto"/>
                                                        <w:left w:val="none" w:sz="0" w:space="0" w:color="auto"/>
                                                        <w:bottom w:val="none" w:sz="0" w:space="0" w:color="auto"/>
                                                        <w:right w:val="none" w:sz="0" w:space="0" w:color="auto"/>
                                                      </w:divBdr>
                                                      <w:divsChild>
                                                        <w:div w:id="7221567">
                                                          <w:marLeft w:val="0"/>
                                                          <w:marRight w:val="0"/>
                                                          <w:marTop w:val="0"/>
                                                          <w:marBottom w:val="0"/>
                                                          <w:divBdr>
                                                            <w:top w:val="none" w:sz="0" w:space="0" w:color="auto"/>
                                                            <w:left w:val="none" w:sz="0" w:space="0" w:color="auto"/>
                                                            <w:bottom w:val="none" w:sz="0" w:space="0" w:color="auto"/>
                                                            <w:right w:val="none" w:sz="0" w:space="0" w:color="auto"/>
                                                          </w:divBdr>
                                                          <w:divsChild>
                                                            <w:div w:id="1749039712">
                                                              <w:marLeft w:val="0"/>
                                                              <w:marRight w:val="0"/>
                                                              <w:marTop w:val="0"/>
                                                              <w:marBottom w:val="0"/>
                                                              <w:divBdr>
                                                                <w:top w:val="none" w:sz="0" w:space="0" w:color="auto"/>
                                                                <w:left w:val="none" w:sz="0" w:space="0" w:color="auto"/>
                                                                <w:bottom w:val="none" w:sz="0" w:space="0" w:color="auto"/>
                                                                <w:right w:val="none" w:sz="0" w:space="0" w:color="auto"/>
                                                              </w:divBdr>
                                                              <w:divsChild>
                                                                <w:div w:id="1884899359">
                                                                  <w:marLeft w:val="0"/>
                                                                  <w:marRight w:val="0"/>
                                                                  <w:marTop w:val="0"/>
                                                                  <w:marBottom w:val="0"/>
                                                                  <w:divBdr>
                                                                    <w:top w:val="none" w:sz="0" w:space="0" w:color="auto"/>
                                                                    <w:left w:val="none" w:sz="0" w:space="0" w:color="auto"/>
                                                                    <w:bottom w:val="none" w:sz="0" w:space="0" w:color="auto"/>
                                                                    <w:right w:val="none" w:sz="0" w:space="0" w:color="auto"/>
                                                                  </w:divBdr>
                                                                  <w:divsChild>
                                                                    <w:div w:id="21097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696088">
                                          <w:marLeft w:val="0"/>
                                          <w:marRight w:val="0"/>
                                          <w:marTop w:val="0"/>
                                          <w:marBottom w:val="390"/>
                                          <w:divBdr>
                                            <w:top w:val="none" w:sz="0" w:space="0" w:color="auto"/>
                                            <w:left w:val="none" w:sz="0" w:space="0" w:color="auto"/>
                                            <w:bottom w:val="none" w:sz="0" w:space="0" w:color="auto"/>
                                            <w:right w:val="none" w:sz="0" w:space="0" w:color="auto"/>
                                          </w:divBdr>
                                          <w:divsChild>
                                            <w:div w:id="72819344">
                                              <w:marLeft w:val="0"/>
                                              <w:marRight w:val="0"/>
                                              <w:marTop w:val="0"/>
                                              <w:marBottom w:val="0"/>
                                              <w:divBdr>
                                                <w:top w:val="none" w:sz="0" w:space="0" w:color="auto"/>
                                                <w:left w:val="none" w:sz="0" w:space="0" w:color="auto"/>
                                                <w:bottom w:val="none" w:sz="0" w:space="0" w:color="auto"/>
                                                <w:right w:val="none" w:sz="0" w:space="0" w:color="auto"/>
                                              </w:divBdr>
                                              <w:divsChild>
                                                <w:div w:id="1781603820">
                                                  <w:marLeft w:val="0"/>
                                                  <w:marRight w:val="0"/>
                                                  <w:marTop w:val="0"/>
                                                  <w:marBottom w:val="0"/>
                                                  <w:divBdr>
                                                    <w:top w:val="none" w:sz="0" w:space="0" w:color="auto"/>
                                                    <w:left w:val="none" w:sz="0" w:space="0" w:color="auto"/>
                                                    <w:bottom w:val="none" w:sz="0" w:space="0" w:color="auto"/>
                                                    <w:right w:val="none" w:sz="0" w:space="0" w:color="auto"/>
                                                  </w:divBdr>
                                                  <w:divsChild>
                                                    <w:div w:id="1018897727">
                                                      <w:marLeft w:val="0"/>
                                                      <w:marRight w:val="0"/>
                                                      <w:marTop w:val="0"/>
                                                      <w:marBottom w:val="0"/>
                                                      <w:divBdr>
                                                        <w:top w:val="none" w:sz="0" w:space="0" w:color="auto"/>
                                                        <w:left w:val="none" w:sz="0" w:space="0" w:color="auto"/>
                                                        <w:bottom w:val="none" w:sz="0" w:space="0" w:color="auto"/>
                                                        <w:right w:val="none" w:sz="0" w:space="0" w:color="auto"/>
                                                      </w:divBdr>
                                                      <w:divsChild>
                                                        <w:div w:id="1218010720">
                                                          <w:marLeft w:val="0"/>
                                                          <w:marRight w:val="0"/>
                                                          <w:marTop w:val="0"/>
                                                          <w:marBottom w:val="0"/>
                                                          <w:divBdr>
                                                            <w:top w:val="none" w:sz="0" w:space="0" w:color="auto"/>
                                                            <w:left w:val="none" w:sz="0" w:space="0" w:color="auto"/>
                                                            <w:bottom w:val="none" w:sz="0" w:space="0" w:color="auto"/>
                                                            <w:right w:val="none" w:sz="0" w:space="0" w:color="auto"/>
                                                          </w:divBdr>
                                                          <w:divsChild>
                                                            <w:div w:id="436413728">
                                                              <w:marLeft w:val="0"/>
                                                              <w:marRight w:val="0"/>
                                                              <w:marTop w:val="0"/>
                                                              <w:marBottom w:val="0"/>
                                                              <w:divBdr>
                                                                <w:top w:val="none" w:sz="0" w:space="0" w:color="auto"/>
                                                                <w:left w:val="none" w:sz="0" w:space="0" w:color="auto"/>
                                                                <w:bottom w:val="none" w:sz="0" w:space="0" w:color="auto"/>
                                                                <w:right w:val="none" w:sz="0" w:space="0" w:color="auto"/>
                                                              </w:divBdr>
                                                              <w:divsChild>
                                                                <w:div w:id="1087268081">
                                                                  <w:marLeft w:val="0"/>
                                                                  <w:marRight w:val="0"/>
                                                                  <w:marTop w:val="0"/>
                                                                  <w:marBottom w:val="0"/>
                                                                  <w:divBdr>
                                                                    <w:top w:val="none" w:sz="0" w:space="0" w:color="auto"/>
                                                                    <w:left w:val="none" w:sz="0" w:space="0" w:color="auto"/>
                                                                    <w:bottom w:val="none" w:sz="0" w:space="0" w:color="auto"/>
                                                                    <w:right w:val="none" w:sz="0" w:space="0" w:color="auto"/>
                                                                  </w:divBdr>
                                                                  <w:divsChild>
                                                                    <w:div w:id="21140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496294">
                                          <w:marLeft w:val="0"/>
                                          <w:marRight w:val="0"/>
                                          <w:marTop w:val="0"/>
                                          <w:marBottom w:val="390"/>
                                          <w:divBdr>
                                            <w:top w:val="none" w:sz="0" w:space="0" w:color="auto"/>
                                            <w:left w:val="none" w:sz="0" w:space="0" w:color="auto"/>
                                            <w:bottom w:val="none" w:sz="0" w:space="0" w:color="auto"/>
                                            <w:right w:val="none" w:sz="0" w:space="0" w:color="auto"/>
                                          </w:divBdr>
                                          <w:divsChild>
                                            <w:div w:id="1607347900">
                                              <w:marLeft w:val="0"/>
                                              <w:marRight w:val="0"/>
                                              <w:marTop w:val="0"/>
                                              <w:marBottom w:val="0"/>
                                              <w:divBdr>
                                                <w:top w:val="none" w:sz="0" w:space="0" w:color="auto"/>
                                                <w:left w:val="none" w:sz="0" w:space="0" w:color="auto"/>
                                                <w:bottom w:val="none" w:sz="0" w:space="0" w:color="auto"/>
                                                <w:right w:val="none" w:sz="0" w:space="0" w:color="auto"/>
                                              </w:divBdr>
                                              <w:divsChild>
                                                <w:div w:id="1300111678">
                                                  <w:marLeft w:val="0"/>
                                                  <w:marRight w:val="0"/>
                                                  <w:marTop w:val="0"/>
                                                  <w:marBottom w:val="0"/>
                                                  <w:divBdr>
                                                    <w:top w:val="none" w:sz="0" w:space="0" w:color="auto"/>
                                                    <w:left w:val="none" w:sz="0" w:space="0" w:color="auto"/>
                                                    <w:bottom w:val="none" w:sz="0" w:space="0" w:color="auto"/>
                                                    <w:right w:val="none" w:sz="0" w:space="0" w:color="auto"/>
                                                  </w:divBdr>
                                                  <w:divsChild>
                                                    <w:div w:id="43023310">
                                                      <w:marLeft w:val="0"/>
                                                      <w:marRight w:val="0"/>
                                                      <w:marTop w:val="0"/>
                                                      <w:marBottom w:val="0"/>
                                                      <w:divBdr>
                                                        <w:top w:val="none" w:sz="0" w:space="0" w:color="auto"/>
                                                        <w:left w:val="none" w:sz="0" w:space="0" w:color="auto"/>
                                                        <w:bottom w:val="none" w:sz="0" w:space="0" w:color="auto"/>
                                                        <w:right w:val="none" w:sz="0" w:space="0" w:color="auto"/>
                                                      </w:divBdr>
                                                      <w:divsChild>
                                                        <w:div w:id="1468203575">
                                                          <w:marLeft w:val="0"/>
                                                          <w:marRight w:val="0"/>
                                                          <w:marTop w:val="0"/>
                                                          <w:marBottom w:val="0"/>
                                                          <w:divBdr>
                                                            <w:top w:val="none" w:sz="0" w:space="0" w:color="auto"/>
                                                            <w:left w:val="none" w:sz="0" w:space="0" w:color="auto"/>
                                                            <w:bottom w:val="none" w:sz="0" w:space="0" w:color="auto"/>
                                                            <w:right w:val="none" w:sz="0" w:space="0" w:color="auto"/>
                                                          </w:divBdr>
                                                          <w:divsChild>
                                                            <w:div w:id="728386591">
                                                              <w:marLeft w:val="0"/>
                                                              <w:marRight w:val="0"/>
                                                              <w:marTop w:val="0"/>
                                                              <w:marBottom w:val="0"/>
                                                              <w:divBdr>
                                                                <w:top w:val="none" w:sz="0" w:space="0" w:color="auto"/>
                                                                <w:left w:val="none" w:sz="0" w:space="0" w:color="auto"/>
                                                                <w:bottom w:val="none" w:sz="0" w:space="0" w:color="auto"/>
                                                                <w:right w:val="none" w:sz="0" w:space="0" w:color="auto"/>
                                                              </w:divBdr>
                                                              <w:divsChild>
                                                                <w:div w:id="182137063">
                                                                  <w:marLeft w:val="0"/>
                                                                  <w:marRight w:val="0"/>
                                                                  <w:marTop w:val="0"/>
                                                                  <w:marBottom w:val="0"/>
                                                                  <w:divBdr>
                                                                    <w:top w:val="none" w:sz="0" w:space="0" w:color="auto"/>
                                                                    <w:left w:val="none" w:sz="0" w:space="0" w:color="auto"/>
                                                                    <w:bottom w:val="none" w:sz="0" w:space="0" w:color="auto"/>
                                                                    <w:right w:val="none" w:sz="0" w:space="0" w:color="auto"/>
                                                                  </w:divBdr>
                                                                  <w:divsChild>
                                                                    <w:div w:id="15709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89191">
                                          <w:marLeft w:val="0"/>
                                          <w:marRight w:val="0"/>
                                          <w:marTop w:val="0"/>
                                          <w:marBottom w:val="390"/>
                                          <w:divBdr>
                                            <w:top w:val="none" w:sz="0" w:space="0" w:color="auto"/>
                                            <w:left w:val="none" w:sz="0" w:space="0" w:color="auto"/>
                                            <w:bottom w:val="none" w:sz="0" w:space="0" w:color="auto"/>
                                            <w:right w:val="none" w:sz="0" w:space="0" w:color="auto"/>
                                          </w:divBdr>
                                          <w:divsChild>
                                            <w:div w:id="1217817137">
                                              <w:marLeft w:val="0"/>
                                              <w:marRight w:val="0"/>
                                              <w:marTop w:val="0"/>
                                              <w:marBottom w:val="0"/>
                                              <w:divBdr>
                                                <w:top w:val="none" w:sz="0" w:space="0" w:color="auto"/>
                                                <w:left w:val="none" w:sz="0" w:space="0" w:color="auto"/>
                                                <w:bottom w:val="none" w:sz="0" w:space="0" w:color="auto"/>
                                                <w:right w:val="none" w:sz="0" w:space="0" w:color="auto"/>
                                              </w:divBdr>
                                              <w:divsChild>
                                                <w:div w:id="899171044">
                                                  <w:marLeft w:val="0"/>
                                                  <w:marRight w:val="0"/>
                                                  <w:marTop w:val="0"/>
                                                  <w:marBottom w:val="0"/>
                                                  <w:divBdr>
                                                    <w:top w:val="none" w:sz="0" w:space="0" w:color="auto"/>
                                                    <w:left w:val="none" w:sz="0" w:space="0" w:color="auto"/>
                                                    <w:bottom w:val="none" w:sz="0" w:space="0" w:color="auto"/>
                                                    <w:right w:val="none" w:sz="0" w:space="0" w:color="auto"/>
                                                  </w:divBdr>
                                                  <w:divsChild>
                                                    <w:div w:id="295841563">
                                                      <w:marLeft w:val="0"/>
                                                      <w:marRight w:val="0"/>
                                                      <w:marTop w:val="0"/>
                                                      <w:marBottom w:val="0"/>
                                                      <w:divBdr>
                                                        <w:top w:val="none" w:sz="0" w:space="0" w:color="auto"/>
                                                        <w:left w:val="none" w:sz="0" w:space="0" w:color="auto"/>
                                                        <w:bottom w:val="none" w:sz="0" w:space="0" w:color="auto"/>
                                                        <w:right w:val="none" w:sz="0" w:space="0" w:color="auto"/>
                                                      </w:divBdr>
                                                      <w:divsChild>
                                                        <w:div w:id="673340980">
                                                          <w:marLeft w:val="0"/>
                                                          <w:marRight w:val="0"/>
                                                          <w:marTop w:val="0"/>
                                                          <w:marBottom w:val="0"/>
                                                          <w:divBdr>
                                                            <w:top w:val="none" w:sz="0" w:space="0" w:color="auto"/>
                                                            <w:left w:val="none" w:sz="0" w:space="0" w:color="auto"/>
                                                            <w:bottom w:val="none" w:sz="0" w:space="0" w:color="auto"/>
                                                            <w:right w:val="none" w:sz="0" w:space="0" w:color="auto"/>
                                                          </w:divBdr>
                                                          <w:divsChild>
                                                            <w:div w:id="1273895959">
                                                              <w:marLeft w:val="0"/>
                                                              <w:marRight w:val="0"/>
                                                              <w:marTop w:val="0"/>
                                                              <w:marBottom w:val="0"/>
                                                              <w:divBdr>
                                                                <w:top w:val="none" w:sz="0" w:space="0" w:color="auto"/>
                                                                <w:left w:val="none" w:sz="0" w:space="0" w:color="auto"/>
                                                                <w:bottom w:val="none" w:sz="0" w:space="0" w:color="auto"/>
                                                                <w:right w:val="none" w:sz="0" w:space="0" w:color="auto"/>
                                                              </w:divBdr>
                                                              <w:divsChild>
                                                                <w:div w:id="574820859">
                                                                  <w:marLeft w:val="0"/>
                                                                  <w:marRight w:val="0"/>
                                                                  <w:marTop w:val="0"/>
                                                                  <w:marBottom w:val="0"/>
                                                                  <w:divBdr>
                                                                    <w:top w:val="none" w:sz="0" w:space="0" w:color="auto"/>
                                                                    <w:left w:val="none" w:sz="0" w:space="0" w:color="auto"/>
                                                                    <w:bottom w:val="none" w:sz="0" w:space="0" w:color="auto"/>
                                                                    <w:right w:val="none" w:sz="0" w:space="0" w:color="auto"/>
                                                                  </w:divBdr>
                                                                  <w:divsChild>
                                                                    <w:div w:id="17310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828481">
                                          <w:marLeft w:val="0"/>
                                          <w:marRight w:val="0"/>
                                          <w:marTop w:val="0"/>
                                          <w:marBottom w:val="390"/>
                                          <w:divBdr>
                                            <w:top w:val="none" w:sz="0" w:space="0" w:color="auto"/>
                                            <w:left w:val="none" w:sz="0" w:space="0" w:color="auto"/>
                                            <w:bottom w:val="none" w:sz="0" w:space="0" w:color="auto"/>
                                            <w:right w:val="none" w:sz="0" w:space="0" w:color="auto"/>
                                          </w:divBdr>
                                          <w:divsChild>
                                            <w:div w:id="352070411">
                                              <w:marLeft w:val="0"/>
                                              <w:marRight w:val="0"/>
                                              <w:marTop w:val="0"/>
                                              <w:marBottom w:val="0"/>
                                              <w:divBdr>
                                                <w:top w:val="none" w:sz="0" w:space="0" w:color="auto"/>
                                                <w:left w:val="none" w:sz="0" w:space="0" w:color="auto"/>
                                                <w:bottom w:val="none" w:sz="0" w:space="0" w:color="auto"/>
                                                <w:right w:val="none" w:sz="0" w:space="0" w:color="auto"/>
                                              </w:divBdr>
                                              <w:divsChild>
                                                <w:div w:id="1805855838">
                                                  <w:marLeft w:val="0"/>
                                                  <w:marRight w:val="0"/>
                                                  <w:marTop w:val="0"/>
                                                  <w:marBottom w:val="0"/>
                                                  <w:divBdr>
                                                    <w:top w:val="none" w:sz="0" w:space="0" w:color="auto"/>
                                                    <w:left w:val="none" w:sz="0" w:space="0" w:color="auto"/>
                                                    <w:bottom w:val="none" w:sz="0" w:space="0" w:color="auto"/>
                                                    <w:right w:val="none" w:sz="0" w:space="0" w:color="auto"/>
                                                  </w:divBdr>
                                                  <w:divsChild>
                                                    <w:div w:id="683554959">
                                                      <w:marLeft w:val="0"/>
                                                      <w:marRight w:val="0"/>
                                                      <w:marTop w:val="0"/>
                                                      <w:marBottom w:val="0"/>
                                                      <w:divBdr>
                                                        <w:top w:val="none" w:sz="0" w:space="0" w:color="auto"/>
                                                        <w:left w:val="none" w:sz="0" w:space="0" w:color="auto"/>
                                                        <w:bottom w:val="none" w:sz="0" w:space="0" w:color="auto"/>
                                                        <w:right w:val="none" w:sz="0" w:space="0" w:color="auto"/>
                                                      </w:divBdr>
                                                      <w:divsChild>
                                                        <w:div w:id="1761217277">
                                                          <w:marLeft w:val="0"/>
                                                          <w:marRight w:val="0"/>
                                                          <w:marTop w:val="0"/>
                                                          <w:marBottom w:val="0"/>
                                                          <w:divBdr>
                                                            <w:top w:val="none" w:sz="0" w:space="0" w:color="auto"/>
                                                            <w:left w:val="none" w:sz="0" w:space="0" w:color="auto"/>
                                                            <w:bottom w:val="none" w:sz="0" w:space="0" w:color="auto"/>
                                                            <w:right w:val="none" w:sz="0" w:space="0" w:color="auto"/>
                                                          </w:divBdr>
                                                          <w:divsChild>
                                                            <w:div w:id="1037779825">
                                                              <w:marLeft w:val="0"/>
                                                              <w:marRight w:val="0"/>
                                                              <w:marTop w:val="0"/>
                                                              <w:marBottom w:val="0"/>
                                                              <w:divBdr>
                                                                <w:top w:val="none" w:sz="0" w:space="0" w:color="auto"/>
                                                                <w:left w:val="none" w:sz="0" w:space="0" w:color="auto"/>
                                                                <w:bottom w:val="none" w:sz="0" w:space="0" w:color="auto"/>
                                                                <w:right w:val="none" w:sz="0" w:space="0" w:color="auto"/>
                                                              </w:divBdr>
                                                              <w:divsChild>
                                                                <w:div w:id="2136875142">
                                                                  <w:marLeft w:val="0"/>
                                                                  <w:marRight w:val="0"/>
                                                                  <w:marTop w:val="0"/>
                                                                  <w:marBottom w:val="0"/>
                                                                  <w:divBdr>
                                                                    <w:top w:val="none" w:sz="0" w:space="0" w:color="auto"/>
                                                                    <w:left w:val="none" w:sz="0" w:space="0" w:color="auto"/>
                                                                    <w:bottom w:val="none" w:sz="0" w:space="0" w:color="auto"/>
                                                                    <w:right w:val="none" w:sz="0" w:space="0" w:color="auto"/>
                                                                  </w:divBdr>
                                                                  <w:divsChild>
                                                                    <w:div w:id="13420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08096">
                                          <w:marLeft w:val="0"/>
                                          <w:marRight w:val="0"/>
                                          <w:marTop w:val="0"/>
                                          <w:marBottom w:val="390"/>
                                          <w:divBdr>
                                            <w:top w:val="none" w:sz="0" w:space="0" w:color="auto"/>
                                            <w:left w:val="none" w:sz="0" w:space="0" w:color="auto"/>
                                            <w:bottom w:val="none" w:sz="0" w:space="0" w:color="auto"/>
                                            <w:right w:val="none" w:sz="0" w:space="0" w:color="auto"/>
                                          </w:divBdr>
                                          <w:divsChild>
                                            <w:div w:id="374083499">
                                              <w:marLeft w:val="0"/>
                                              <w:marRight w:val="0"/>
                                              <w:marTop w:val="0"/>
                                              <w:marBottom w:val="0"/>
                                              <w:divBdr>
                                                <w:top w:val="none" w:sz="0" w:space="0" w:color="auto"/>
                                                <w:left w:val="none" w:sz="0" w:space="0" w:color="auto"/>
                                                <w:bottom w:val="none" w:sz="0" w:space="0" w:color="auto"/>
                                                <w:right w:val="none" w:sz="0" w:space="0" w:color="auto"/>
                                              </w:divBdr>
                                              <w:divsChild>
                                                <w:div w:id="874583883">
                                                  <w:marLeft w:val="0"/>
                                                  <w:marRight w:val="0"/>
                                                  <w:marTop w:val="0"/>
                                                  <w:marBottom w:val="0"/>
                                                  <w:divBdr>
                                                    <w:top w:val="none" w:sz="0" w:space="0" w:color="auto"/>
                                                    <w:left w:val="none" w:sz="0" w:space="0" w:color="auto"/>
                                                    <w:bottom w:val="none" w:sz="0" w:space="0" w:color="auto"/>
                                                    <w:right w:val="none" w:sz="0" w:space="0" w:color="auto"/>
                                                  </w:divBdr>
                                                  <w:divsChild>
                                                    <w:div w:id="72701139">
                                                      <w:marLeft w:val="0"/>
                                                      <w:marRight w:val="0"/>
                                                      <w:marTop w:val="0"/>
                                                      <w:marBottom w:val="0"/>
                                                      <w:divBdr>
                                                        <w:top w:val="none" w:sz="0" w:space="0" w:color="auto"/>
                                                        <w:left w:val="none" w:sz="0" w:space="0" w:color="auto"/>
                                                        <w:bottom w:val="none" w:sz="0" w:space="0" w:color="auto"/>
                                                        <w:right w:val="none" w:sz="0" w:space="0" w:color="auto"/>
                                                      </w:divBdr>
                                                      <w:divsChild>
                                                        <w:div w:id="307560615">
                                                          <w:marLeft w:val="0"/>
                                                          <w:marRight w:val="0"/>
                                                          <w:marTop w:val="0"/>
                                                          <w:marBottom w:val="0"/>
                                                          <w:divBdr>
                                                            <w:top w:val="none" w:sz="0" w:space="0" w:color="auto"/>
                                                            <w:left w:val="none" w:sz="0" w:space="0" w:color="auto"/>
                                                            <w:bottom w:val="none" w:sz="0" w:space="0" w:color="auto"/>
                                                            <w:right w:val="none" w:sz="0" w:space="0" w:color="auto"/>
                                                          </w:divBdr>
                                                          <w:divsChild>
                                                            <w:div w:id="676885075">
                                                              <w:marLeft w:val="0"/>
                                                              <w:marRight w:val="0"/>
                                                              <w:marTop w:val="0"/>
                                                              <w:marBottom w:val="0"/>
                                                              <w:divBdr>
                                                                <w:top w:val="none" w:sz="0" w:space="0" w:color="auto"/>
                                                                <w:left w:val="none" w:sz="0" w:space="0" w:color="auto"/>
                                                                <w:bottom w:val="none" w:sz="0" w:space="0" w:color="auto"/>
                                                                <w:right w:val="none" w:sz="0" w:space="0" w:color="auto"/>
                                                              </w:divBdr>
                                                              <w:divsChild>
                                                                <w:div w:id="1575503107">
                                                                  <w:marLeft w:val="0"/>
                                                                  <w:marRight w:val="0"/>
                                                                  <w:marTop w:val="0"/>
                                                                  <w:marBottom w:val="0"/>
                                                                  <w:divBdr>
                                                                    <w:top w:val="none" w:sz="0" w:space="0" w:color="auto"/>
                                                                    <w:left w:val="none" w:sz="0" w:space="0" w:color="auto"/>
                                                                    <w:bottom w:val="none" w:sz="0" w:space="0" w:color="auto"/>
                                                                    <w:right w:val="none" w:sz="0" w:space="0" w:color="auto"/>
                                                                  </w:divBdr>
                                                                  <w:divsChild>
                                                                    <w:div w:id="16098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163375">
                                          <w:marLeft w:val="0"/>
                                          <w:marRight w:val="0"/>
                                          <w:marTop w:val="0"/>
                                          <w:marBottom w:val="390"/>
                                          <w:divBdr>
                                            <w:top w:val="none" w:sz="0" w:space="0" w:color="auto"/>
                                            <w:left w:val="none" w:sz="0" w:space="0" w:color="auto"/>
                                            <w:bottom w:val="none" w:sz="0" w:space="0" w:color="auto"/>
                                            <w:right w:val="none" w:sz="0" w:space="0" w:color="auto"/>
                                          </w:divBdr>
                                          <w:divsChild>
                                            <w:div w:id="775711145">
                                              <w:marLeft w:val="0"/>
                                              <w:marRight w:val="0"/>
                                              <w:marTop w:val="0"/>
                                              <w:marBottom w:val="0"/>
                                              <w:divBdr>
                                                <w:top w:val="none" w:sz="0" w:space="0" w:color="auto"/>
                                                <w:left w:val="none" w:sz="0" w:space="0" w:color="auto"/>
                                                <w:bottom w:val="none" w:sz="0" w:space="0" w:color="auto"/>
                                                <w:right w:val="none" w:sz="0" w:space="0" w:color="auto"/>
                                              </w:divBdr>
                                              <w:divsChild>
                                                <w:div w:id="1624194243">
                                                  <w:marLeft w:val="0"/>
                                                  <w:marRight w:val="0"/>
                                                  <w:marTop w:val="0"/>
                                                  <w:marBottom w:val="0"/>
                                                  <w:divBdr>
                                                    <w:top w:val="none" w:sz="0" w:space="0" w:color="auto"/>
                                                    <w:left w:val="none" w:sz="0" w:space="0" w:color="auto"/>
                                                    <w:bottom w:val="none" w:sz="0" w:space="0" w:color="auto"/>
                                                    <w:right w:val="none" w:sz="0" w:space="0" w:color="auto"/>
                                                  </w:divBdr>
                                                  <w:divsChild>
                                                    <w:div w:id="1987128546">
                                                      <w:marLeft w:val="0"/>
                                                      <w:marRight w:val="0"/>
                                                      <w:marTop w:val="0"/>
                                                      <w:marBottom w:val="0"/>
                                                      <w:divBdr>
                                                        <w:top w:val="none" w:sz="0" w:space="0" w:color="auto"/>
                                                        <w:left w:val="none" w:sz="0" w:space="0" w:color="auto"/>
                                                        <w:bottom w:val="none" w:sz="0" w:space="0" w:color="auto"/>
                                                        <w:right w:val="none" w:sz="0" w:space="0" w:color="auto"/>
                                                      </w:divBdr>
                                                      <w:divsChild>
                                                        <w:div w:id="1577401017">
                                                          <w:marLeft w:val="0"/>
                                                          <w:marRight w:val="0"/>
                                                          <w:marTop w:val="0"/>
                                                          <w:marBottom w:val="0"/>
                                                          <w:divBdr>
                                                            <w:top w:val="none" w:sz="0" w:space="0" w:color="auto"/>
                                                            <w:left w:val="none" w:sz="0" w:space="0" w:color="auto"/>
                                                            <w:bottom w:val="none" w:sz="0" w:space="0" w:color="auto"/>
                                                            <w:right w:val="none" w:sz="0" w:space="0" w:color="auto"/>
                                                          </w:divBdr>
                                                          <w:divsChild>
                                                            <w:div w:id="2007320603">
                                                              <w:marLeft w:val="0"/>
                                                              <w:marRight w:val="0"/>
                                                              <w:marTop w:val="0"/>
                                                              <w:marBottom w:val="0"/>
                                                              <w:divBdr>
                                                                <w:top w:val="none" w:sz="0" w:space="0" w:color="auto"/>
                                                                <w:left w:val="none" w:sz="0" w:space="0" w:color="auto"/>
                                                                <w:bottom w:val="none" w:sz="0" w:space="0" w:color="auto"/>
                                                                <w:right w:val="none" w:sz="0" w:space="0" w:color="auto"/>
                                                              </w:divBdr>
                                                              <w:divsChild>
                                                                <w:div w:id="793258380">
                                                                  <w:marLeft w:val="0"/>
                                                                  <w:marRight w:val="0"/>
                                                                  <w:marTop w:val="0"/>
                                                                  <w:marBottom w:val="0"/>
                                                                  <w:divBdr>
                                                                    <w:top w:val="none" w:sz="0" w:space="0" w:color="auto"/>
                                                                    <w:left w:val="none" w:sz="0" w:space="0" w:color="auto"/>
                                                                    <w:bottom w:val="none" w:sz="0" w:space="0" w:color="auto"/>
                                                                    <w:right w:val="none" w:sz="0" w:space="0" w:color="auto"/>
                                                                  </w:divBdr>
                                                                  <w:divsChild>
                                                                    <w:div w:id="15840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8065">
                                          <w:marLeft w:val="0"/>
                                          <w:marRight w:val="0"/>
                                          <w:marTop w:val="0"/>
                                          <w:marBottom w:val="390"/>
                                          <w:divBdr>
                                            <w:top w:val="none" w:sz="0" w:space="0" w:color="auto"/>
                                            <w:left w:val="none" w:sz="0" w:space="0" w:color="auto"/>
                                            <w:bottom w:val="none" w:sz="0" w:space="0" w:color="auto"/>
                                            <w:right w:val="none" w:sz="0" w:space="0" w:color="auto"/>
                                          </w:divBdr>
                                          <w:divsChild>
                                            <w:div w:id="1129129640">
                                              <w:marLeft w:val="0"/>
                                              <w:marRight w:val="0"/>
                                              <w:marTop w:val="0"/>
                                              <w:marBottom w:val="0"/>
                                              <w:divBdr>
                                                <w:top w:val="none" w:sz="0" w:space="0" w:color="auto"/>
                                                <w:left w:val="none" w:sz="0" w:space="0" w:color="auto"/>
                                                <w:bottom w:val="none" w:sz="0" w:space="0" w:color="auto"/>
                                                <w:right w:val="none" w:sz="0" w:space="0" w:color="auto"/>
                                              </w:divBdr>
                                              <w:divsChild>
                                                <w:div w:id="849216958">
                                                  <w:marLeft w:val="0"/>
                                                  <w:marRight w:val="0"/>
                                                  <w:marTop w:val="0"/>
                                                  <w:marBottom w:val="0"/>
                                                  <w:divBdr>
                                                    <w:top w:val="none" w:sz="0" w:space="0" w:color="auto"/>
                                                    <w:left w:val="none" w:sz="0" w:space="0" w:color="auto"/>
                                                    <w:bottom w:val="none" w:sz="0" w:space="0" w:color="auto"/>
                                                    <w:right w:val="none" w:sz="0" w:space="0" w:color="auto"/>
                                                  </w:divBdr>
                                                  <w:divsChild>
                                                    <w:div w:id="64422233">
                                                      <w:marLeft w:val="0"/>
                                                      <w:marRight w:val="0"/>
                                                      <w:marTop w:val="0"/>
                                                      <w:marBottom w:val="0"/>
                                                      <w:divBdr>
                                                        <w:top w:val="none" w:sz="0" w:space="0" w:color="auto"/>
                                                        <w:left w:val="none" w:sz="0" w:space="0" w:color="auto"/>
                                                        <w:bottom w:val="none" w:sz="0" w:space="0" w:color="auto"/>
                                                        <w:right w:val="none" w:sz="0" w:space="0" w:color="auto"/>
                                                      </w:divBdr>
                                                      <w:divsChild>
                                                        <w:div w:id="818227853">
                                                          <w:marLeft w:val="0"/>
                                                          <w:marRight w:val="0"/>
                                                          <w:marTop w:val="0"/>
                                                          <w:marBottom w:val="0"/>
                                                          <w:divBdr>
                                                            <w:top w:val="none" w:sz="0" w:space="0" w:color="auto"/>
                                                            <w:left w:val="none" w:sz="0" w:space="0" w:color="auto"/>
                                                            <w:bottom w:val="none" w:sz="0" w:space="0" w:color="auto"/>
                                                            <w:right w:val="none" w:sz="0" w:space="0" w:color="auto"/>
                                                          </w:divBdr>
                                                          <w:divsChild>
                                                            <w:div w:id="129786251">
                                                              <w:marLeft w:val="0"/>
                                                              <w:marRight w:val="0"/>
                                                              <w:marTop w:val="0"/>
                                                              <w:marBottom w:val="0"/>
                                                              <w:divBdr>
                                                                <w:top w:val="none" w:sz="0" w:space="0" w:color="auto"/>
                                                                <w:left w:val="none" w:sz="0" w:space="0" w:color="auto"/>
                                                                <w:bottom w:val="none" w:sz="0" w:space="0" w:color="auto"/>
                                                                <w:right w:val="none" w:sz="0" w:space="0" w:color="auto"/>
                                                              </w:divBdr>
                                                              <w:divsChild>
                                                                <w:div w:id="760683295">
                                                                  <w:marLeft w:val="0"/>
                                                                  <w:marRight w:val="0"/>
                                                                  <w:marTop w:val="0"/>
                                                                  <w:marBottom w:val="0"/>
                                                                  <w:divBdr>
                                                                    <w:top w:val="none" w:sz="0" w:space="0" w:color="auto"/>
                                                                    <w:left w:val="none" w:sz="0" w:space="0" w:color="auto"/>
                                                                    <w:bottom w:val="none" w:sz="0" w:space="0" w:color="auto"/>
                                                                    <w:right w:val="none" w:sz="0" w:space="0" w:color="auto"/>
                                                                  </w:divBdr>
                                                                  <w:divsChild>
                                                                    <w:div w:id="4442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690152">
              <w:marLeft w:val="0"/>
              <w:marRight w:val="0"/>
              <w:marTop w:val="0"/>
              <w:marBottom w:val="0"/>
              <w:divBdr>
                <w:top w:val="none" w:sz="0" w:space="0" w:color="auto"/>
                <w:left w:val="none" w:sz="0" w:space="0" w:color="auto"/>
                <w:bottom w:val="none" w:sz="0" w:space="0" w:color="auto"/>
                <w:right w:val="none" w:sz="0" w:space="0" w:color="auto"/>
              </w:divBdr>
            </w:div>
            <w:div w:id="21978356">
              <w:marLeft w:val="0"/>
              <w:marRight w:val="0"/>
              <w:marTop w:val="0"/>
              <w:marBottom w:val="0"/>
              <w:divBdr>
                <w:top w:val="none" w:sz="0" w:space="0" w:color="auto"/>
                <w:left w:val="none" w:sz="0" w:space="0" w:color="auto"/>
                <w:bottom w:val="none" w:sz="0" w:space="0" w:color="auto"/>
                <w:right w:val="none" w:sz="0" w:space="0" w:color="auto"/>
              </w:divBdr>
              <w:divsChild>
                <w:div w:id="1521046767">
                  <w:marLeft w:val="0"/>
                  <w:marRight w:val="0"/>
                  <w:marTop w:val="0"/>
                  <w:marBottom w:val="0"/>
                  <w:divBdr>
                    <w:top w:val="none" w:sz="0" w:space="0" w:color="auto"/>
                    <w:left w:val="none" w:sz="0" w:space="0" w:color="auto"/>
                    <w:bottom w:val="none" w:sz="0" w:space="0" w:color="auto"/>
                    <w:right w:val="none" w:sz="0" w:space="0" w:color="auto"/>
                  </w:divBdr>
                </w:div>
                <w:div w:id="2081053465">
                  <w:marLeft w:val="0"/>
                  <w:marRight w:val="0"/>
                  <w:marTop w:val="0"/>
                  <w:marBottom w:val="0"/>
                  <w:divBdr>
                    <w:top w:val="none" w:sz="0" w:space="0" w:color="auto"/>
                    <w:left w:val="none" w:sz="0" w:space="0" w:color="auto"/>
                    <w:bottom w:val="none" w:sz="0" w:space="0" w:color="auto"/>
                    <w:right w:val="none" w:sz="0" w:space="0" w:color="auto"/>
                  </w:divBdr>
                </w:div>
              </w:divsChild>
            </w:div>
            <w:div w:id="1761220402">
              <w:marLeft w:val="0"/>
              <w:marRight w:val="0"/>
              <w:marTop w:val="0"/>
              <w:marBottom w:val="0"/>
              <w:divBdr>
                <w:top w:val="none" w:sz="0" w:space="0" w:color="auto"/>
                <w:left w:val="none" w:sz="0" w:space="0" w:color="auto"/>
                <w:bottom w:val="none" w:sz="0" w:space="0" w:color="auto"/>
                <w:right w:val="none" w:sz="0" w:space="0" w:color="auto"/>
              </w:divBdr>
              <w:divsChild>
                <w:div w:id="1555240507">
                  <w:marLeft w:val="0"/>
                  <w:marRight w:val="0"/>
                  <w:marTop w:val="0"/>
                  <w:marBottom w:val="0"/>
                  <w:divBdr>
                    <w:top w:val="none" w:sz="0" w:space="0" w:color="auto"/>
                    <w:left w:val="none" w:sz="0" w:space="0" w:color="auto"/>
                    <w:bottom w:val="none" w:sz="0" w:space="0" w:color="auto"/>
                    <w:right w:val="none" w:sz="0" w:space="0" w:color="auto"/>
                  </w:divBdr>
                  <w:divsChild>
                    <w:div w:id="7688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4618">
      <w:bodyDiv w:val="1"/>
      <w:marLeft w:val="0"/>
      <w:marRight w:val="0"/>
      <w:marTop w:val="0"/>
      <w:marBottom w:val="0"/>
      <w:divBdr>
        <w:top w:val="none" w:sz="0" w:space="0" w:color="auto"/>
        <w:left w:val="none" w:sz="0" w:space="0" w:color="auto"/>
        <w:bottom w:val="none" w:sz="0" w:space="0" w:color="auto"/>
        <w:right w:val="none" w:sz="0" w:space="0" w:color="auto"/>
      </w:divBdr>
      <w:divsChild>
        <w:div w:id="1364481445">
          <w:marLeft w:val="0"/>
          <w:marRight w:val="0"/>
          <w:marTop w:val="0"/>
          <w:marBottom w:val="0"/>
          <w:divBdr>
            <w:top w:val="none" w:sz="0" w:space="0" w:color="auto"/>
            <w:left w:val="none" w:sz="0" w:space="0" w:color="auto"/>
            <w:bottom w:val="none" w:sz="0" w:space="0" w:color="auto"/>
            <w:right w:val="none" w:sz="0" w:space="0" w:color="auto"/>
          </w:divBdr>
          <w:divsChild>
            <w:div w:id="996541125">
              <w:marLeft w:val="0"/>
              <w:marRight w:val="0"/>
              <w:marTop w:val="0"/>
              <w:marBottom w:val="0"/>
              <w:divBdr>
                <w:top w:val="none" w:sz="0" w:space="0" w:color="auto"/>
                <w:left w:val="none" w:sz="0" w:space="0" w:color="auto"/>
                <w:bottom w:val="none" w:sz="0" w:space="0" w:color="auto"/>
                <w:right w:val="none" w:sz="0" w:space="0" w:color="auto"/>
              </w:divBdr>
              <w:divsChild>
                <w:div w:id="1042903326">
                  <w:marLeft w:val="0"/>
                  <w:marRight w:val="0"/>
                  <w:marTop w:val="0"/>
                  <w:marBottom w:val="0"/>
                  <w:divBdr>
                    <w:top w:val="none" w:sz="0" w:space="0" w:color="auto"/>
                    <w:left w:val="none" w:sz="0" w:space="0" w:color="auto"/>
                    <w:bottom w:val="none" w:sz="0" w:space="0" w:color="auto"/>
                    <w:right w:val="none" w:sz="0" w:space="0" w:color="auto"/>
                  </w:divBdr>
                  <w:divsChild>
                    <w:div w:id="1748459398">
                      <w:marLeft w:val="0"/>
                      <w:marRight w:val="0"/>
                      <w:marTop w:val="45"/>
                      <w:marBottom w:val="0"/>
                      <w:divBdr>
                        <w:top w:val="none" w:sz="0" w:space="0" w:color="auto"/>
                        <w:left w:val="none" w:sz="0" w:space="0" w:color="auto"/>
                        <w:bottom w:val="none" w:sz="0" w:space="0" w:color="auto"/>
                        <w:right w:val="none" w:sz="0" w:space="0" w:color="auto"/>
                      </w:divBdr>
                      <w:divsChild>
                        <w:div w:id="1029140847">
                          <w:marLeft w:val="0"/>
                          <w:marRight w:val="0"/>
                          <w:marTop w:val="0"/>
                          <w:marBottom w:val="0"/>
                          <w:divBdr>
                            <w:top w:val="none" w:sz="0" w:space="0" w:color="auto"/>
                            <w:left w:val="none" w:sz="0" w:space="0" w:color="auto"/>
                            <w:bottom w:val="none" w:sz="0" w:space="0" w:color="auto"/>
                            <w:right w:val="none" w:sz="0" w:space="0" w:color="auto"/>
                          </w:divBdr>
                          <w:divsChild>
                            <w:div w:id="295333547">
                              <w:marLeft w:val="2070"/>
                              <w:marRight w:val="3960"/>
                              <w:marTop w:val="0"/>
                              <w:marBottom w:val="0"/>
                              <w:divBdr>
                                <w:top w:val="none" w:sz="0" w:space="0" w:color="auto"/>
                                <w:left w:val="none" w:sz="0" w:space="0" w:color="auto"/>
                                <w:bottom w:val="none" w:sz="0" w:space="0" w:color="auto"/>
                                <w:right w:val="none" w:sz="0" w:space="0" w:color="auto"/>
                              </w:divBdr>
                              <w:divsChild>
                                <w:div w:id="445269631">
                                  <w:marLeft w:val="0"/>
                                  <w:marRight w:val="0"/>
                                  <w:marTop w:val="0"/>
                                  <w:marBottom w:val="0"/>
                                  <w:divBdr>
                                    <w:top w:val="none" w:sz="0" w:space="0" w:color="auto"/>
                                    <w:left w:val="none" w:sz="0" w:space="0" w:color="auto"/>
                                    <w:bottom w:val="none" w:sz="0" w:space="0" w:color="auto"/>
                                    <w:right w:val="none" w:sz="0" w:space="0" w:color="auto"/>
                                  </w:divBdr>
                                  <w:divsChild>
                                    <w:div w:id="1515538601">
                                      <w:marLeft w:val="0"/>
                                      <w:marRight w:val="0"/>
                                      <w:marTop w:val="0"/>
                                      <w:marBottom w:val="0"/>
                                      <w:divBdr>
                                        <w:top w:val="none" w:sz="0" w:space="0" w:color="auto"/>
                                        <w:left w:val="none" w:sz="0" w:space="0" w:color="auto"/>
                                        <w:bottom w:val="none" w:sz="0" w:space="0" w:color="auto"/>
                                        <w:right w:val="none" w:sz="0" w:space="0" w:color="auto"/>
                                      </w:divBdr>
                                      <w:divsChild>
                                        <w:div w:id="1447432409">
                                          <w:marLeft w:val="0"/>
                                          <w:marRight w:val="0"/>
                                          <w:marTop w:val="0"/>
                                          <w:marBottom w:val="0"/>
                                          <w:divBdr>
                                            <w:top w:val="none" w:sz="0" w:space="0" w:color="auto"/>
                                            <w:left w:val="none" w:sz="0" w:space="0" w:color="auto"/>
                                            <w:bottom w:val="none" w:sz="0" w:space="0" w:color="auto"/>
                                            <w:right w:val="none" w:sz="0" w:space="0" w:color="auto"/>
                                          </w:divBdr>
                                          <w:divsChild>
                                            <w:div w:id="910501389">
                                              <w:marLeft w:val="0"/>
                                              <w:marRight w:val="0"/>
                                              <w:marTop w:val="90"/>
                                              <w:marBottom w:val="0"/>
                                              <w:divBdr>
                                                <w:top w:val="none" w:sz="0" w:space="0" w:color="auto"/>
                                                <w:left w:val="none" w:sz="0" w:space="0" w:color="auto"/>
                                                <w:bottom w:val="none" w:sz="0" w:space="0" w:color="auto"/>
                                                <w:right w:val="none" w:sz="0" w:space="0" w:color="auto"/>
                                              </w:divBdr>
                                              <w:divsChild>
                                                <w:div w:id="16858885">
                                                  <w:marLeft w:val="0"/>
                                                  <w:marRight w:val="0"/>
                                                  <w:marTop w:val="0"/>
                                                  <w:marBottom w:val="0"/>
                                                  <w:divBdr>
                                                    <w:top w:val="none" w:sz="0" w:space="0" w:color="auto"/>
                                                    <w:left w:val="none" w:sz="0" w:space="0" w:color="auto"/>
                                                    <w:bottom w:val="none" w:sz="0" w:space="0" w:color="auto"/>
                                                    <w:right w:val="none" w:sz="0" w:space="0" w:color="auto"/>
                                                  </w:divBdr>
                                                  <w:divsChild>
                                                    <w:div w:id="502624417">
                                                      <w:marLeft w:val="0"/>
                                                      <w:marRight w:val="0"/>
                                                      <w:marTop w:val="0"/>
                                                      <w:marBottom w:val="0"/>
                                                      <w:divBdr>
                                                        <w:top w:val="none" w:sz="0" w:space="0" w:color="auto"/>
                                                        <w:left w:val="none" w:sz="0" w:space="0" w:color="auto"/>
                                                        <w:bottom w:val="none" w:sz="0" w:space="0" w:color="auto"/>
                                                        <w:right w:val="none" w:sz="0" w:space="0" w:color="auto"/>
                                                      </w:divBdr>
                                                      <w:divsChild>
                                                        <w:div w:id="1908419808">
                                                          <w:marLeft w:val="0"/>
                                                          <w:marRight w:val="0"/>
                                                          <w:marTop w:val="0"/>
                                                          <w:marBottom w:val="390"/>
                                                          <w:divBdr>
                                                            <w:top w:val="none" w:sz="0" w:space="0" w:color="auto"/>
                                                            <w:left w:val="none" w:sz="0" w:space="0" w:color="auto"/>
                                                            <w:bottom w:val="none" w:sz="0" w:space="0" w:color="auto"/>
                                                            <w:right w:val="none" w:sz="0" w:space="0" w:color="auto"/>
                                                          </w:divBdr>
                                                          <w:divsChild>
                                                            <w:div w:id="733354709">
                                                              <w:marLeft w:val="0"/>
                                                              <w:marRight w:val="0"/>
                                                              <w:marTop w:val="0"/>
                                                              <w:marBottom w:val="0"/>
                                                              <w:divBdr>
                                                                <w:top w:val="none" w:sz="0" w:space="0" w:color="auto"/>
                                                                <w:left w:val="none" w:sz="0" w:space="0" w:color="auto"/>
                                                                <w:bottom w:val="none" w:sz="0" w:space="0" w:color="auto"/>
                                                                <w:right w:val="none" w:sz="0" w:space="0" w:color="auto"/>
                                                              </w:divBdr>
                                                              <w:divsChild>
                                                                <w:div w:id="1057318890">
                                                                  <w:marLeft w:val="0"/>
                                                                  <w:marRight w:val="0"/>
                                                                  <w:marTop w:val="0"/>
                                                                  <w:marBottom w:val="0"/>
                                                                  <w:divBdr>
                                                                    <w:top w:val="none" w:sz="0" w:space="0" w:color="auto"/>
                                                                    <w:left w:val="none" w:sz="0" w:space="0" w:color="auto"/>
                                                                    <w:bottom w:val="none" w:sz="0" w:space="0" w:color="auto"/>
                                                                    <w:right w:val="none" w:sz="0" w:space="0" w:color="auto"/>
                                                                  </w:divBdr>
                                                                  <w:divsChild>
                                                                    <w:div w:id="1733769178">
                                                                      <w:marLeft w:val="0"/>
                                                                      <w:marRight w:val="0"/>
                                                                      <w:marTop w:val="0"/>
                                                                      <w:marBottom w:val="0"/>
                                                                      <w:divBdr>
                                                                        <w:top w:val="none" w:sz="0" w:space="0" w:color="auto"/>
                                                                        <w:left w:val="none" w:sz="0" w:space="0" w:color="auto"/>
                                                                        <w:bottom w:val="none" w:sz="0" w:space="0" w:color="auto"/>
                                                                        <w:right w:val="none" w:sz="0" w:space="0" w:color="auto"/>
                                                                      </w:divBdr>
                                                                      <w:divsChild>
                                                                        <w:div w:id="926882503">
                                                                          <w:marLeft w:val="0"/>
                                                                          <w:marRight w:val="0"/>
                                                                          <w:marTop w:val="0"/>
                                                                          <w:marBottom w:val="0"/>
                                                                          <w:divBdr>
                                                                            <w:top w:val="none" w:sz="0" w:space="0" w:color="auto"/>
                                                                            <w:left w:val="none" w:sz="0" w:space="0" w:color="auto"/>
                                                                            <w:bottom w:val="none" w:sz="0" w:space="0" w:color="auto"/>
                                                                            <w:right w:val="none" w:sz="0" w:space="0" w:color="auto"/>
                                                                          </w:divBdr>
                                                                          <w:divsChild>
                                                                            <w:div w:id="2145804019">
                                                                              <w:marLeft w:val="0"/>
                                                                              <w:marRight w:val="0"/>
                                                                              <w:marTop w:val="0"/>
                                                                              <w:marBottom w:val="0"/>
                                                                              <w:divBdr>
                                                                                <w:top w:val="none" w:sz="0" w:space="0" w:color="auto"/>
                                                                                <w:left w:val="none" w:sz="0" w:space="0" w:color="auto"/>
                                                                                <w:bottom w:val="none" w:sz="0" w:space="0" w:color="auto"/>
                                                                                <w:right w:val="none" w:sz="0" w:space="0" w:color="auto"/>
                                                                              </w:divBdr>
                                                                              <w:divsChild>
                                                                                <w:div w:id="205993891">
                                                                                  <w:marLeft w:val="0"/>
                                                                                  <w:marRight w:val="0"/>
                                                                                  <w:marTop w:val="0"/>
                                                                                  <w:marBottom w:val="0"/>
                                                                                  <w:divBdr>
                                                                                    <w:top w:val="none" w:sz="0" w:space="0" w:color="auto"/>
                                                                                    <w:left w:val="none" w:sz="0" w:space="0" w:color="auto"/>
                                                                                    <w:bottom w:val="none" w:sz="0" w:space="0" w:color="auto"/>
                                                                                    <w:right w:val="none" w:sz="0" w:space="0" w:color="auto"/>
                                                                                  </w:divBdr>
                                                                                  <w:divsChild>
                                                                                    <w:div w:id="504326662">
                                                                                      <w:marLeft w:val="0"/>
                                                                                      <w:marRight w:val="0"/>
                                                                                      <w:marTop w:val="0"/>
                                                                                      <w:marBottom w:val="0"/>
                                                                                      <w:divBdr>
                                                                                        <w:top w:val="none" w:sz="0" w:space="0" w:color="auto"/>
                                                                                        <w:left w:val="none" w:sz="0" w:space="0" w:color="auto"/>
                                                                                        <w:bottom w:val="none" w:sz="0" w:space="0" w:color="auto"/>
                                                                                        <w:right w:val="none" w:sz="0" w:space="0" w:color="auto"/>
                                                                                      </w:divBdr>
                                                                                      <w:divsChild>
                                                                                        <w:div w:id="18865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602792">
      <w:bodyDiv w:val="1"/>
      <w:marLeft w:val="0"/>
      <w:marRight w:val="0"/>
      <w:marTop w:val="0"/>
      <w:marBottom w:val="0"/>
      <w:divBdr>
        <w:top w:val="none" w:sz="0" w:space="0" w:color="auto"/>
        <w:left w:val="none" w:sz="0" w:space="0" w:color="auto"/>
        <w:bottom w:val="none" w:sz="0" w:space="0" w:color="auto"/>
        <w:right w:val="none" w:sz="0" w:space="0" w:color="auto"/>
      </w:divBdr>
    </w:div>
    <w:div w:id="1145852270">
      <w:marLeft w:val="0"/>
      <w:marRight w:val="0"/>
      <w:marTop w:val="0"/>
      <w:marBottom w:val="0"/>
      <w:divBdr>
        <w:top w:val="none" w:sz="0" w:space="0" w:color="auto"/>
        <w:left w:val="none" w:sz="0" w:space="0" w:color="auto"/>
        <w:bottom w:val="none" w:sz="0" w:space="0" w:color="auto"/>
        <w:right w:val="none" w:sz="0" w:space="0" w:color="auto"/>
      </w:divBdr>
      <w:divsChild>
        <w:div w:id="1086344923">
          <w:marLeft w:val="0"/>
          <w:marRight w:val="0"/>
          <w:marTop w:val="0"/>
          <w:marBottom w:val="0"/>
          <w:divBdr>
            <w:top w:val="none" w:sz="0" w:space="0" w:color="auto"/>
            <w:left w:val="none" w:sz="0" w:space="0" w:color="auto"/>
            <w:bottom w:val="none" w:sz="0" w:space="0" w:color="auto"/>
            <w:right w:val="none" w:sz="0" w:space="0" w:color="auto"/>
          </w:divBdr>
          <w:divsChild>
            <w:div w:id="1657567015">
              <w:marLeft w:val="0"/>
              <w:marRight w:val="0"/>
              <w:marTop w:val="0"/>
              <w:marBottom w:val="0"/>
              <w:divBdr>
                <w:top w:val="single" w:sz="6" w:space="0" w:color="E4E4E4"/>
                <w:left w:val="none" w:sz="0" w:space="0" w:color="auto"/>
                <w:bottom w:val="none" w:sz="0" w:space="0" w:color="auto"/>
                <w:right w:val="none" w:sz="0" w:space="0" w:color="auto"/>
              </w:divBdr>
              <w:divsChild>
                <w:div w:id="1433474037">
                  <w:marLeft w:val="-405"/>
                  <w:marRight w:val="0"/>
                  <w:marTop w:val="0"/>
                  <w:marBottom w:val="0"/>
                  <w:divBdr>
                    <w:top w:val="none" w:sz="0" w:space="0" w:color="auto"/>
                    <w:left w:val="none" w:sz="0" w:space="0" w:color="auto"/>
                    <w:bottom w:val="none" w:sz="0" w:space="0" w:color="auto"/>
                    <w:right w:val="none" w:sz="0" w:space="0" w:color="auto"/>
                  </w:divBdr>
                  <w:divsChild>
                    <w:div w:id="1365014248">
                      <w:marLeft w:val="2490"/>
                      <w:marRight w:val="0"/>
                      <w:marTop w:val="0"/>
                      <w:marBottom w:val="0"/>
                      <w:divBdr>
                        <w:top w:val="none" w:sz="0" w:space="0" w:color="auto"/>
                        <w:left w:val="none" w:sz="0" w:space="0" w:color="auto"/>
                        <w:bottom w:val="none" w:sz="0" w:space="0" w:color="auto"/>
                        <w:right w:val="none" w:sz="0" w:space="0" w:color="auto"/>
                      </w:divBdr>
                    </w:div>
                  </w:divsChild>
                </w:div>
                <w:div w:id="510997680">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6311">
      <w:bodyDiv w:val="1"/>
      <w:marLeft w:val="0"/>
      <w:marRight w:val="0"/>
      <w:marTop w:val="0"/>
      <w:marBottom w:val="0"/>
      <w:divBdr>
        <w:top w:val="none" w:sz="0" w:space="0" w:color="auto"/>
        <w:left w:val="none" w:sz="0" w:space="0" w:color="auto"/>
        <w:bottom w:val="none" w:sz="0" w:space="0" w:color="auto"/>
        <w:right w:val="none" w:sz="0" w:space="0" w:color="auto"/>
      </w:divBdr>
    </w:div>
    <w:div w:id="1254902681">
      <w:bodyDiv w:val="1"/>
      <w:marLeft w:val="0"/>
      <w:marRight w:val="0"/>
      <w:marTop w:val="0"/>
      <w:marBottom w:val="0"/>
      <w:divBdr>
        <w:top w:val="none" w:sz="0" w:space="0" w:color="auto"/>
        <w:left w:val="none" w:sz="0" w:space="0" w:color="auto"/>
        <w:bottom w:val="none" w:sz="0" w:space="0" w:color="auto"/>
        <w:right w:val="none" w:sz="0" w:space="0" w:color="auto"/>
      </w:divBdr>
      <w:divsChild>
        <w:div w:id="460077375">
          <w:marLeft w:val="0"/>
          <w:marRight w:val="0"/>
          <w:marTop w:val="0"/>
          <w:marBottom w:val="0"/>
          <w:divBdr>
            <w:top w:val="none" w:sz="0" w:space="0" w:color="auto"/>
            <w:left w:val="none" w:sz="0" w:space="0" w:color="auto"/>
            <w:bottom w:val="none" w:sz="0" w:space="0" w:color="auto"/>
            <w:right w:val="none" w:sz="0" w:space="0" w:color="auto"/>
          </w:divBdr>
          <w:divsChild>
            <w:div w:id="441801505">
              <w:marLeft w:val="0"/>
              <w:marRight w:val="0"/>
              <w:marTop w:val="0"/>
              <w:marBottom w:val="0"/>
              <w:divBdr>
                <w:top w:val="none" w:sz="0" w:space="0" w:color="auto"/>
                <w:left w:val="none" w:sz="0" w:space="0" w:color="auto"/>
                <w:bottom w:val="none" w:sz="0" w:space="0" w:color="auto"/>
                <w:right w:val="none" w:sz="0" w:space="0" w:color="auto"/>
              </w:divBdr>
              <w:divsChild>
                <w:div w:id="192814326">
                  <w:marLeft w:val="0"/>
                  <w:marRight w:val="0"/>
                  <w:marTop w:val="0"/>
                  <w:marBottom w:val="0"/>
                  <w:divBdr>
                    <w:top w:val="none" w:sz="0" w:space="0" w:color="auto"/>
                    <w:left w:val="none" w:sz="0" w:space="0" w:color="auto"/>
                    <w:bottom w:val="none" w:sz="0" w:space="0" w:color="auto"/>
                    <w:right w:val="none" w:sz="0" w:space="0" w:color="auto"/>
                  </w:divBdr>
                  <w:divsChild>
                    <w:div w:id="1208638511">
                      <w:marLeft w:val="0"/>
                      <w:marRight w:val="0"/>
                      <w:marTop w:val="45"/>
                      <w:marBottom w:val="0"/>
                      <w:divBdr>
                        <w:top w:val="none" w:sz="0" w:space="0" w:color="auto"/>
                        <w:left w:val="none" w:sz="0" w:space="0" w:color="auto"/>
                        <w:bottom w:val="none" w:sz="0" w:space="0" w:color="auto"/>
                        <w:right w:val="none" w:sz="0" w:space="0" w:color="auto"/>
                      </w:divBdr>
                      <w:divsChild>
                        <w:div w:id="235550282">
                          <w:marLeft w:val="0"/>
                          <w:marRight w:val="0"/>
                          <w:marTop w:val="0"/>
                          <w:marBottom w:val="0"/>
                          <w:divBdr>
                            <w:top w:val="none" w:sz="0" w:space="0" w:color="auto"/>
                            <w:left w:val="none" w:sz="0" w:space="0" w:color="auto"/>
                            <w:bottom w:val="none" w:sz="0" w:space="0" w:color="auto"/>
                            <w:right w:val="none" w:sz="0" w:space="0" w:color="auto"/>
                          </w:divBdr>
                          <w:divsChild>
                            <w:div w:id="1704401515">
                              <w:marLeft w:val="2070"/>
                              <w:marRight w:val="3960"/>
                              <w:marTop w:val="0"/>
                              <w:marBottom w:val="0"/>
                              <w:divBdr>
                                <w:top w:val="none" w:sz="0" w:space="0" w:color="auto"/>
                                <w:left w:val="none" w:sz="0" w:space="0" w:color="auto"/>
                                <w:bottom w:val="none" w:sz="0" w:space="0" w:color="auto"/>
                                <w:right w:val="none" w:sz="0" w:space="0" w:color="auto"/>
                              </w:divBdr>
                              <w:divsChild>
                                <w:div w:id="1277758187">
                                  <w:marLeft w:val="0"/>
                                  <w:marRight w:val="0"/>
                                  <w:marTop w:val="0"/>
                                  <w:marBottom w:val="0"/>
                                  <w:divBdr>
                                    <w:top w:val="none" w:sz="0" w:space="0" w:color="auto"/>
                                    <w:left w:val="none" w:sz="0" w:space="0" w:color="auto"/>
                                    <w:bottom w:val="none" w:sz="0" w:space="0" w:color="auto"/>
                                    <w:right w:val="none" w:sz="0" w:space="0" w:color="auto"/>
                                  </w:divBdr>
                                  <w:divsChild>
                                    <w:div w:id="224030209">
                                      <w:marLeft w:val="0"/>
                                      <w:marRight w:val="0"/>
                                      <w:marTop w:val="0"/>
                                      <w:marBottom w:val="0"/>
                                      <w:divBdr>
                                        <w:top w:val="none" w:sz="0" w:space="0" w:color="auto"/>
                                        <w:left w:val="none" w:sz="0" w:space="0" w:color="auto"/>
                                        <w:bottom w:val="none" w:sz="0" w:space="0" w:color="auto"/>
                                        <w:right w:val="none" w:sz="0" w:space="0" w:color="auto"/>
                                      </w:divBdr>
                                      <w:divsChild>
                                        <w:div w:id="1260454749">
                                          <w:marLeft w:val="0"/>
                                          <w:marRight w:val="0"/>
                                          <w:marTop w:val="0"/>
                                          <w:marBottom w:val="0"/>
                                          <w:divBdr>
                                            <w:top w:val="none" w:sz="0" w:space="0" w:color="auto"/>
                                            <w:left w:val="none" w:sz="0" w:space="0" w:color="auto"/>
                                            <w:bottom w:val="none" w:sz="0" w:space="0" w:color="auto"/>
                                            <w:right w:val="none" w:sz="0" w:space="0" w:color="auto"/>
                                          </w:divBdr>
                                          <w:divsChild>
                                            <w:div w:id="1096906108">
                                              <w:marLeft w:val="0"/>
                                              <w:marRight w:val="0"/>
                                              <w:marTop w:val="90"/>
                                              <w:marBottom w:val="0"/>
                                              <w:divBdr>
                                                <w:top w:val="none" w:sz="0" w:space="0" w:color="auto"/>
                                                <w:left w:val="none" w:sz="0" w:space="0" w:color="auto"/>
                                                <w:bottom w:val="none" w:sz="0" w:space="0" w:color="auto"/>
                                                <w:right w:val="none" w:sz="0" w:space="0" w:color="auto"/>
                                              </w:divBdr>
                                              <w:divsChild>
                                                <w:div w:id="1366442317">
                                                  <w:marLeft w:val="0"/>
                                                  <w:marRight w:val="0"/>
                                                  <w:marTop w:val="0"/>
                                                  <w:marBottom w:val="0"/>
                                                  <w:divBdr>
                                                    <w:top w:val="none" w:sz="0" w:space="0" w:color="auto"/>
                                                    <w:left w:val="none" w:sz="0" w:space="0" w:color="auto"/>
                                                    <w:bottom w:val="none" w:sz="0" w:space="0" w:color="auto"/>
                                                    <w:right w:val="none" w:sz="0" w:space="0" w:color="auto"/>
                                                  </w:divBdr>
                                                  <w:divsChild>
                                                    <w:div w:id="1485123616">
                                                      <w:marLeft w:val="0"/>
                                                      <w:marRight w:val="0"/>
                                                      <w:marTop w:val="0"/>
                                                      <w:marBottom w:val="0"/>
                                                      <w:divBdr>
                                                        <w:top w:val="none" w:sz="0" w:space="0" w:color="auto"/>
                                                        <w:left w:val="none" w:sz="0" w:space="0" w:color="auto"/>
                                                        <w:bottom w:val="none" w:sz="0" w:space="0" w:color="auto"/>
                                                        <w:right w:val="none" w:sz="0" w:space="0" w:color="auto"/>
                                                      </w:divBdr>
                                                      <w:divsChild>
                                                        <w:div w:id="1171750576">
                                                          <w:marLeft w:val="0"/>
                                                          <w:marRight w:val="0"/>
                                                          <w:marTop w:val="0"/>
                                                          <w:marBottom w:val="390"/>
                                                          <w:divBdr>
                                                            <w:top w:val="none" w:sz="0" w:space="0" w:color="auto"/>
                                                            <w:left w:val="none" w:sz="0" w:space="0" w:color="auto"/>
                                                            <w:bottom w:val="none" w:sz="0" w:space="0" w:color="auto"/>
                                                            <w:right w:val="none" w:sz="0" w:space="0" w:color="auto"/>
                                                          </w:divBdr>
                                                          <w:divsChild>
                                                            <w:div w:id="1965572546">
                                                              <w:marLeft w:val="0"/>
                                                              <w:marRight w:val="0"/>
                                                              <w:marTop w:val="0"/>
                                                              <w:marBottom w:val="0"/>
                                                              <w:divBdr>
                                                                <w:top w:val="none" w:sz="0" w:space="0" w:color="auto"/>
                                                                <w:left w:val="none" w:sz="0" w:space="0" w:color="auto"/>
                                                                <w:bottom w:val="none" w:sz="0" w:space="0" w:color="auto"/>
                                                                <w:right w:val="none" w:sz="0" w:space="0" w:color="auto"/>
                                                              </w:divBdr>
                                                              <w:divsChild>
                                                                <w:div w:id="2133286394">
                                                                  <w:marLeft w:val="0"/>
                                                                  <w:marRight w:val="0"/>
                                                                  <w:marTop w:val="0"/>
                                                                  <w:marBottom w:val="0"/>
                                                                  <w:divBdr>
                                                                    <w:top w:val="none" w:sz="0" w:space="0" w:color="auto"/>
                                                                    <w:left w:val="none" w:sz="0" w:space="0" w:color="auto"/>
                                                                    <w:bottom w:val="none" w:sz="0" w:space="0" w:color="auto"/>
                                                                    <w:right w:val="none" w:sz="0" w:space="0" w:color="auto"/>
                                                                  </w:divBdr>
                                                                  <w:divsChild>
                                                                    <w:div w:id="154996513">
                                                                      <w:marLeft w:val="0"/>
                                                                      <w:marRight w:val="0"/>
                                                                      <w:marTop w:val="0"/>
                                                                      <w:marBottom w:val="0"/>
                                                                      <w:divBdr>
                                                                        <w:top w:val="none" w:sz="0" w:space="0" w:color="auto"/>
                                                                        <w:left w:val="none" w:sz="0" w:space="0" w:color="auto"/>
                                                                        <w:bottom w:val="none" w:sz="0" w:space="0" w:color="auto"/>
                                                                        <w:right w:val="none" w:sz="0" w:space="0" w:color="auto"/>
                                                                      </w:divBdr>
                                                                      <w:divsChild>
                                                                        <w:div w:id="329064260">
                                                                          <w:marLeft w:val="0"/>
                                                                          <w:marRight w:val="0"/>
                                                                          <w:marTop w:val="0"/>
                                                                          <w:marBottom w:val="0"/>
                                                                          <w:divBdr>
                                                                            <w:top w:val="none" w:sz="0" w:space="0" w:color="auto"/>
                                                                            <w:left w:val="none" w:sz="0" w:space="0" w:color="auto"/>
                                                                            <w:bottom w:val="none" w:sz="0" w:space="0" w:color="auto"/>
                                                                            <w:right w:val="none" w:sz="0" w:space="0" w:color="auto"/>
                                                                          </w:divBdr>
                                                                          <w:divsChild>
                                                                            <w:div w:id="1788425290">
                                                                              <w:marLeft w:val="0"/>
                                                                              <w:marRight w:val="0"/>
                                                                              <w:marTop w:val="0"/>
                                                                              <w:marBottom w:val="0"/>
                                                                              <w:divBdr>
                                                                                <w:top w:val="none" w:sz="0" w:space="0" w:color="auto"/>
                                                                                <w:left w:val="none" w:sz="0" w:space="0" w:color="auto"/>
                                                                                <w:bottom w:val="none" w:sz="0" w:space="0" w:color="auto"/>
                                                                                <w:right w:val="none" w:sz="0" w:space="0" w:color="auto"/>
                                                                              </w:divBdr>
                                                                              <w:divsChild>
                                                                                <w:div w:id="1691757630">
                                                                                  <w:marLeft w:val="0"/>
                                                                                  <w:marRight w:val="0"/>
                                                                                  <w:marTop w:val="0"/>
                                                                                  <w:marBottom w:val="0"/>
                                                                                  <w:divBdr>
                                                                                    <w:top w:val="none" w:sz="0" w:space="0" w:color="auto"/>
                                                                                    <w:left w:val="none" w:sz="0" w:space="0" w:color="auto"/>
                                                                                    <w:bottom w:val="none" w:sz="0" w:space="0" w:color="auto"/>
                                                                                    <w:right w:val="none" w:sz="0" w:space="0" w:color="auto"/>
                                                                                  </w:divBdr>
                                                                                  <w:divsChild>
                                                                                    <w:div w:id="1972518569">
                                                                                      <w:marLeft w:val="0"/>
                                                                                      <w:marRight w:val="0"/>
                                                                                      <w:marTop w:val="0"/>
                                                                                      <w:marBottom w:val="0"/>
                                                                                      <w:divBdr>
                                                                                        <w:top w:val="none" w:sz="0" w:space="0" w:color="auto"/>
                                                                                        <w:left w:val="none" w:sz="0" w:space="0" w:color="auto"/>
                                                                                        <w:bottom w:val="none" w:sz="0" w:space="0" w:color="auto"/>
                                                                                        <w:right w:val="none" w:sz="0" w:space="0" w:color="auto"/>
                                                                                      </w:divBdr>
                                                                                      <w:divsChild>
                                                                                        <w:div w:id="19579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083971">
      <w:bodyDiv w:val="1"/>
      <w:marLeft w:val="0"/>
      <w:marRight w:val="0"/>
      <w:marTop w:val="0"/>
      <w:marBottom w:val="0"/>
      <w:divBdr>
        <w:top w:val="none" w:sz="0" w:space="0" w:color="auto"/>
        <w:left w:val="none" w:sz="0" w:space="0" w:color="auto"/>
        <w:bottom w:val="none" w:sz="0" w:space="0" w:color="auto"/>
        <w:right w:val="none" w:sz="0" w:space="0" w:color="auto"/>
      </w:divBdr>
      <w:divsChild>
        <w:div w:id="2095080690">
          <w:marLeft w:val="0"/>
          <w:marRight w:val="0"/>
          <w:marTop w:val="0"/>
          <w:marBottom w:val="0"/>
          <w:divBdr>
            <w:top w:val="none" w:sz="0" w:space="0" w:color="auto"/>
            <w:left w:val="none" w:sz="0" w:space="0" w:color="auto"/>
            <w:bottom w:val="none" w:sz="0" w:space="0" w:color="auto"/>
            <w:right w:val="none" w:sz="0" w:space="0" w:color="auto"/>
          </w:divBdr>
          <w:divsChild>
            <w:div w:id="1194226709">
              <w:marLeft w:val="0"/>
              <w:marRight w:val="0"/>
              <w:marTop w:val="0"/>
              <w:marBottom w:val="0"/>
              <w:divBdr>
                <w:top w:val="none" w:sz="0" w:space="0" w:color="auto"/>
                <w:left w:val="none" w:sz="0" w:space="0" w:color="auto"/>
                <w:bottom w:val="none" w:sz="0" w:space="0" w:color="auto"/>
                <w:right w:val="none" w:sz="0" w:space="0" w:color="auto"/>
              </w:divBdr>
              <w:divsChild>
                <w:div w:id="1388380726">
                  <w:marLeft w:val="0"/>
                  <w:marRight w:val="0"/>
                  <w:marTop w:val="0"/>
                  <w:marBottom w:val="0"/>
                  <w:divBdr>
                    <w:top w:val="none" w:sz="0" w:space="0" w:color="auto"/>
                    <w:left w:val="none" w:sz="0" w:space="0" w:color="auto"/>
                    <w:bottom w:val="none" w:sz="0" w:space="0" w:color="auto"/>
                    <w:right w:val="none" w:sz="0" w:space="0" w:color="auto"/>
                  </w:divBdr>
                  <w:divsChild>
                    <w:div w:id="1917322606">
                      <w:marLeft w:val="0"/>
                      <w:marRight w:val="0"/>
                      <w:marTop w:val="45"/>
                      <w:marBottom w:val="0"/>
                      <w:divBdr>
                        <w:top w:val="none" w:sz="0" w:space="0" w:color="auto"/>
                        <w:left w:val="none" w:sz="0" w:space="0" w:color="auto"/>
                        <w:bottom w:val="none" w:sz="0" w:space="0" w:color="auto"/>
                        <w:right w:val="none" w:sz="0" w:space="0" w:color="auto"/>
                      </w:divBdr>
                      <w:divsChild>
                        <w:div w:id="2089645758">
                          <w:marLeft w:val="0"/>
                          <w:marRight w:val="0"/>
                          <w:marTop w:val="0"/>
                          <w:marBottom w:val="0"/>
                          <w:divBdr>
                            <w:top w:val="none" w:sz="0" w:space="0" w:color="auto"/>
                            <w:left w:val="none" w:sz="0" w:space="0" w:color="auto"/>
                            <w:bottom w:val="none" w:sz="0" w:space="0" w:color="auto"/>
                            <w:right w:val="none" w:sz="0" w:space="0" w:color="auto"/>
                          </w:divBdr>
                          <w:divsChild>
                            <w:div w:id="858349398">
                              <w:marLeft w:val="2070"/>
                              <w:marRight w:val="3960"/>
                              <w:marTop w:val="0"/>
                              <w:marBottom w:val="0"/>
                              <w:divBdr>
                                <w:top w:val="none" w:sz="0" w:space="0" w:color="auto"/>
                                <w:left w:val="none" w:sz="0" w:space="0" w:color="auto"/>
                                <w:bottom w:val="none" w:sz="0" w:space="0" w:color="auto"/>
                                <w:right w:val="none" w:sz="0" w:space="0" w:color="auto"/>
                              </w:divBdr>
                              <w:divsChild>
                                <w:div w:id="1609661033">
                                  <w:marLeft w:val="0"/>
                                  <w:marRight w:val="0"/>
                                  <w:marTop w:val="0"/>
                                  <w:marBottom w:val="0"/>
                                  <w:divBdr>
                                    <w:top w:val="none" w:sz="0" w:space="0" w:color="auto"/>
                                    <w:left w:val="none" w:sz="0" w:space="0" w:color="auto"/>
                                    <w:bottom w:val="none" w:sz="0" w:space="0" w:color="auto"/>
                                    <w:right w:val="none" w:sz="0" w:space="0" w:color="auto"/>
                                  </w:divBdr>
                                  <w:divsChild>
                                    <w:div w:id="726687553">
                                      <w:marLeft w:val="0"/>
                                      <w:marRight w:val="0"/>
                                      <w:marTop w:val="0"/>
                                      <w:marBottom w:val="0"/>
                                      <w:divBdr>
                                        <w:top w:val="none" w:sz="0" w:space="0" w:color="auto"/>
                                        <w:left w:val="none" w:sz="0" w:space="0" w:color="auto"/>
                                        <w:bottom w:val="none" w:sz="0" w:space="0" w:color="auto"/>
                                        <w:right w:val="none" w:sz="0" w:space="0" w:color="auto"/>
                                      </w:divBdr>
                                      <w:divsChild>
                                        <w:div w:id="609288320">
                                          <w:marLeft w:val="0"/>
                                          <w:marRight w:val="0"/>
                                          <w:marTop w:val="0"/>
                                          <w:marBottom w:val="0"/>
                                          <w:divBdr>
                                            <w:top w:val="none" w:sz="0" w:space="0" w:color="auto"/>
                                            <w:left w:val="none" w:sz="0" w:space="0" w:color="auto"/>
                                            <w:bottom w:val="none" w:sz="0" w:space="0" w:color="auto"/>
                                            <w:right w:val="none" w:sz="0" w:space="0" w:color="auto"/>
                                          </w:divBdr>
                                          <w:divsChild>
                                            <w:div w:id="1200782876">
                                              <w:marLeft w:val="0"/>
                                              <w:marRight w:val="0"/>
                                              <w:marTop w:val="90"/>
                                              <w:marBottom w:val="0"/>
                                              <w:divBdr>
                                                <w:top w:val="none" w:sz="0" w:space="0" w:color="auto"/>
                                                <w:left w:val="none" w:sz="0" w:space="0" w:color="auto"/>
                                                <w:bottom w:val="none" w:sz="0" w:space="0" w:color="auto"/>
                                                <w:right w:val="none" w:sz="0" w:space="0" w:color="auto"/>
                                              </w:divBdr>
                                              <w:divsChild>
                                                <w:div w:id="1652715112">
                                                  <w:marLeft w:val="0"/>
                                                  <w:marRight w:val="0"/>
                                                  <w:marTop w:val="0"/>
                                                  <w:marBottom w:val="0"/>
                                                  <w:divBdr>
                                                    <w:top w:val="none" w:sz="0" w:space="0" w:color="auto"/>
                                                    <w:left w:val="none" w:sz="0" w:space="0" w:color="auto"/>
                                                    <w:bottom w:val="none" w:sz="0" w:space="0" w:color="auto"/>
                                                    <w:right w:val="none" w:sz="0" w:space="0" w:color="auto"/>
                                                  </w:divBdr>
                                                  <w:divsChild>
                                                    <w:div w:id="1433667160">
                                                      <w:marLeft w:val="0"/>
                                                      <w:marRight w:val="0"/>
                                                      <w:marTop w:val="0"/>
                                                      <w:marBottom w:val="0"/>
                                                      <w:divBdr>
                                                        <w:top w:val="none" w:sz="0" w:space="0" w:color="auto"/>
                                                        <w:left w:val="none" w:sz="0" w:space="0" w:color="auto"/>
                                                        <w:bottom w:val="none" w:sz="0" w:space="0" w:color="auto"/>
                                                        <w:right w:val="none" w:sz="0" w:space="0" w:color="auto"/>
                                                      </w:divBdr>
                                                      <w:divsChild>
                                                        <w:div w:id="1494447658">
                                                          <w:marLeft w:val="0"/>
                                                          <w:marRight w:val="0"/>
                                                          <w:marTop w:val="0"/>
                                                          <w:marBottom w:val="390"/>
                                                          <w:divBdr>
                                                            <w:top w:val="none" w:sz="0" w:space="0" w:color="auto"/>
                                                            <w:left w:val="none" w:sz="0" w:space="0" w:color="auto"/>
                                                            <w:bottom w:val="none" w:sz="0" w:space="0" w:color="auto"/>
                                                            <w:right w:val="none" w:sz="0" w:space="0" w:color="auto"/>
                                                          </w:divBdr>
                                                          <w:divsChild>
                                                            <w:div w:id="1535457797">
                                                              <w:marLeft w:val="0"/>
                                                              <w:marRight w:val="0"/>
                                                              <w:marTop w:val="0"/>
                                                              <w:marBottom w:val="0"/>
                                                              <w:divBdr>
                                                                <w:top w:val="none" w:sz="0" w:space="0" w:color="auto"/>
                                                                <w:left w:val="none" w:sz="0" w:space="0" w:color="auto"/>
                                                                <w:bottom w:val="none" w:sz="0" w:space="0" w:color="auto"/>
                                                                <w:right w:val="none" w:sz="0" w:space="0" w:color="auto"/>
                                                              </w:divBdr>
                                                              <w:divsChild>
                                                                <w:div w:id="998464604">
                                                                  <w:marLeft w:val="0"/>
                                                                  <w:marRight w:val="0"/>
                                                                  <w:marTop w:val="0"/>
                                                                  <w:marBottom w:val="0"/>
                                                                  <w:divBdr>
                                                                    <w:top w:val="none" w:sz="0" w:space="0" w:color="auto"/>
                                                                    <w:left w:val="none" w:sz="0" w:space="0" w:color="auto"/>
                                                                    <w:bottom w:val="none" w:sz="0" w:space="0" w:color="auto"/>
                                                                    <w:right w:val="none" w:sz="0" w:space="0" w:color="auto"/>
                                                                  </w:divBdr>
                                                                  <w:divsChild>
                                                                    <w:div w:id="208423476">
                                                                      <w:marLeft w:val="0"/>
                                                                      <w:marRight w:val="0"/>
                                                                      <w:marTop w:val="0"/>
                                                                      <w:marBottom w:val="0"/>
                                                                      <w:divBdr>
                                                                        <w:top w:val="none" w:sz="0" w:space="0" w:color="auto"/>
                                                                        <w:left w:val="none" w:sz="0" w:space="0" w:color="auto"/>
                                                                        <w:bottom w:val="none" w:sz="0" w:space="0" w:color="auto"/>
                                                                        <w:right w:val="none" w:sz="0" w:space="0" w:color="auto"/>
                                                                      </w:divBdr>
                                                                      <w:divsChild>
                                                                        <w:div w:id="2059473711">
                                                                          <w:marLeft w:val="0"/>
                                                                          <w:marRight w:val="0"/>
                                                                          <w:marTop w:val="0"/>
                                                                          <w:marBottom w:val="0"/>
                                                                          <w:divBdr>
                                                                            <w:top w:val="none" w:sz="0" w:space="0" w:color="auto"/>
                                                                            <w:left w:val="none" w:sz="0" w:space="0" w:color="auto"/>
                                                                            <w:bottom w:val="none" w:sz="0" w:space="0" w:color="auto"/>
                                                                            <w:right w:val="none" w:sz="0" w:space="0" w:color="auto"/>
                                                                          </w:divBdr>
                                                                          <w:divsChild>
                                                                            <w:div w:id="159780381">
                                                                              <w:marLeft w:val="0"/>
                                                                              <w:marRight w:val="0"/>
                                                                              <w:marTop w:val="0"/>
                                                                              <w:marBottom w:val="0"/>
                                                                              <w:divBdr>
                                                                                <w:top w:val="none" w:sz="0" w:space="0" w:color="auto"/>
                                                                                <w:left w:val="none" w:sz="0" w:space="0" w:color="auto"/>
                                                                                <w:bottom w:val="none" w:sz="0" w:space="0" w:color="auto"/>
                                                                                <w:right w:val="none" w:sz="0" w:space="0" w:color="auto"/>
                                                                              </w:divBdr>
                                                                              <w:divsChild>
                                                                                <w:div w:id="1654598105">
                                                                                  <w:marLeft w:val="0"/>
                                                                                  <w:marRight w:val="0"/>
                                                                                  <w:marTop w:val="0"/>
                                                                                  <w:marBottom w:val="0"/>
                                                                                  <w:divBdr>
                                                                                    <w:top w:val="none" w:sz="0" w:space="0" w:color="auto"/>
                                                                                    <w:left w:val="none" w:sz="0" w:space="0" w:color="auto"/>
                                                                                    <w:bottom w:val="none" w:sz="0" w:space="0" w:color="auto"/>
                                                                                    <w:right w:val="none" w:sz="0" w:space="0" w:color="auto"/>
                                                                                  </w:divBdr>
                                                                                  <w:divsChild>
                                                                                    <w:div w:id="1471510008">
                                                                                      <w:marLeft w:val="0"/>
                                                                                      <w:marRight w:val="0"/>
                                                                                      <w:marTop w:val="0"/>
                                                                                      <w:marBottom w:val="0"/>
                                                                                      <w:divBdr>
                                                                                        <w:top w:val="none" w:sz="0" w:space="0" w:color="auto"/>
                                                                                        <w:left w:val="none" w:sz="0" w:space="0" w:color="auto"/>
                                                                                        <w:bottom w:val="none" w:sz="0" w:space="0" w:color="auto"/>
                                                                                        <w:right w:val="none" w:sz="0" w:space="0" w:color="auto"/>
                                                                                      </w:divBdr>
                                                                                      <w:divsChild>
                                                                                        <w:div w:id="21396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091856">
      <w:bodyDiv w:val="1"/>
      <w:marLeft w:val="0"/>
      <w:marRight w:val="0"/>
      <w:marTop w:val="0"/>
      <w:marBottom w:val="0"/>
      <w:divBdr>
        <w:top w:val="none" w:sz="0" w:space="0" w:color="auto"/>
        <w:left w:val="none" w:sz="0" w:space="0" w:color="auto"/>
        <w:bottom w:val="none" w:sz="0" w:space="0" w:color="auto"/>
        <w:right w:val="none" w:sz="0" w:space="0" w:color="auto"/>
      </w:divBdr>
      <w:divsChild>
        <w:div w:id="1656179014">
          <w:marLeft w:val="446"/>
          <w:marRight w:val="0"/>
          <w:marTop w:val="0"/>
          <w:marBottom w:val="0"/>
          <w:divBdr>
            <w:top w:val="none" w:sz="0" w:space="0" w:color="auto"/>
            <w:left w:val="none" w:sz="0" w:space="0" w:color="auto"/>
            <w:bottom w:val="none" w:sz="0" w:space="0" w:color="auto"/>
            <w:right w:val="none" w:sz="0" w:space="0" w:color="auto"/>
          </w:divBdr>
        </w:div>
        <w:div w:id="341011308">
          <w:marLeft w:val="1166"/>
          <w:marRight w:val="0"/>
          <w:marTop w:val="0"/>
          <w:marBottom w:val="0"/>
          <w:divBdr>
            <w:top w:val="none" w:sz="0" w:space="0" w:color="auto"/>
            <w:left w:val="none" w:sz="0" w:space="0" w:color="auto"/>
            <w:bottom w:val="none" w:sz="0" w:space="0" w:color="auto"/>
            <w:right w:val="none" w:sz="0" w:space="0" w:color="auto"/>
          </w:divBdr>
        </w:div>
        <w:div w:id="1653751072">
          <w:marLeft w:val="1166"/>
          <w:marRight w:val="0"/>
          <w:marTop w:val="0"/>
          <w:marBottom w:val="0"/>
          <w:divBdr>
            <w:top w:val="none" w:sz="0" w:space="0" w:color="auto"/>
            <w:left w:val="none" w:sz="0" w:space="0" w:color="auto"/>
            <w:bottom w:val="none" w:sz="0" w:space="0" w:color="auto"/>
            <w:right w:val="none" w:sz="0" w:space="0" w:color="auto"/>
          </w:divBdr>
        </w:div>
        <w:div w:id="1603148692">
          <w:marLeft w:val="1166"/>
          <w:marRight w:val="0"/>
          <w:marTop w:val="0"/>
          <w:marBottom w:val="0"/>
          <w:divBdr>
            <w:top w:val="none" w:sz="0" w:space="0" w:color="auto"/>
            <w:left w:val="none" w:sz="0" w:space="0" w:color="auto"/>
            <w:bottom w:val="none" w:sz="0" w:space="0" w:color="auto"/>
            <w:right w:val="none" w:sz="0" w:space="0" w:color="auto"/>
          </w:divBdr>
        </w:div>
        <w:div w:id="1436318352">
          <w:marLeft w:val="1166"/>
          <w:marRight w:val="0"/>
          <w:marTop w:val="0"/>
          <w:marBottom w:val="0"/>
          <w:divBdr>
            <w:top w:val="none" w:sz="0" w:space="0" w:color="auto"/>
            <w:left w:val="none" w:sz="0" w:space="0" w:color="auto"/>
            <w:bottom w:val="none" w:sz="0" w:space="0" w:color="auto"/>
            <w:right w:val="none" w:sz="0" w:space="0" w:color="auto"/>
          </w:divBdr>
        </w:div>
        <w:div w:id="1311400959">
          <w:marLeft w:val="1166"/>
          <w:marRight w:val="0"/>
          <w:marTop w:val="0"/>
          <w:marBottom w:val="0"/>
          <w:divBdr>
            <w:top w:val="none" w:sz="0" w:space="0" w:color="auto"/>
            <w:left w:val="none" w:sz="0" w:space="0" w:color="auto"/>
            <w:bottom w:val="none" w:sz="0" w:space="0" w:color="auto"/>
            <w:right w:val="none" w:sz="0" w:space="0" w:color="auto"/>
          </w:divBdr>
        </w:div>
      </w:divsChild>
    </w:div>
    <w:div w:id="1338650497">
      <w:bodyDiv w:val="1"/>
      <w:marLeft w:val="0"/>
      <w:marRight w:val="0"/>
      <w:marTop w:val="0"/>
      <w:marBottom w:val="0"/>
      <w:divBdr>
        <w:top w:val="none" w:sz="0" w:space="0" w:color="auto"/>
        <w:left w:val="none" w:sz="0" w:space="0" w:color="auto"/>
        <w:bottom w:val="none" w:sz="0" w:space="0" w:color="auto"/>
        <w:right w:val="none" w:sz="0" w:space="0" w:color="auto"/>
      </w:divBdr>
      <w:divsChild>
        <w:div w:id="814184031">
          <w:marLeft w:val="0"/>
          <w:marRight w:val="0"/>
          <w:marTop w:val="0"/>
          <w:marBottom w:val="0"/>
          <w:divBdr>
            <w:top w:val="none" w:sz="0" w:space="0" w:color="auto"/>
            <w:left w:val="none" w:sz="0" w:space="0" w:color="auto"/>
            <w:bottom w:val="none" w:sz="0" w:space="0" w:color="auto"/>
            <w:right w:val="none" w:sz="0" w:space="0" w:color="auto"/>
          </w:divBdr>
          <w:divsChild>
            <w:div w:id="1088620722">
              <w:marLeft w:val="0"/>
              <w:marRight w:val="0"/>
              <w:marTop w:val="0"/>
              <w:marBottom w:val="0"/>
              <w:divBdr>
                <w:top w:val="none" w:sz="0" w:space="0" w:color="auto"/>
                <w:left w:val="none" w:sz="0" w:space="0" w:color="auto"/>
                <w:bottom w:val="none" w:sz="0" w:space="0" w:color="auto"/>
                <w:right w:val="none" w:sz="0" w:space="0" w:color="auto"/>
              </w:divBdr>
              <w:divsChild>
                <w:div w:id="1955096895">
                  <w:marLeft w:val="0"/>
                  <w:marRight w:val="0"/>
                  <w:marTop w:val="0"/>
                  <w:marBottom w:val="0"/>
                  <w:divBdr>
                    <w:top w:val="none" w:sz="0" w:space="0" w:color="auto"/>
                    <w:left w:val="none" w:sz="0" w:space="0" w:color="auto"/>
                    <w:bottom w:val="none" w:sz="0" w:space="0" w:color="auto"/>
                    <w:right w:val="none" w:sz="0" w:space="0" w:color="auto"/>
                  </w:divBdr>
                  <w:divsChild>
                    <w:div w:id="1117870923">
                      <w:marLeft w:val="0"/>
                      <w:marRight w:val="0"/>
                      <w:marTop w:val="45"/>
                      <w:marBottom w:val="0"/>
                      <w:divBdr>
                        <w:top w:val="none" w:sz="0" w:space="0" w:color="auto"/>
                        <w:left w:val="none" w:sz="0" w:space="0" w:color="auto"/>
                        <w:bottom w:val="none" w:sz="0" w:space="0" w:color="auto"/>
                        <w:right w:val="none" w:sz="0" w:space="0" w:color="auto"/>
                      </w:divBdr>
                      <w:divsChild>
                        <w:div w:id="2058624551">
                          <w:marLeft w:val="0"/>
                          <w:marRight w:val="0"/>
                          <w:marTop w:val="0"/>
                          <w:marBottom w:val="0"/>
                          <w:divBdr>
                            <w:top w:val="none" w:sz="0" w:space="0" w:color="auto"/>
                            <w:left w:val="none" w:sz="0" w:space="0" w:color="auto"/>
                            <w:bottom w:val="none" w:sz="0" w:space="0" w:color="auto"/>
                            <w:right w:val="none" w:sz="0" w:space="0" w:color="auto"/>
                          </w:divBdr>
                          <w:divsChild>
                            <w:div w:id="136991940">
                              <w:marLeft w:val="2070"/>
                              <w:marRight w:val="3960"/>
                              <w:marTop w:val="0"/>
                              <w:marBottom w:val="0"/>
                              <w:divBdr>
                                <w:top w:val="none" w:sz="0" w:space="0" w:color="auto"/>
                                <w:left w:val="none" w:sz="0" w:space="0" w:color="auto"/>
                                <w:bottom w:val="none" w:sz="0" w:space="0" w:color="auto"/>
                                <w:right w:val="none" w:sz="0" w:space="0" w:color="auto"/>
                              </w:divBdr>
                              <w:divsChild>
                                <w:div w:id="812066325">
                                  <w:marLeft w:val="0"/>
                                  <w:marRight w:val="0"/>
                                  <w:marTop w:val="0"/>
                                  <w:marBottom w:val="0"/>
                                  <w:divBdr>
                                    <w:top w:val="none" w:sz="0" w:space="0" w:color="auto"/>
                                    <w:left w:val="none" w:sz="0" w:space="0" w:color="auto"/>
                                    <w:bottom w:val="none" w:sz="0" w:space="0" w:color="auto"/>
                                    <w:right w:val="none" w:sz="0" w:space="0" w:color="auto"/>
                                  </w:divBdr>
                                  <w:divsChild>
                                    <w:div w:id="1369453356">
                                      <w:marLeft w:val="0"/>
                                      <w:marRight w:val="0"/>
                                      <w:marTop w:val="0"/>
                                      <w:marBottom w:val="0"/>
                                      <w:divBdr>
                                        <w:top w:val="none" w:sz="0" w:space="0" w:color="auto"/>
                                        <w:left w:val="none" w:sz="0" w:space="0" w:color="auto"/>
                                        <w:bottom w:val="none" w:sz="0" w:space="0" w:color="auto"/>
                                        <w:right w:val="none" w:sz="0" w:space="0" w:color="auto"/>
                                      </w:divBdr>
                                      <w:divsChild>
                                        <w:div w:id="88625286">
                                          <w:marLeft w:val="0"/>
                                          <w:marRight w:val="0"/>
                                          <w:marTop w:val="0"/>
                                          <w:marBottom w:val="0"/>
                                          <w:divBdr>
                                            <w:top w:val="none" w:sz="0" w:space="0" w:color="auto"/>
                                            <w:left w:val="none" w:sz="0" w:space="0" w:color="auto"/>
                                            <w:bottom w:val="none" w:sz="0" w:space="0" w:color="auto"/>
                                            <w:right w:val="none" w:sz="0" w:space="0" w:color="auto"/>
                                          </w:divBdr>
                                          <w:divsChild>
                                            <w:div w:id="1725788471">
                                              <w:marLeft w:val="0"/>
                                              <w:marRight w:val="0"/>
                                              <w:marTop w:val="90"/>
                                              <w:marBottom w:val="0"/>
                                              <w:divBdr>
                                                <w:top w:val="none" w:sz="0" w:space="0" w:color="auto"/>
                                                <w:left w:val="none" w:sz="0" w:space="0" w:color="auto"/>
                                                <w:bottom w:val="none" w:sz="0" w:space="0" w:color="auto"/>
                                                <w:right w:val="none" w:sz="0" w:space="0" w:color="auto"/>
                                              </w:divBdr>
                                              <w:divsChild>
                                                <w:div w:id="1879314669">
                                                  <w:marLeft w:val="0"/>
                                                  <w:marRight w:val="0"/>
                                                  <w:marTop w:val="0"/>
                                                  <w:marBottom w:val="0"/>
                                                  <w:divBdr>
                                                    <w:top w:val="none" w:sz="0" w:space="0" w:color="auto"/>
                                                    <w:left w:val="none" w:sz="0" w:space="0" w:color="auto"/>
                                                    <w:bottom w:val="none" w:sz="0" w:space="0" w:color="auto"/>
                                                    <w:right w:val="none" w:sz="0" w:space="0" w:color="auto"/>
                                                  </w:divBdr>
                                                  <w:divsChild>
                                                    <w:div w:id="1573655813">
                                                      <w:marLeft w:val="0"/>
                                                      <w:marRight w:val="0"/>
                                                      <w:marTop w:val="0"/>
                                                      <w:marBottom w:val="0"/>
                                                      <w:divBdr>
                                                        <w:top w:val="none" w:sz="0" w:space="0" w:color="auto"/>
                                                        <w:left w:val="none" w:sz="0" w:space="0" w:color="auto"/>
                                                        <w:bottom w:val="none" w:sz="0" w:space="0" w:color="auto"/>
                                                        <w:right w:val="none" w:sz="0" w:space="0" w:color="auto"/>
                                                      </w:divBdr>
                                                      <w:divsChild>
                                                        <w:div w:id="1304237453">
                                                          <w:marLeft w:val="0"/>
                                                          <w:marRight w:val="0"/>
                                                          <w:marTop w:val="0"/>
                                                          <w:marBottom w:val="390"/>
                                                          <w:divBdr>
                                                            <w:top w:val="none" w:sz="0" w:space="0" w:color="auto"/>
                                                            <w:left w:val="none" w:sz="0" w:space="0" w:color="auto"/>
                                                            <w:bottom w:val="none" w:sz="0" w:space="0" w:color="auto"/>
                                                            <w:right w:val="none" w:sz="0" w:space="0" w:color="auto"/>
                                                          </w:divBdr>
                                                          <w:divsChild>
                                                            <w:div w:id="576476712">
                                                              <w:marLeft w:val="0"/>
                                                              <w:marRight w:val="0"/>
                                                              <w:marTop w:val="0"/>
                                                              <w:marBottom w:val="0"/>
                                                              <w:divBdr>
                                                                <w:top w:val="none" w:sz="0" w:space="0" w:color="auto"/>
                                                                <w:left w:val="none" w:sz="0" w:space="0" w:color="auto"/>
                                                                <w:bottom w:val="none" w:sz="0" w:space="0" w:color="auto"/>
                                                                <w:right w:val="none" w:sz="0" w:space="0" w:color="auto"/>
                                                              </w:divBdr>
                                                              <w:divsChild>
                                                                <w:div w:id="1130271">
                                                                  <w:marLeft w:val="0"/>
                                                                  <w:marRight w:val="0"/>
                                                                  <w:marTop w:val="0"/>
                                                                  <w:marBottom w:val="0"/>
                                                                  <w:divBdr>
                                                                    <w:top w:val="none" w:sz="0" w:space="0" w:color="auto"/>
                                                                    <w:left w:val="none" w:sz="0" w:space="0" w:color="auto"/>
                                                                    <w:bottom w:val="none" w:sz="0" w:space="0" w:color="auto"/>
                                                                    <w:right w:val="none" w:sz="0" w:space="0" w:color="auto"/>
                                                                  </w:divBdr>
                                                                  <w:divsChild>
                                                                    <w:div w:id="867179105">
                                                                      <w:marLeft w:val="0"/>
                                                                      <w:marRight w:val="0"/>
                                                                      <w:marTop w:val="0"/>
                                                                      <w:marBottom w:val="0"/>
                                                                      <w:divBdr>
                                                                        <w:top w:val="none" w:sz="0" w:space="0" w:color="auto"/>
                                                                        <w:left w:val="none" w:sz="0" w:space="0" w:color="auto"/>
                                                                        <w:bottom w:val="none" w:sz="0" w:space="0" w:color="auto"/>
                                                                        <w:right w:val="none" w:sz="0" w:space="0" w:color="auto"/>
                                                                      </w:divBdr>
                                                                      <w:divsChild>
                                                                        <w:div w:id="1044719750">
                                                                          <w:marLeft w:val="0"/>
                                                                          <w:marRight w:val="0"/>
                                                                          <w:marTop w:val="0"/>
                                                                          <w:marBottom w:val="0"/>
                                                                          <w:divBdr>
                                                                            <w:top w:val="none" w:sz="0" w:space="0" w:color="auto"/>
                                                                            <w:left w:val="none" w:sz="0" w:space="0" w:color="auto"/>
                                                                            <w:bottom w:val="none" w:sz="0" w:space="0" w:color="auto"/>
                                                                            <w:right w:val="none" w:sz="0" w:space="0" w:color="auto"/>
                                                                          </w:divBdr>
                                                                          <w:divsChild>
                                                                            <w:div w:id="1953124259">
                                                                              <w:marLeft w:val="0"/>
                                                                              <w:marRight w:val="0"/>
                                                                              <w:marTop w:val="0"/>
                                                                              <w:marBottom w:val="0"/>
                                                                              <w:divBdr>
                                                                                <w:top w:val="none" w:sz="0" w:space="0" w:color="auto"/>
                                                                                <w:left w:val="none" w:sz="0" w:space="0" w:color="auto"/>
                                                                                <w:bottom w:val="none" w:sz="0" w:space="0" w:color="auto"/>
                                                                                <w:right w:val="none" w:sz="0" w:space="0" w:color="auto"/>
                                                                              </w:divBdr>
                                                                              <w:divsChild>
                                                                                <w:div w:id="799152022">
                                                                                  <w:marLeft w:val="0"/>
                                                                                  <w:marRight w:val="0"/>
                                                                                  <w:marTop w:val="0"/>
                                                                                  <w:marBottom w:val="0"/>
                                                                                  <w:divBdr>
                                                                                    <w:top w:val="none" w:sz="0" w:space="0" w:color="auto"/>
                                                                                    <w:left w:val="none" w:sz="0" w:space="0" w:color="auto"/>
                                                                                    <w:bottom w:val="none" w:sz="0" w:space="0" w:color="auto"/>
                                                                                    <w:right w:val="none" w:sz="0" w:space="0" w:color="auto"/>
                                                                                  </w:divBdr>
                                                                                  <w:divsChild>
                                                                                    <w:div w:id="88738441">
                                                                                      <w:marLeft w:val="0"/>
                                                                                      <w:marRight w:val="0"/>
                                                                                      <w:marTop w:val="0"/>
                                                                                      <w:marBottom w:val="0"/>
                                                                                      <w:divBdr>
                                                                                        <w:top w:val="none" w:sz="0" w:space="0" w:color="auto"/>
                                                                                        <w:left w:val="none" w:sz="0" w:space="0" w:color="auto"/>
                                                                                        <w:bottom w:val="none" w:sz="0" w:space="0" w:color="auto"/>
                                                                                        <w:right w:val="none" w:sz="0" w:space="0" w:color="auto"/>
                                                                                      </w:divBdr>
                                                                                      <w:divsChild>
                                                                                        <w:div w:id="3465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328119">
      <w:bodyDiv w:val="1"/>
      <w:marLeft w:val="0"/>
      <w:marRight w:val="0"/>
      <w:marTop w:val="0"/>
      <w:marBottom w:val="0"/>
      <w:divBdr>
        <w:top w:val="none" w:sz="0" w:space="0" w:color="auto"/>
        <w:left w:val="none" w:sz="0" w:space="0" w:color="auto"/>
        <w:bottom w:val="none" w:sz="0" w:space="0" w:color="auto"/>
        <w:right w:val="none" w:sz="0" w:space="0" w:color="auto"/>
      </w:divBdr>
    </w:div>
    <w:div w:id="1487554945">
      <w:bodyDiv w:val="1"/>
      <w:marLeft w:val="0"/>
      <w:marRight w:val="0"/>
      <w:marTop w:val="0"/>
      <w:marBottom w:val="0"/>
      <w:divBdr>
        <w:top w:val="none" w:sz="0" w:space="0" w:color="auto"/>
        <w:left w:val="none" w:sz="0" w:space="0" w:color="auto"/>
        <w:bottom w:val="none" w:sz="0" w:space="0" w:color="auto"/>
        <w:right w:val="none" w:sz="0" w:space="0" w:color="auto"/>
      </w:divBdr>
      <w:divsChild>
        <w:div w:id="892734721">
          <w:marLeft w:val="1166"/>
          <w:marRight w:val="0"/>
          <w:marTop w:val="0"/>
          <w:marBottom w:val="0"/>
          <w:divBdr>
            <w:top w:val="none" w:sz="0" w:space="0" w:color="auto"/>
            <w:left w:val="none" w:sz="0" w:space="0" w:color="auto"/>
            <w:bottom w:val="none" w:sz="0" w:space="0" w:color="auto"/>
            <w:right w:val="none" w:sz="0" w:space="0" w:color="auto"/>
          </w:divBdr>
        </w:div>
        <w:div w:id="600260346">
          <w:marLeft w:val="1166"/>
          <w:marRight w:val="0"/>
          <w:marTop w:val="0"/>
          <w:marBottom w:val="0"/>
          <w:divBdr>
            <w:top w:val="none" w:sz="0" w:space="0" w:color="auto"/>
            <w:left w:val="none" w:sz="0" w:space="0" w:color="auto"/>
            <w:bottom w:val="none" w:sz="0" w:space="0" w:color="auto"/>
            <w:right w:val="none" w:sz="0" w:space="0" w:color="auto"/>
          </w:divBdr>
        </w:div>
        <w:div w:id="850951613">
          <w:marLeft w:val="1166"/>
          <w:marRight w:val="0"/>
          <w:marTop w:val="0"/>
          <w:marBottom w:val="0"/>
          <w:divBdr>
            <w:top w:val="none" w:sz="0" w:space="0" w:color="auto"/>
            <w:left w:val="none" w:sz="0" w:space="0" w:color="auto"/>
            <w:bottom w:val="none" w:sz="0" w:space="0" w:color="auto"/>
            <w:right w:val="none" w:sz="0" w:space="0" w:color="auto"/>
          </w:divBdr>
        </w:div>
      </w:divsChild>
    </w:div>
    <w:div w:id="1502813981">
      <w:bodyDiv w:val="1"/>
      <w:marLeft w:val="0"/>
      <w:marRight w:val="0"/>
      <w:marTop w:val="0"/>
      <w:marBottom w:val="0"/>
      <w:divBdr>
        <w:top w:val="none" w:sz="0" w:space="0" w:color="auto"/>
        <w:left w:val="none" w:sz="0" w:space="0" w:color="auto"/>
        <w:bottom w:val="none" w:sz="0" w:space="0" w:color="auto"/>
        <w:right w:val="none" w:sz="0" w:space="0" w:color="auto"/>
      </w:divBdr>
      <w:divsChild>
        <w:div w:id="792944305">
          <w:marLeft w:val="0"/>
          <w:marRight w:val="0"/>
          <w:marTop w:val="0"/>
          <w:marBottom w:val="0"/>
          <w:divBdr>
            <w:top w:val="none" w:sz="0" w:space="0" w:color="auto"/>
            <w:left w:val="none" w:sz="0" w:space="0" w:color="auto"/>
            <w:bottom w:val="none" w:sz="0" w:space="0" w:color="auto"/>
            <w:right w:val="none" w:sz="0" w:space="0" w:color="auto"/>
          </w:divBdr>
          <w:divsChild>
            <w:div w:id="342975743">
              <w:marLeft w:val="0"/>
              <w:marRight w:val="0"/>
              <w:marTop w:val="0"/>
              <w:marBottom w:val="0"/>
              <w:divBdr>
                <w:top w:val="none" w:sz="0" w:space="0" w:color="auto"/>
                <w:left w:val="none" w:sz="0" w:space="0" w:color="auto"/>
                <w:bottom w:val="none" w:sz="0" w:space="0" w:color="auto"/>
                <w:right w:val="none" w:sz="0" w:space="0" w:color="auto"/>
              </w:divBdr>
              <w:divsChild>
                <w:div w:id="2066023358">
                  <w:marLeft w:val="0"/>
                  <w:marRight w:val="0"/>
                  <w:marTop w:val="0"/>
                  <w:marBottom w:val="0"/>
                  <w:divBdr>
                    <w:top w:val="none" w:sz="0" w:space="0" w:color="auto"/>
                    <w:left w:val="none" w:sz="0" w:space="0" w:color="auto"/>
                    <w:bottom w:val="none" w:sz="0" w:space="0" w:color="auto"/>
                    <w:right w:val="none" w:sz="0" w:space="0" w:color="auto"/>
                  </w:divBdr>
                  <w:divsChild>
                    <w:div w:id="237175674">
                      <w:marLeft w:val="0"/>
                      <w:marRight w:val="0"/>
                      <w:marTop w:val="45"/>
                      <w:marBottom w:val="0"/>
                      <w:divBdr>
                        <w:top w:val="none" w:sz="0" w:space="0" w:color="auto"/>
                        <w:left w:val="none" w:sz="0" w:space="0" w:color="auto"/>
                        <w:bottom w:val="none" w:sz="0" w:space="0" w:color="auto"/>
                        <w:right w:val="none" w:sz="0" w:space="0" w:color="auto"/>
                      </w:divBdr>
                      <w:divsChild>
                        <w:div w:id="444275971">
                          <w:marLeft w:val="0"/>
                          <w:marRight w:val="0"/>
                          <w:marTop w:val="0"/>
                          <w:marBottom w:val="0"/>
                          <w:divBdr>
                            <w:top w:val="none" w:sz="0" w:space="0" w:color="auto"/>
                            <w:left w:val="none" w:sz="0" w:space="0" w:color="auto"/>
                            <w:bottom w:val="none" w:sz="0" w:space="0" w:color="auto"/>
                            <w:right w:val="none" w:sz="0" w:space="0" w:color="auto"/>
                          </w:divBdr>
                          <w:divsChild>
                            <w:div w:id="638920224">
                              <w:marLeft w:val="2070"/>
                              <w:marRight w:val="3960"/>
                              <w:marTop w:val="0"/>
                              <w:marBottom w:val="0"/>
                              <w:divBdr>
                                <w:top w:val="none" w:sz="0" w:space="0" w:color="auto"/>
                                <w:left w:val="none" w:sz="0" w:space="0" w:color="auto"/>
                                <w:bottom w:val="none" w:sz="0" w:space="0" w:color="auto"/>
                                <w:right w:val="none" w:sz="0" w:space="0" w:color="auto"/>
                              </w:divBdr>
                              <w:divsChild>
                                <w:div w:id="536817051">
                                  <w:marLeft w:val="0"/>
                                  <w:marRight w:val="0"/>
                                  <w:marTop w:val="0"/>
                                  <w:marBottom w:val="0"/>
                                  <w:divBdr>
                                    <w:top w:val="none" w:sz="0" w:space="0" w:color="auto"/>
                                    <w:left w:val="none" w:sz="0" w:space="0" w:color="auto"/>
                                    <w:bottom w:val="none" w:sz="0" w:space="0" w:color="auto"/>
                                    <w:right w:val="none" w:sz="0" w:space="0" w:color="auto"/>
                                  </w:divBdr>
                                  <w:divsChild>
                                    <w:div w:id="2086367938">
                                      <w:marLeft w:val="0"/>
                                      <w:marRight w:val="0"/>
                                      <w:marTop w:val="0"/>
                                      <w:marBottom w:val="0"/>
                                      <w:divBdr>
                                        <w:top w:val="none" w:sz="0" w:space="0" w:color="auto"/>
                                        <w:left w:val="none" w:sz="0" w:space="0" w:color="auto"/>
                                        <w:bottom w:val="none" w:sz="0" w:space="0" w:color="auto"/>
                                        <w:right w:val="none" w:sz="0" w:space="0" w:color="auto"/>
                                      </w:divBdr>
                                      <w:divsChild>
                                        <w:div w:id="579290290">
                                          <w:marLeft w:val="0"/>
                                          <w:marRight w:val="0"/>
                                          <w:marTop w:val="0"/>
                                          <w:marBottom w:val="0"/>
                                          <w:divBdr>
                                            <w:top w:val="none" w:sz="0" w:space="0" w:color="auto"/>
                                            <w:left w:val="none" w:sz="0" w:space="0" w:color="auto"/>
                                            <w:bottom w:val="none" w:sz="0" w:space="0" w:color="auto"/>
                                            <w:right w:val="none" w:sz="0" w:space="0" w:color="auto"/>
                                          </w:divBdr>
                                          <w:divsChild>
                                            <w:div w:id="1923559652">
                                              <w:marLeft w:val="0"/>
                                              <w:marRight w:val="0"/>
                                              <w:marTop w:val="90"/>
                                              <w:marBottom w:val="0"/>
                                              <w:divBdr>
                                                <w:top w:val="none" w:sz="0" w:space="0" w:color="auto"/>
                                                <w:left w:val="none" w:sz="0" w:space="0" w:color="auto"/>
                                                <w:bottom w:val="none" w:sz="0" w:space="0" w:color="auto"/>
                                                <w:right w:val="none" w:sz="0" w:space="0" w:color="auto"/>
                                              </w:divBdr>
                                              <w:divsChild>
                                                <w:div w:id="1625187208">
                                                  <w:marLeft w:val="0"/>
                                                  <w:marRight w:val="0"/>
                                                  <w:marTop w:val="0"/>
                                                  <w:marBottom w:val="0"/>
                                                  <w:divBdr>
                                                    <w:top w:val="none" w:sz="0" w:space="0" w:color="auto"/>
                                                    <w:left w:val="none" w:sz="0" w:space="0" w:color="auto"/>
                                                    <w:bottom w:val="none" w:sz="0" w:space="0" w:color="auto"/>
                                                    <w:right w:val="none" w:sz="0" w:space="0" w:color="auto"/>
                                                  </w:divBdr>
                                                  <w:divsChild>
                                                    <w:div w:id="1414817631">
                                                      <w:marLeft w:val="0"/>
                                                      <w:marRight w:val="0"/>
                                                      <w:marTop w:val="0"/>
                                                      <w:marBottom w:val="0"/>
                                                      <w:divBdr>
                                                        <w:top w:val="none" w:sz="0" w:space="0" w:color="auto"/>
                                                        <w:left w:val="none" w:sz="0" w:space="0" w:color="auto"/>
                                                        <w:bottom w:val="none" w:sz="0" w:space="0" w:color="auto"/>
                                                        <w:right w:val="none" w:sz="0" w:space="0" w:color="auto"/>
                                                      </w:divBdr>
                                                      <w:divsChild>
                                                        <w:div w:id="1335650524">
                                                          <w:marLeft w:val="0"/>
                                                          <w:marRight w:val="0"/>
                                                          <w:marTop w:val="0"/>
                                                          <w:marBottom w:val="390"/>
                                                          <w:divBdr>
                                                            <w:top w:val="none" w:sz="0" w:space="0" w:color="auto"/>
                                                            <w:left w:val="none" w:sz="0" w:space="0" w:color="auto"/>
                                                            <w:bottom w:val="none" w:sz="0" w:space="0" w:color="auto"/>
                                                            <w:right w:val="none" w:sz="0" w:space="0" w:color="auto"/>
                                                          </w:divBdr>
                                                          <w:divsChild>
                                                            <w:div w:id="108472205">
                                                              <w:marLeft w:val="0"/>
                                                              <w:marRight w:val="0"/>
                                                              <w:marTop w:val="0"/>
                                                              <w:marBottom w:val="0"/>
                                                              <w:divBdr>
                                                                <w:top w:val="none" w:sz="0" w:space="0" w:color="auto"/>
                                                                <w:left w:val="none" w:sz="0" w:space="0" w:color="auto"/>
                                                                <w:bottom w:val="none" w:sz="0" w:space="0" w:color="auto"/>
                                                                <w:right w:val="none" w:sz="0" w:space="0" w:color="auto"/>
                                                              </w:divBdr>
                                                              <w:divsChild>
                                                                <w:div w:id="164059312">
                                                                  <w:marLeft w:val="0"/>
                                                                  <w:marRight w:val="0"/>
                                                                  <w:marTop w:val="0"/>
                                                                  <w:marBottom w:val="0"/>
                                                                  <w:divBdr>
                                                                    <w:top w:val="none" w:sz="0" w:space="0" w:color="auto"/>
                                                                    <w:left w:val="none" w:sz="0" w:space="0" w:color="auto"/>
                                                                    <w:bottom w:val="none" w:sz="0" w:space="0" w:color="auto"/>
                                                                    <w:right w:val="none" w:sz="0" w:space="0" w:color="auto"/>
                                                                  </w:divBdr>
                                                                  <w:divsChild>
                                                                    <w:div w:id="2080445141">
                                                                      <w:marLeft w:val="0"/>
                                                                      <w:marRight w:val="0"/>
                                                                      <w:marTop w:val="0"/>
                                                                      <w:marBottom w:val="0"/>
                                                                      <w:divBdr>
                                                                        <w:top w:val="none" w:sz="0" w:space="0" w:color="auto"/>
                                                                        <w:left w:val="none" w:sz="0" w:space="0" w:color="auto"/>
                                                                        <w:bottom w:val="none" w:sz="0" w:space="0" w:color="auto"/>
                                                                        <w:right w:val="none" w:sz="0" w:space="0" w:color="auto"/>
                                                                      </w:divBdr>
                                                                      <w:divsChild>
                                                                        <w:div w:id="1228419996">
                                                                          <w:marLeft w:val="0"/>
                                                                          <w:marRight w:val="0"/>
                                                                          <w:marTop w:val="0"/>
                                                                          <w:marBottom w:val="0"/>
                                                                          <w:divBdr>
                                                                            <w:top w:val="none" w:sz="0" w:space="0" w:color="auto"/>
                                                                            <w:left w:val="none" w:sz="0" w:space="0" w:color="auto"/>
                                                                            <w:bottom w:val="none" w:sz="0" w:space="0" w:color="auto"/>
                                                                            <w:right w:val="none" w:sz="0" w:space="0" w:color="auto"/>
                                                                          </w:divBdr>
                                                                          <w:divsChild>
                                                                            <w:div w:id="504786767">
                                                                              <w:marLeft w:val="0"/>
                                                                              <w:marRight w:val="0"/>
                                                                              <w:marTop w:val="0"/>
                                                                              <w:marBottom w:val="0"/>
                                                                              <w:divBdr>
                                                                                <w:top w:val="none" w:sz="0" w:space="0" w:color="auto"/>
                                                                                <w:left w:val="none" w:sz="0" w:space="0" w:color="auto"/>
                                                                                <w:bottom w:val="none" w:sz="0" w:space="0" w:color="auto"/>
                                                                                <w:right w:val="none" w:sz="0" w:space="0" w:color="auto"/>
                                                                              </w:divBdr>
                                                                              <w:divsChild>
                                                                                <w:div w:id="579214839">
                                                                                  <w:marLeft w:val="0"/>
                                                                                  <w:marRight w:val="0"/>
                                                                                  <w:marTop w:val="0"/>
                                                                                  <w:marBottom w:val="0"/>
                                                                                  <w:divBdr>
                                                                                    <w:top w:val="none" w:sz="0" w:space="0" w:color="auto"/>
                                                                                    <w:left w:val="none" w:sz="0" w:space="0" w:color="auto"/>
                                                                                    <w:bottom w:val="none" w:sz="0" w:space="0" w:color="auto"/>
                                                                                    <w:right w:val="none" w:sz="0" w:space="0" w:color="auto"/>
                                                                                  </w:divBdr>
                                                                                  <w:divsChild>
                                                                                    <w:div w:id="741486736">
                                                                                      <w:marLeft w:val="0"/>
                                                                                      <w:marRight w:val="0"/>
                                                                                      <w:marTop w:val="0"/>
                                                                                      <w:marBottom w:val="0"/>
                                                                                      <w:divBdr>
                                                                                        <w:top w:val="none" w:sz="0" w:space="0" w:color="auto"/>
                                                                                        <w:left w:val="none" w:sz="0" w:space="0" w:color="auto"/>
                                                                                        <w:bottom w:val="none" w:sz="0" w:space="0" w:color="auto"/>
                                                                                        <w:right w:val="none" w:sz="0" w:space="0" w:color="auto"/>
                                                                                      </w:divBdr>
                                                                                      <w:divsChild>
                                                                                        <w:div w:id="3684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10803">
      <w:bodyDiv w:val="1"/>
      <w:marLeft w:val="0"/>
      <w:marRight w:val="0"/>
      <w:marTop w:val="0"/>
      <w:marBottom w:val="0"/>
      <w:divBdr>
        <w:top w:val="none" w:sz="0" w:space="0" w:color="auto"/>
        <w:left w:val="none" w:sz="0" w:space="0" w:color="auto"/>
        <w:bottom w:val="none" w:sz="0" w:space="0" w:color="auto"/>
        <w:right w:val="none" w:sz="0" w:space="0" w:color="auto"/>
      </w:divBdr>
    </w:div>
    <w:div w:id="1570726608">
      <w:bodyDiv w:val="1"/>
      <w:marLeft w:val="0"/>
      <w:marRight w:val="0"/>
      <w:marTop w:val="0"/>
      <w:marBottom w:val="0"/>
      <w:divBdr>
        <w:top w:val="none" w:sz="0" w:space="0" w:color="auto"/>
        <w:left w:val="none" w:sz="0" w:space="0" w:color="auto"/>
        <w:bottom w:val="none" w:sz="0" w:space="0" w:color="auto"/>
        <w:right w:val="none" w:sz="0" w:space="0" w:color="auto"/>
      </w:divBdr>
    </w:div>
    <w:div w:id="1580557489">
      <w:bodyDiv w:val="1"/>
      <w:marLeft w:val="0"/>
      <w:marRight w:val="0"/>
      <w:marTop w:val="0"/>
      <w:marBottom w:val="0"/>
      <w:divBdr>
        <w:top w:val="none" w:sz="0" w:space="0" w:color="auto"/>
        <w:left w:val="none" w:sz="0" w:space="0" w:color="auto"/>
        <w:bottom w:val="none" w:sz="0" w:space="0" w:color="auto"/>
        <w:right w:val="none" w:sz="0" w:space="0" w:color="auto"/>
      </w:divBdr>
    </w:div>
    <w:div w:id="1589540411">
      <w:bodyDiv w:val="1"/>
      <w:marLeft w:val="0"/>
      <w:marRight w:val="0"/>
      <w:marTop w:val="0"/>
      <w:marBottom w:val="0"/>
      <w:divBdr>
        <w:top w:val="none" w:sz="0" w:space="0" w:color="auto"/>
        <w:left w:val="none" w:sz="0" w:space="0" w:color="auto"/>
        <w:bottom w:val="none" w:sz="0" w:space="0" w:color="auto"/>
        <w:right w:val="none" w:sz="0" w:space="0" w:color="auto"/>
      </w:divBdr>
      <w:divsChild>
        <w:div w:id="1265654733">
          <w:marLeft w:val="0"/>
          <w:marRight w:val="0"/>
          <w:marTop w:val="0"/>
          <w:marBottom w:val="0"/>
          <w:divBdr>
            <w:top w:val="none" w:sz="0" w:space="0" w:color="auto"/>
            <w:left w:val="none" w:sz="0" w:space="0" w:color="auto"/>
            <w:bottom w:val="none" w:sz="0" w:space="0" w:color="auto"/>
            <w:right w:val="none" w:sz="0" w:space="0" w:color="auto"/>
          </w:divBdr>
          <w:divsChild>
            <w:div w:id="1364672982">
              <w:marLeft w:val="0"/>
              <w:marRight w:val="0"/>
              <w:marTop w:val="0"/>
              <w:marBottom w:val="0"/>
              <w:divBdr>
                <w:top w:val="none" w:sz="0" w:space="0" w:color="auto"/>
                <w:left w:val="none" w:sz="0" w:space="0" w:color="auto"/>
                <w:bottom w:val="none" w:sz="0" w:space="0" w:color="auto"/>
                <w:right w:val="none" w:sz="0" w:space="0" w:color="auto"/>
              </w:divBdr>
              <w:divsChild>
                <w:div w:id="268391262">
                  <w:marLeft w:val="0"/>
                  <w:marRight w:val="0"/>
                  <w:marTop w:val="0"/>
                  <w:marBottom w:val="0"/>
                  <w:divBdr>
                    <w:top w:val="none" w:sz="0" w:space="0" w:color="auto"/>
                    <w:left w:val="none" w:sz="0" w:space="0" w:color="auto"/>
                    <w:bottom w:val="none" w:sz="0" w:space="0" w:color="auto"/>
                    <w:right w:val="none" w:sz="0" w:space="0" w:color="auto"/>
                  </w:divBdr>
                  <w:divsChild>
                    <w:div w:id="1426537346">
                      <w:marLeft w:val="0"/>
                      <w:marRight w:val="0"/>
                      <w:marTop w:val="45"/>
                      <w:marBottom w:val="0"/>
                      <w:divBdr>
                        <w:top w:val="none" w:sz="0" w:space="0" w:color="auto"/>
                        <w:left w:val="none" w:sz="0" w:space="0" w:color="auto"/>
                        <w:bottom w:val="none" w:sz="0" w:space="0" w:color="auto"/>
                        <w:right w:val="none" w:sz="0" w:space="0" w:color="auto"/>
                      </w:divBdr>
                      <w:divsChild>
                        <w:div w:id="1729569923">
                          <w:marLeft w:val="0"/>
                          <w:marRight w:val="0"/>
                          <w:marTop w:val="0"/>
                          <w:marBottom w:val="0"/>
                          <w:divBdr>
                            <w:top w:val="none" w:sz="0" w:space="0" w:color="auto"/>
                            <w:left w:val="none" w:sz="0" w:space="0" w:color="auto"/>
                            <w:bottom w:val="none" w:sz="0" w:space="0" w:color="auto"/>
                            <w:right w:val="none" w:sz="0" w:space="0" w:color="auto"/>
                          </w:divBdr>
                          <w:divsChild>
                            <w:div w:id="2096705105">
                              <w:marLeft w:val="2070"/>
                              <w:marRight w:val="3960"/>
                              <w:marTop w:val="0"/>
                              <w:marBottom w:val="0"/>
                              <w:divBdr>
                                <w:top w:val="none" w:sz="0" w:space="0" w:color="auto"/>
                                <w:left w:val="none" w:sz="0" w:space="0" w:color="auto"/>
                                <w:bottom w:val="none" w:sz="0" w:space="0" w:color="auto"/>
                                <w:right w:val="none" w:sz="0" w:space="0" w:color="auto"/>
                              </w:divBdr>
                              <w:divsChild>
                                <w:div w:id="706176184">
                                  <w:marLeft w:val="0"/>
                                  <w:marRight w:val="0"/>
                                  <w:marTop w:val="0"/>
                                  <w:marBottom w:val="0"/>
                                  <w:divBdr>
                                    <w:top w:val="none" w:sz="0" w:space="0" w:color="auto"/>
                                    <w:left w:val="none" w:sz="0" w:space="0" w:color="auto"/>
                                    <w:bottom w:val="none" w:sz="0" w:space="0" w:color="auto"/>
                                    <w:right w:val="none" w:sz="0" w:space="0" w:color="auto"/>
                                  </w:divBdr>
                                  <w:divsChild>
                                    <w:div w:id="1766345000">
                                      <w:marLeft w:val="0"/>
                                      <w:marRight w:val="0"/>
                                      <w:marTop w:val="0"/>
                                      <w:marBottom w:val="0"/>
                                      <w:divBdr>
                                        <w:top w:val="none" w:sz="0" w:space="0" w:color="auto"/>
                                        <w:left w:val="none" w:sz="0" w:space="0" w:color="auto"/>
                                        <w:bottom w:val="none" w:sz="0" w:space="0" w:color="auto"/>
                                        <w:right w:val="none" w:sz="0" w:space="0" w:color="auto"/>
                                      </w:divBdr>
                                      <w:divsChild>
                                        <w:div w:id="2089035424">
                                          <w:marLeft w:val="0"/>
                                          <w:marRight w:val="0"/>
                                          <w:marTop w:val="0"/>
                                          <w:marBottom w:val="0"/>
                                          <w:divBdr>
                                            <w:top w:val="none" w:sz="0" w:space="0" w:color="auto"/>
                                            <w:left w:val="none" w:sz="0" w:space="0" w:color="auto"/>
                                            <w:bottom w:val="none" w:sz="0" w:space="0" w:color="auto"/>
                                            <w:right w:val="none" w:sz="0" w:space="0" w:color="auto"/>
                                          </w:divBdr>
                                          <w:divsChild>
                                            <w:div w:id="917523274">
                                              <w:marLeft w:val="0"/>
                                              <w:marRight w:val="0"/>
                                              <w:marTop w:val="90"/>
                                              <w:marBottom w:val="0"/>
                                              <w:divBdr>
                                                <w:top w:val="none" w:sz="0" w:space="0" w:color="auto"/>
                                                <w:left w:val="none" w:sz="0" w:space="0" w:color="auto"/>
                                                <w:bottom w:val="none" w:sz="0" w:space="0" w:color="auto"/>
                                                <w:right w:val="none" w:sz="0" w:space="0" w:color="auto"/>
                                              </w:divBdr>
                                              <w:divsChild>
                                                <w:div w:id="1305282835">
                                                  <w:marLeft w:val="0"/>
                                                  <w:marRight w:val="0"/>
                                                  <w:marTop w:val="0"/>
                                                  <w:marBottom w:val="0"/>
                                                  <w:divBdr>
                                                    <w:top w:val="none" w:sz="0" w:space="0" w:color="auto"/>
                                                    <w:left w:val="none" w:sz="0" w:space="0" w:color="auto"/>
                                                    <w:bottom w:val="none" w:sz="0" w:space="0" w:color="auto"/>
                                                    <w:right w:val="none" w:sz="0" w:space="0" w:color="auto"/>
                                                  </w:divBdr>
                                                  <w:divsChild>
                                                    <w:div w:id="834345514">
                                                      <w:marLeft w:val="0"/>
                                                      <w:marRight w:val="0"/>
                                                      <w:marTop w:val="0"/>
                                                      <w:marBottom w:val="0"/>
                                                      <w:divBdr>
                                                        <w:top w:val="none" w:sz="0" w:space="0" w:color="auto"/>
                                                        <w:left w:val="none" w:sz="0" w:space="0" w:color="auto"/>
                                                        <w:bottom w:val="none" w:sz="0" w:space="0" w:color="auto"/>
                                                        <w:right w:val="none" w:sz="0" w:space="0" w:color="auto"/>
                                                      </w:divBdr>
                                                      <w:divsChild>
                                                        <w:div w:id="80687672">
                                                          <w:marLeft w:val="0"/>
                                                          <w:marRight w:val="0"/>
                                                          <w:marTop w:val="0"/>
                                                          <w:marBottom w:val="390"/>
                                                          <w:divBdr>
                                                            <w:top w:val="none" w:sz="0" w:space="0" w:color="auto"/>
                                                            <w:left w:val="none" w:sz="0" w:space="0" w:color="auto"/>
                                                            <w:bottom w:val="none" w:sz="0" w:space="0" w:color="auto"/>
                                                            <w:right w:val="none" w:sz="0" w:space="0" w:color="auto"/>
                                                          </w:divBdr>
                                                          <w:divsChild>
                                                            <w:div w:id="600381658">
                                                              <w:marLeft w:val="0"/>
                                                              <w:marRight w:val="0"/>
                                                              <w:marTop w:val="0"/>
                                                              <w:marBottom w:val="0"/>
                                                              <w:divBdr>
                                                                <w:top w:val="none" w:sz="0" w:space="0" w:color="auto"/>
                                                                <w:left w:val="none" w:sz="0" w:space="0" w:color="auto"/>
                                                                <w:bottom w:val="none" w:sz="0" w:space="0" w:color="auto"/>
                                                                <w:right w:val="none" w:sz="0" w:space="0" w:color="auto"/>
                                                              </w:divBdr>
                                                              <w:divsChild>
                                                                <w:div w:id="1439831436">
                                                                  <w:marLeft w:val="0"/>
                                                                  <w:marRight w:val="0"/>
                                                                  <w:marTop w:val="0"/>
                                                                  <w:marBottom w:val="0"/>
                                                                  <w:divBdr>
                                                                    <w:top w:val="none" w:sz="0" w:space="0" w:color="auto"/>
                                                                    <w:left w:val="none" w:sz="0" w:space="0" w:color="auto"/>
                                                                    <w:bottom w:val="none" w:sz="0" w:space="0" w:color="auto"/>
                                                                    <w:right w:val="none" w:sz="0" w:space="0" w:color="auto"/>
                                                                  </w:divBdr>
                                                                  <w:divsChild>
                                                                    <w:div w:id="474176571">
                                                                      <w:marLeft w:val="0"/>
                                                                      <w:marRight w:val="0"/>
                                                                      <w:marTop w:val="0"/>
                                                                      <w:marBottom w:val="0"/>
                                                                      <w:divBdr>
                                                                        <w:top w:val="none" w:sz="0" w:space="0" w:color="auto"/>
                                                                        <w:left w:val="none" w:sz="0" w:space="0" w:color="auto"/>
                                                                        <w:bottom w:val="none" w:sz="0" w:space="0" w:color="auto"/>
                                                                        <w:right w:val="none" w:sz="0" w:space="0" w:color="auto"/>
                                                                      </w:divBdr>
                                                                      <w:divsChild>
                                                                        <w:div w:id="657609334">
                                                                          <w:marLeft w:val="0"/>
                                                                          <w:marRight w:val="0"/>
                                                                          <w:marTop w:val="0"/>
                                                                          <w:marBottom w:val="0"/>
                                                                          <w:divBdr>
                                                                            <w:top w:val="none" w:sz="0" w:space="0" w:color="auto"/>
                                                                            <w:left w:val="none" w:sz="0" w:space="0" w:color="auto"/>
                                                                            <w:bottom w:val="none" w:sz="0" w:space="0" w:color="auto"/>
                                                                            <w:right w:val="none" w:sz="0" w:space="0" w:color="auto"/>
                                                                          </w:divBdr>
                                                                          <w:divsChild>
                                                                            <w:div w:id="800070856">
                                                                              <w:marLeft w:val="0"/>
                                                                              <w:marRight w:val="0"/>
                                                                              <w:marTop w:val="0"/>
                                                                              <w:marBottom w:val="0"/>
                                                                              <w:divBdr>
                                                                                <w:top w:val="none" w:sz="0" w:space="0" w:color="auto"/>
                                                                                <w:left w:val="none" w:sz="0" w:space="0" w:color="auto"/>
                                                                                <w:bottom w:val="none" w:sz="0" w:space="0" w:color="auto"/>
                                                                                <w:right w:val="none" w:sz="0" w:space="0" w:color="auto"/>
                                                                              </w:divBdr>
                                                                              <w:divsChild>
                                                                                <w:div w:id="314184463">
                                                                                  <w:marLeft w:val="0"/>
                                                                                  <w:marRight w:val="0"/>
                                                                                  <w:marTop w:val="0"/>
                                                                                  <w:marBottom w:val="0"/>
                                                                                  <w:divBdr>
                                                                                    <w:top w:val="none" w:sz="0" w:space="0" w:color="auto"/>
                                                                                    <w:left w:val="none" w:sz="0" w:space="0" w:color="auto"/>
                                                                                    <w:bottom w:val="none" w:sz="0" w:space="0" w:color="auto"/>
                                                                                    <w:right w:val="none" w:sz="0" w:space="0" w:color="auto"/>
                                                                                  </w:divBdr>
                                                                                  <w:divsChild>
                                                                                    <w:div w:id="1214392340">
                                                                                      <w:marLeft w:val="0"/>
                                                                                      <w:marRight w:val="0"/>
                                                                                      <w:marTop w:val="0"/>
                                                                                      <w:marBottom w:val="0"/>
                                                                                      <w:divBdr>
                                                                                        <w:top w:val="none" w:sz="0" w:space="0" w:color="auto"/>
                                                                                        <w:left w:val="none" w:sz="0" w:space="0" w:color="auto"/>
                                                                                        <w:bottom w:val="none" w:sz="0" w:space="0" w:color="auto"/>
                                                                                        <w:right w:val="none" w:sz="0" w:space="0" w:color="auto"/>
                                                                                      </w:divBdr>
                                                                                      <w:divsChild>
                                                                                        <w:div w:id="4693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514225">
      <w:bodyDiv w:val="1"/>
      <w:marLeft w:val="0"/>
      <w:marRight w:val="0"/>
      <w:marTop w:val="0"/>
      <w:marBottom w:val="0"/>
      <w:divBdr>
        <w:top w:val="none" w:sz="0" w:space="0" w:color="auto"/>
        <w:left w:val="none" w:sz="0" w:space="0" w:color="auto"/>
        <w:bottom w:val="none" w:sz="0" w:space="0" w:color="auto"/>
        <w:right w:val="none" w:sz="0" w:space="0" w:color="auto"/>
      </w:divBdr>
    </w:div>
    <w:div w:id="1707948524">
      <w:bodyDiv w:val="1"/>
      <w:marLeft w:val="0"/>
      <w:marRight w:val="0"/>
      <w:marTop w:val="0"/>
      <w:marBottom w:val="0"/>
      <w:divBdr>
        <w:top w:val="none" w:sz="0" w:space="0" w:color="auto"/>
        <w:left w:val="none" w:sz="0" w:space="0" w:color="auto"/>
        <w:bottom w:val="none" w:sz="0" w:space="0" w:color="auto"/>
        <w:right w:val="none" w:sz="0" w:space="0" w:color="auto"/>
      </w:divBdr>
    </w:div>
    <w:div w:id="1716615007">
      <w:bodyDiv w:val="1"/>
      <w:marLeft w:val="0"/>
      <w:marRight w:val="0"/>
      <w:marTop w:val="0"/>
      <w:marBottom w:val="0"/>
      <w:divBdr>
        <w:top w:val="none" w:sz="0" w:space="0" w:color="auto"/>
        <w:left w:val="none" w:sz="0" w:space="0" w:color="auto"/>
        <w:bottom w:val="none" w:sz="0" w:space="0" w:color="auto"/>
        <w:right w:val="none" w:sz="0" w:space="0" w:color="auto"/>
      </w:divBdr>
      <w:divsChild>
        <w:div w:id="1108425087">
          <w:marLeft w:val="0"/>
          <w:marRight w:val="0"/>
          <w:marTop w:val="0"/>
          <w:marBottom w:val="0"/>
          <w:divBdr>
            <w:top w:val="none" w:sz="0" w:space="0" w:color="auto"/>
            <w:left w:val="none" w:sz="0" w:space="0" w:color="auto"/>
            <w:bottom w:val="none" w:sz="0" w:space="0" w:color="auto"/>
            <w:right w:val="none" w:sz="0" w:space="0" w:color="auto"/>
          </w:divBdr>
          <w:divsChild>
            <w:div w:id="1828352089">
              <w:marLeft w:val="0"/>
              <w:marRight w:val="0"/>
              <w:marTop w:val="0"/>
              <w:marBottom w:val="0"/>
              <w:divBdr>
                <w:top w:val="none" w:sz="0" w:space="0" w:color="auto"/>
                <w:left w:val="none" w:sz="0" w:space="0" w:color="auto"/>
                <w:bottom w:val="none" w:sz="0" w:space="0" w:color="auto"/>
                <w:right w:val="none" w:sz="0" w:space="0" w:color="auto"/>
              </w:divBdr>
              <w:divsChild>
                <w:div w:id="910312279">
                  <w:marLeft w:val="0"/>
                  <w:marRight w:val="0"/>
                  <w:marTop w:val="0"/>
                  <w:marBottom w:val="0"/>
                  <w:divBdr>
                    <w:top w:val="none" w:sz="0" w:space="0" w:color="auto"/>
                    <w:left w:val="none" w:sz="0" w:space="0" w:color="auto"/>
                    <w:bottom w:val="none" w:sz="0" w:space="0" w:color="auto"/>
                    <w:right w:val="none" w:sz="0" w:space="0" w:color="auto"/>
                  </w:divBdr>
                  <w:divsChild>
                    <w:div w:id="156966839">
                      <w:marLeft w:val="0"/>
                      <w:marRight w:val="0"/>
                      <w:marTop w:val="45"/>
                      <w:marBottom w:val="0"/>
                      <w:divBdr>
                        <w:top w:val="none" w:sz="0" w:space="0" w:color="auto"/>
                        <w:left w:val="none" w:sz="0" w:space="0" w:color="auto"/>
                        <w:bottom w:val="none" w:sz="0" w:space="0" w:color="auto"/>
                        <w:right w:val="none" w:sz="0" w:space="0" w:color="auto"/>
                      </w:divBdr>
                      <w:divsChild>
                        <w:div w:id="676998134">
                          <w:marLeft w:val="0"/>
                          <w:marRight w:val="0"/>
                          <w:marTop w:val="0"/>
                          <w:marBottom w:val="0"/>
                          <w:divBdr>
                            <w:top w:val="none" w:sz="0" w:space="0" w:color="auto"/>
                            <w:left w:val="none" w:sz="0" w:space="0" w:color="auto"/>
                            <w:bottom w:val="none" w:sz="0" w:space="0" w:color="auto"/>
                            <w:right w:val="none" w:sz="0" w:space="0" w:color="auto"/>
                          </w:divBdr>
                          <w:divsChild>
                            <w:div w:id="74134166">
                              <w:marLeft w:val="2070"/>
                              <w:marRight w:val="3960"/>
                              <w:marTop w:val="0"/>
                              <w:marBottom w:val="0"/>
                              <w:divBdr>
                                <w:top w:val="none" w:sz="0" w:space="0" w:color="auto"/>
                                <w:left w:val="none" w:sz="0" w:space="0" w:color="auto"/>
                                <w:bottom w:val="none" w:sz="0" w:space="0" w:color="auto"/>
                                <w:right w:val="none" w:sz="0" w:space="0" w:color="auto"/>
                              </w:divBdr>
                              <w:divsChild>
                                <w:div w:id="1686634533">
                                  <w:marLeft w:val="0"/>
                                  <w:marRight w:val="0"/>
                                  <w:marTop w:val="0"/>
                                  <w:marBottom w:val="0"/>
                                  <w:divBdr>
                                    <w:top w:val="none" w:sz="0" w:space="0" w:color="auto"/>
                                    <w:left w:val="none" w:sz="0" w:space="0" w:color="auto"/>
                                    <w:bottom w:val="none" w:sz="0" w:space="0" w:color="auto"/>
                                    <w:right w:val="none" w:sz="0" w:space="0" w:color="auto"/>
                                  </w:divBdr>
                                  <w:divsChild>
                                    <w:div w:id="814954876">
                                      <w:marLeft w:val="0"/>
                                      <w:marRight w:val="0"/>
                                      <w:marTop w:val="0"/>
                                      <w:marBottom w:val="0"/>
                                      <w:divBdr>
                                        <w:top w:val="none" w:sz="0" w:space="0" w:color="auto"/>
                                        <w:left w:val="none" w:sz="0" w:space="0" w:color="auto"/>
                                        <w:bottom w:val="none" w:sz="0" w:space="0" w:color="auto"/>
                                        <w:right w:val="none" w:sz="0" w:space="0" w:color="auto"/>
                                      </w:divBdr>
                                      <w:divsChild>
                                        <w:div w:id="1474982598">
                                          <w:marLeft w:val="0"/>
                                          <w:marRight w:val="0"/>
                                          <w:marTop w:val="0"/>
                                          <w:marBottom w:val="0"/>
                                          <w:divBdr>
                                            <w:top w:val="none" w:sz="0" w:space="0" w:color="auto"/>
                                            <w:left w:val="none" w:sz="0" w:space="0" w:color="auto"/>
                                            <w:bottom w:val="none" w:sz="0" w:space="0" w:color="auto"/>
                                            <w:right w:val="none" w:sz="0" w:space="0" w:color="auto"/>
                                          </w:divBdr>
                                          <w:divsChild>
                                            <w:div w:id="114830655">
                                              <w:marLeft w:val="0"/>
                                              <w:marRight w:val="0"/>
                                              <w:marTop w:val="90"/>
                                              <w:marBottom w:val="0"/>
                                              <w:divBdr>
                                                <w:top w:val="none" w:sz="0" w:space="0" w:color="auto"/>
                                                <w:left w:val="none" w:sz="0" w:space="0" w:color="auto"/>
                                                <w:bottom w:val="none" w:sz="0" w:space="0" w:color="auto"/>
                                                <w:right w:val="none" w:sz="0" w:space="0" w:color="auto"/>
                                              </w:divBdr>
                                              <w:divsChild>
                                                <w:div w:id="818576860">
                                                  <w:marLeft w:val="0"/>
                                                  <w:marRight w:val="0"/>
                                                  <w:marTop w:val="0"/>
                                                  <w:marBottom w:val="0"/>
                                                  <w:divBdr>
                                                    <w:top w:val="none" w:sz="0" w:space="0" w:color="auto"/>
                                                    <w:left w:val="none" w:sz="0" w:space="0" w:color="auto"/>
                                                    <w:bottom w:val="none" w:sz="0" w:space="0" w:color="auto"/>
                                                    <w:right w:val="none" w:sz="0" w:space="0" w:color="auto"/>
                                                  </w:divBdr>
                                                  <w:divsChild>
                                                    <w:div w:id="247159769">
                                                      <w:marLeft w:val="0"/>
                                                      <w:marRight w:val="0"/>
                                                      <w:marTop w:val="0"/>
                                                      <w:marBottom w:val="0"/>
                                                      <w:divBdr>
                                                        <w:top w:val="none" w:sz="0" w:space="0" w:color="auto"/>
                                                        <w:left w:val="none" w:sz="0" w:space="0" w:color="auto"/>
                                                        <w:bottom w:val="none" w:sz="0" w:space="0" w:color="auto"/>
                                                        <w:right w:val="none" w:sz="0" w:space="0" w:color="auto"/>
                                                      </w:divBdr>
                                                      <w:divsChild>
                                                        <w:div w:id="1144351381">
                                                          <w:marLeft w:val="0"/>
                                                          <w:marRight w:val="0"/>
                                                          <w:marTop w:val="0"/>
                                                          <w:marBottom w:val="390"/>
                                                          <w:divBdr>
                                                            <w:top w:val="none" w:sz="0" w:space="0" w:color="auto"/>
                                                            <w:left w:val="none" w:sz="0" w:space="0" w:color="auto"/>
                                                            <w:bottom w:val="none" w:sz="0" w:space="0" w:color="auto"/>
                                                            <w:right w:val="none" w:sz="0" w:space="0" w:color="auto"/>
                                                          </w:divBdr>
                                                          <w:divsChild>
                                                            <w:div w:id="1692872172">
                                                              <w:marLeft w:val="0"/>
                                                              <w:marRight w:val="0"/>
                                                              <w:marTop w:val="0"/>
                                                              <w:marBottom w:val="0"/>
                                                              <w:divBdr>
                                                                <w:top w:val="none" w:sz="0" w:space="0" w:color="auto"/>
                                                                <w:left w:val="none" w:sz="0" w:space="0" w:color="auto"/>
                                                                <w:bottom w:val="none" w:sz="0" w:space="0" w:color="auto"/>
                                                                <w:right w:val="none" w:sz="0" w:space="0" w:color="auto"/>
                                                              </w:divBdr>
                                                              <w:divsChild>
                                                                <w:div w:id="1741638267">
                                                                  <w:marLeft w:val="0"/>
                                                                  <w:marRight w:val="0"/>
                                                                  <w:marTop w:val="0"/>
                                                                  <w:marBottom w:val="0"/>
                                                                  <w:divBdr>
                                                                    <w:top w:val="none" w:sz="0" w:space="0" w:color="auto"/>
                                                                    <w:left w:val="none" w:sz="0" w:space="0" w:color="auto"/>
                                                                    <w:bottom w:val="none" w:sz="0" w:space="0" w:color="auto"/>
                                                                    <w:right w:val="none" w:sz="0" w:space="0" w:color="auto"/>
                                                                  </w:divBdr>
                                                                  <w:divsChild>
                                                                    <w:div w:id="72550730">
                                                                      <w:marLeft w:val="0"/>
                                                                      <w:marRight w:val="0"/>
                                                                      <w:marTop w:val="0"/>
                                                                      <w:marBottom w:val="0"/>
                                                                      <w:divBdr>
                                                                        <w:top w:val="none" w:sz="0" w:space="0" w:color="auto"/>
                                                                        <w:left w:val="none" w:sz="0" w:space="0" w:color="auto"/>
                                                                        <w:bottom w:val="none" w:sz="0" w:space="0" w:color="auto"/>
                                                                        <w:right w:val="none" w:sz="0" w:space="0" w:color="auto"/>
                                                                      </w:divBdr>
                                                                      <w:divsChild>
                                                                        <w:div w:id="65690290">
                                                                          <w:marLeft w:val="0"/>
                                                                          <w:marRight w:val="0"/>
                                                                          <w:marTop w:val="0"/>
                                                                          <w:marBottom w:val="0"/>
                                                                          <w:divBdr>
                                                                            <w:top w:val="none" w:sz="0" w:space="0" w:color="auto"/>
                                                                            <w:left w:val="none" w:sz="0" w:space="0" w:color="auto"/>
                                                                            <w:bottom w:val="none" w:sz="0" w:space="0" w:color="auto"/>
                                                                            <w:right w:val="none" w:sz="0" w:space="0" w:color="auto"/>
                                                                          </w:divBdr>
                                                                          <w:divsChild>
                                                                            <w:div w:id="1736851764">
                                                                              <w:marLeft w:val="0"/>
                                                                              <w:marRight w:val="0"/>
                                                                              <w:marTop w:val="0"/>
                                                                              <w:marBottom w:val="0"/>
                                                                              <w:divBdr>
                                                                                <w:top w:val="none" w:sz="0" w:space="0" w:color="auto"/>
                                                                                <w:left w:val="none" w:sz="0" w:space="0" w:color="auto"/>
                                                                                <w:bottom w:val="none" w:sz="0" w:space="0" w:color="auto"/>
                                                                                <w:right w:val="none" w:sz="0" w:space="0" w:color="auto"/>
                                                                              </w:divBdr>
                                                                              <w:divsChild>
                                                                                <w:div w:id="1723284333">
                                                                                  <w:marLeft w:val="0"/>
                                                                                  <w:marRight w:val="0"/>
                                                                                  <w:marTop w:val="0"/>
                                                                                  <w:marBottom w:val="0"/>
                                                                                  <w:divBdr>
                                                                                    <w:top w:val="none" w:sz="0" w:space="0" w:color="auto"/>
                                                                                    <w:left w:val="none" w:sz="0" w:space="0" w:color="auto"/>
                                                                                    <w:bottom w:val="none" w:sz="0" w:space="0" w:color="auto"/>
                                                                                    <w:right w:val="none" w:sz="0" w:space="0" w:color="auto"/>
                                                                                  </w:divBdr>
                                                                                  <w:divsChild>
                                                                                    <w:div w:id="1367561722">
                                                                                      <w:marLeft w:val="0"/>
                                                                                      <w:marRight w:val="0"/>
                                                                                      <w:marTop w:val="0"/>
                                                                                      <w:marBottom w:val="0"/>
                                                                                      <w:divBdr>
                                                                                        <w:top w:val="none" w:sz="0" w:space="0" w:color="auto"/>
                                                                                        <w:left w:val="none" w:sz="0" w:space="0" w:color="auto"/>
                                                                                        <w:bottom w:val="none" w:sz="0" w:space="0" w:color="auto"/>
                                                                                        <w:right w:val="none" w:sz="0" w:space="0" w:color="auto"/>
                                                                                      </w:divBdr>
                                                                                      <w:divsChild>
                                                                                        <w:div w:id="556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353121">
      <w:bodyDiv w:val="1"/>
      <w:marLeft w:val="0"/>
      <w:marRight w:val="0"/>
      <w:marTop w:val="0"/>
      <w:marBottom w:val="0"/>
      <w:divBdr>
        <w:top w:val="none" w:sz="0" w:space="0" w:color="auto"/>
        <w:left w:val="none" w:sz="0" w:space="0" w:color="auto"/>
        <w:bottom w:val="none" w:sz="0" w:space="0" w:color="auto"/>
        <w:right w:val="none" w:sz="0" w:space="0" w:color="auto"/>
      </w:divBdr>
    </w:div>
    <w:div w:id="1771775125">
      <w:bodyDiv w:val="1"/>
      <w:marLeft w:val="0"/>
      <w:marRight w:val="0"/>
      <w:marTop w:val="0"/>
      <w:marBottom w:val="0"/>
      <w:divBdr>
        <w:top w:val="none" w:sz="0" w:space="0" w:color="auto"/>
        <w:left w:val="none" w:sz="0" w:space="0" w:color="auto"/>
        <w:bottom w:val="none" w:sz="0" w:space="0" w:color="auto"/>
        <w:right w:val="none" w:sz="0" w:space="0" w:color="auto"/>
      </w:divBdr>
    </w:div>
    <w:div w:id="1821581345">
      <w:bodyDiv w:val="1"/>
      <w:marLeft w:val="0"/>
      <w:marRight w:val="0"/>
      <w:marTop w:val="0"/>
      <w:marBottom w:val="0"/>
      <w:divBdr>
        <w:top w:val="none" w:sz="0" w:space="0" w:color="auto"/>
        <w:left w:val="none" w:sz="0" w:space="0" w:color="auto"/>
        <w:bottom w:val="none" w:sz="0" w:space="0" w:color="auto"/>
        <w:right w:val="none" w:sz="0" w:space="0" w:color="auto"/>
      </w:divBdr>
    </w:div>
    <w:div w:id="1907229616">
      <w:bodyDiv w:val="1"/>
      <w:marLeft w:val="0"/>
      <w:marRight w:val="0"/>
      <w:marTop w:val="0"/>
      <w:marBottom w:val="0"/>
      <w:divBdr>
        <w:top w:val="none" w:sz="0" w:space="0" w:color="auto"/>
        <w:left w:val="none" w:sz="0" w:space="0" w:color="auto"/>
        <w:bottom w:val="none" w:sz="0" w:space="0" w:color="auto"/>
        <w:right w:val="none" w:sz="0" w:space="0" w:color="auto"/>
      </w:divBdr>
      <w:divsChild>
        <w:div w:id="759373355">
          <w:marLeft w:val="446"/>
          <w:marRight w:val="0"/>
          <w:marTop w:val="0"/>
          <w:marBottom w:val="0"/>
          <w:divBdr>
            <w:top w:val="none" w:sz="0" w:space="0" w:color="auto"/>
            <w:left w:val="none" w:sz="0" w:space="0" w:color="auto"/>
            <w:bottom w:val="none" w:sz="0" w:space="0" w:color="auto"/>
            <w:right w:val="none" w:sz="0" w:space="0" w:color="auto"/>
          </w:divBdr>
        </w:div>
        <w:div w:id="539900189">
          <w:marLeft w:val="446"/>
          <w:marRight w:val="0"/>
          <w:marTop w:val="0"/>
          <w:marBottom w:val="0"/>
          <w:divBdr>
            <w:top w:val="none" w:sz="0" w:space="0" w:color="auto"/>
            <w:left w:val="none" w:sz="0" w:space="0" w:color="auto"/>
            <w:bottom w:val="none" w:sz="0" w:space="0" w:color="auto"/>
            <w:right w:val="none" w:sz="0" w:space="0" w:color="auto"/>
          </w:divBdr>
        </w:div>
        <w:div w:id="591476512">
          <w:marLeft w:val="446"/>
          <w:marRight w:val="0"/>
          <w:marTop w:val="0"/>
          <w:marBottom w:val="0"/>
          <w:divBdr>
            <w:top w:val="none" w:sz="0" w:space="0" w:color="auto"/>
            <w:left w:val="none" w:sz="0" w:space="0" w:color="auto"/>
            <w:bottom w:val="none" w:sz="0" w:space="0" w:color="auto"/>
            <w:right w:val="none" w:sz="0" w:space="0" w:color="auto"/>
          </w:divBdr>
        </w:div>
      </w:divsChild>
    </w:div>
    <w:div w:id="1948660671">
      <w:bodyDiv w:val="1"/>
      <w:marLeft w:val="0"/>
      <w:marRight w:val="0"/>
      <w:marTop w:val="0"/>
      <w:marBottom w:val="0"/>
      <w:divBdr>
        <w:top w:val="none" w:sz="0" w:space="0" w:color="auto"/>
        <w:left w:val="none" w:sz="0" w:space="0" w:color="auto"/>
        <w:bottom w:val="none" w:sz="0" w:space="0" w:color="auto"/>
        <w:right w:val="none" w:sz="0" w:space="0" w:color="auto"/>
      </w:divBdr>
    </w:div>
    <w:div w:id="1967158145">
      <w:bodyDiv w:val="1"/>
      <w:marLeft w:val="0"/>
      <w:marRight w:val="0"/>
      <w:marTop w:val="0"/>
      <w:marBottom w:val="0"/>
      <w:divBdr>
        <w:top w:val="none" w:sz="0" w:space="0" w:color="auto"/>
        <w:left w:val="none" w:sz="0" w:space="0" w:color="auto"/>
        <w:bottom w:val="none" w:sz="0" w:space="0" w:color="auto"/>
        <w:right w:val="none" w:sz="0" w:space="0" w:color="auto"/>
      </w:divBdr>
    </w:div>
    <w:div w:id="2031295606">
      <w:bodyDiv w:val="1"/>
      <w:marLeft w:val="0"/>
      <w:marRight w:val="0"/>
      <w:marTop w:val="0"/>
      <w:marBottom w:val="0"/>
      <w:divBdr>
        <w:top w:val="none" w:sz="0" w:space="0" w:color="auto"/>
        <w:left w:val="none" w:sz="0" w:space="0" w:color="auto"/>
        <w:bottom w:val="none" w:sz="0" w:space="0" w:color="auto"/>
        <w:right w:val="none" w:sz="0" w:space="0" w:color="auto"/>
      </w:divBdr>
      <w:divsChild>
        <w:div w:id="385762469">
          <w:marLeft w:val="0"/>
          <w:marRight w:val="0"/>
          <w:marTop w:val="0"/>
          <w:marBottom w:val="0"/>
          <w:divBdr>
            <w:top w:val="none" w:sz="0" w:space="0" w:color="auto"/>
            <w:left w:val="none" w:sz="0" w:space="0" w:color="auto"/>
            <w:bottom w:val="none" w:sz="0" w:space="0" w:color="auto"/>
            <w:right w:val="none" w:sz="0" w:space="0" w:color="auto"/>
          </w:divBdr>
          <w:divsChild>
            <w:div w:id="1330255130">
              <w:marLeft w:val="0"/>
              <w:marRight w:val="0"/>
              <w:marTop w:val="0"/>
              <w:marBottom w:val="0"/>
              <w:divBdr>
                <w:top w:val="none" w:sz="0" w:space="0" w:color="auto"/>
                <w:left w:val="none" w:sz="0" w:space="0" w:color="auto"/>
                <w:bottom w:val="none" w:sz="0" w:space="0" w:color="auto"/>
                <w:right w:val="none" w:sz="0" w:space="0" w:color="auto"/>
              </w:divBdr>
              <w:divsChild>
                <w:div w:id="1506482016">
                  <w:marLeft w:val="0"/>
                  <w:marRight w:val="0"/>
                  <w:marTop w:val="0"/>
                  <w:marBottom w:val="0"/>
                  <w:divBdr>
                    <w:top w:val="none" w:sz="0" w:space="0" w:color="auto"/>
                    <w:left w:val="none" w:sz="0" w:space="0" w:color="auto"/>
                    <w:bottom w:val="none" w:sz="0" w:space="0" w:color="auto"/>
                    <w:right w:val="none" w:sz="0" w:space="0" w:color="auto"/>
                  </w:divBdr>
                  <w:divsChild>
                    <w:div w:id="1720517327">
                      <w:marLeft w:val="0"/>
                      <w:marRight w:val="0"/>
                      <w:marTop w:val="45"/>
                      <w:marBottom w:val="0"/>
                      <w:divBdr>
                        <w:top w:val="none" w:sz="0" w:space="0" w:color="auto"/>
                        <w:left w:val="none" w:sz="0" w:space="0" w:color="auto"/>
                        <w:bottom w:val="none" w:sz="0" w:space="0" w:color="auto"/>
                        <w:right w:val="none" w:sz="0" w:space="0" w:color="auto"/>
                      </w:divBdr>
                      <w:divsChild>
                        <w:div w:id="318926021">
                          <w:marLeft w:val="0"/>
                          <w:marRight w:val="0"/>
                          <w:marTop w:val="0"/>
                          <w:marBottom w:val="0"/>
                          <w:divBdr>
                            <w:top w:val="none" w:sz="0" w:space="0" w:color="auto"/>
                            <w:left w:val="none" w:sz="0" w:space="0" w:color="auto"/>
                            <w:bottom w:val="none" w:sz="0" w:space="0" w:color="auto"/>
                            <w:right w:val="none" w:sz="0" w:space="0" w:color="auto"/>
                          </w:divBdr>
                          <w:divsChild>
                            <w:div w:id="1354067796">
                              <w:marLeft w:val="2070"/>
                              <w:marRight w:val="3960"/>
                              <w:marTop w:val="0"/>
                              <w:marBottom w:val="0"/>
                              <w:divBdr>
                                <w:top w:val="none" w:sz="0" w:space="0" w:color="auto"/>
                                <w:left w:val="none" w:sz="0" w:space="0" w:color="auto"/>
                                <w:bottom w:val="none" w:sz="0" w:space="0" w:color="auto"/>
                                <w:right w:val="none" w:sz="0" w:space="0" w:color="auto"/>
                              </w:divBdr>
                              <w:divsChild>
                                <w:div w:id="1925258604">
                                  <w:marLeft w:val="0"/>
                                  <w:marRight w:val="0"/>
                                  <w:marTop w:val="0"/>
                                  <w:marBottom w:val="0"/>
                                  <w:divBdr>
                                    <w:top w:val="none" w:sz="0" w:space="0" w:color="auto"/>
                                    <w:left w:val="none" w:sz="0" w:space="0" w:color="auto"/>
                                    <w:bottom w:val="none" w:sz="0" w:space="0" w:color="auto"/>
                                    <w:right w:val="none" w:sz="0" w:space="0" w:color="auto"/>
                                  </w:divBdr>
                                  <w:divsChild>
                                    <w:div w:id="1603301497">
                                      <w:marLeft w:val="0"/>
                                      <w:marRight w:val="0"/>
                                      <w:marTop w:val="0"/>
                                      <w:marBottom w:val="0"/>
                                      <w:divBdr>
                                        <w:top w:val="none" w:sz="0" w:space="0" w:color="auto"/>
                                        <w:left w:val="none" w:sz="0" w:space="0" w:color="auto"/>
                                        <w:bottom w:val="none" w:sz="0" w:space="0" w:color="auto"/>
                                        <w:right w:val="none" w:sz="0" w:space="0" w:color="auto"/>
                                      </w:divBdr>
                                      <w:divsChild>
                                        <w:div w:id="1459950883">
                                          <w:marLeft w:val="0"/>
                                          <w:marRight w:val="0"/>
                                          <w:marTop w:val="0"/>
                                          <w:marBottom w:val="0"/>
                                          <w:divBdr>
                                            <w:top w:val="none" w:sz="0" w:space="0" w:color="auto"/>
                                            <w:left w:val="none" w:sz="0" w:space="0" w:color="auto"/>
                                            <w:bottom w:val="none" w:sz="0" w:space="0" w:color="auto"/>
                                            <w:right w:val="none" w:sz="0" w:space="0" w:color="auto"/>
                                          </w:divBdr>
                                          <w:divsChild>
                                            <w:div w:id="85394418">
                                              <w:marLeft w:val="0"/>
                                              <w:marRight w:val="0"/>
                                              <w:marTop w:val="90"/>
                                              <w:marBottom w:val="0"/>
                                              <w:divBdr>
                                                <w:top w:val="none" w:sz="0" w:space="0" w:color="auto"/>
                                                <w:left w:val="none" w:sz="0" w:space="0" w:color="auto"/>
                                                <w:bottom w:val="none" w:sz="0" w:space="0" w:color="auto"/>
                                                <w:right w:val="none" w:sz="0" w:space="0" w:color="auto"/>
                                              </w:divBdr>
                                              <w:divsChild>
                                                <w:div w:id="575674400">
                                                  <w:marLeft w:val="0"/>
                                                  <w:marRight w:val="0"/>
                                                  <w:marTop w:val="0"/>
                                                  <w:marBottom w:val="0"/>
                                                  <w:divBdr>
                                                    <w:top w:val="none" w:sz="0" w:space="0" w:color="auto"/>
                                                    <w:left w:val="none" w:sz="0" w:space="0" w:color="auto"/>
                                                    <w:bottom w:val="none" w:sz="0" w:space="0" w:color="auto"/>
                                                    <w:right w:val="none" w:sz="0" w:space="0" w:color="auto"/>
                                                  </w:divBdr>
                                                  <w:divsChild>
                                                    <w:div w:id="85925554">
                                                      <w:marLeft w:val="0"/>
                                                      <w:marRight w:val="0"/>
                                                      <w:marTop w:val="0"/>
                                                      <w:marBottom w:val="0"/>
                                                      <w:divBdr>
                                                        <w:top w:val="none" w:sz="0" w:space="0" w:color="auto"/>
                                                        <w:left w:val="none" w:sz="0" w:space="0" w:color="auto"/>
                                                        <w:bottom w:val="none" w:sz="0" w:space="0" w:color="auto"/>
                                                        <w:right w:val="none" w:sz="0" w:space="0" w:color="auto"/>
                                                      </w:divBdr>
                                                      <w:divsChild>
                                                        <w:div w:id="1608535976">
                                                          <w:marLeft w:val="0"/>
                                                          <w:marRight w:val="0"/>
                                                          <w:marTop w:val="0"/>
                                                          <w:marBottom w:val="390"/>
                                                          <w:divBdr>
                                                            <w:top w:val="none" w:sz="0" w:space="0" w:color="auto"/>
                                                            <w:left w:val="none" w:sz="0" w:space="0" w:color="auto"/>
                                                            <w:bottom w:val="none" w:sz="0" w:space="0" w:color="auto"/>
                                                            <w:right w:val="none" w:sz="0" w:space="0" w:color="auto"/>
                                                          </w:divBdr>
                                                          <w:divsChild>
                                                            <w:div w:id="524441211">
                                                              <w:marLeft w:val="0"/>
                                                              <w:marRight w:val="0"/>
                                                              <w:marTop w:val="0"/>
                                                              <w:marBottom w:val="0"/>
                                                              <w:divBdr>
                                                                <w:top w:val="none" w:sz="0" w:space="0" w:color="auto"/>
                                                                <w:left w:val="none" w:sz="0" w:space="0" w:color="auto"/>
                                                                <w:bottom w:val="none" w:sz="0" w:space="0" w:color="auto"/>
                                                                <w:right w:val="none" w:sz="0" w:space="0" w:color="auto"/>
                                                              </w:divBdr>
                                                              <w:divsChild>
                                                                <w:div w:id="1352798517">
                                                                  <w:marLeft w:val="0"/>
                                                                  <w:marRight w:val="0"/>
                                                                  <w:marTop w:val="0"/>
                                                                  <w:marBottom w:val="0"/>
                                                                  <w:divBdr>
                                                                    <w:top w:val="none" w:sz="0" w:space="0" w:color="auto"/>
                                                                    <w:left w:val="none" w:sz="0" w:space="0" w:color="auto"/>
                                                                    <w:bottom w:val="none" w:sz="0" w:space="0" w:color="auto"/>
                                                                    <w:right w:val="none" w:sz="0" w:space="0" w:color="auto"/>
                                                                  </w:divBdr>
                                                                  <w:divsChild>
                                                                    <w:div w:id="2045786818">
                                                                      <w:marLeft w:val="0"/>
                                                                      <w:marRight w:val="0"/>
                                                                      <w:marTop w:val="0"/>
                                                                      <w:marBottom w:val="0"/>
                                                                      <w:divBdr>
                                                                        <w:top w:val="none" w:sz="0" w:space="0" w:color="auto"/>
                                                                        <w:left w:val="none" w:sz="0" w:space="0" w:color="auto"/>
                                                                        <w:bottom w:val="none" w:sz="0" w:space="0" w:color="auto"/>
                                                                        <w:right w:val="none" w:sz="0" w:space="0" w:color="auto"/>
                                                                      </w:divBdr>
                                                                      <w:divsChild>
                                                                        <w:div w:id="1164393739">
                                                                          <w:marLeft w:val="0"/>
                                                                          <w:marRight w:val="0"/>
                                                                          <w:marTop w:val="0"/>
                                                                          <w:marBottom w:val="0"/>
                                                                          <w:divBdr>
                                                                            <w:top w:val="none" w:sz="0" w:space="0" w:color="auto"/>
                                                                            <w:left w:val="none" w:sz="0" w:space="0" w:color="auto"/>
                                                                            <w:bottom w:val="none" w:sz="0" w:space="0" w:color="auto"/>
                                                                            <w:right w:val="none" w:sz="0" w:space="0" w:color="auto"/>
                                                                          </w:divBdr>
                                                                          <w:divsChild>
                                                                            <w:div w:id="1986810701">
                                                                              <w:marLeft w:val="0"/>
                                                                              <w:marRight w:val="0"/>
                                                                              <w:marTop w:val="0"/>
                                                                              <w:marBottom w:val="0"/>
                                                                              <w:divBdr>
                                                                                <w:top w:val="none" w:sz="0" w:space="0" w:color="auto"/>
                                                                                <w:left w:val="none" w:sz="0" w:space="0" w:color="auto"/>
                                                                                <w:bottom w:val="none" w:sz="0" w:space="0" w:color="auto"/>
                                                                                <w:right w:val="none" w:sz="0" w:space="0" w:color="auto"/>
                                                                              </w:divBdr>
                                                                              <w:divsChild>
                                                                                <w:div w:id="952591520">
                                                                                  <w:marLeft w:val="0"/>
                                                                                  <w:marRight w:val="0"/>
                                                                                  <w:marTop w:val="0"/>
                                                                                  <w:marBottom w:val="0"/>
                                                                                  <w:divBdr>
                                                                                    <w:top w:val="none" w:sz="0" w:space="0" w:color="auto"/>
                                                                                    <w:left w:val="none" w:sz="0" w:space="0" w:color="auto"/>
                                                                                    <w:bottom w:val="none" w:sz="0" w:space="0" w:color="auto"/>
                                                                                    <w:right w:val="none" w:sz="0" w:space="0" w:color="auto"/>
                                                                                  </w:divBdr>
                                                                                  <w:divsChild>
                                                                                    <w:div w:id="1015234052">
                                                                                      <w:marLeft w:val="0"/>
                                                                                      <w:marRight w:val="0"/>
                                                                                      <w:marTop w:val="0"/>
                                                                                      <w:marBottom w:val="0"/>
                                                                                      <w:divBdr>
                                                                                        <w:top w:val="none" w:sz="0" w:space="0" w:color="auto"/>
                                                                                        <w:left w:val="none" w:sz="0" w:space="0" w:color="auto"/>
                                                                                        <w:bottom w:val="none" w:sz="0" w:space="0" w:color="auto"/>
                                                                                        <w:right w:val="none" w:sz="0" w:space="0" w:color="auto"/>
                                                                                      </w:divBdr>
                                                                                      <w:divsChild>
                                                                                        <w:div w:id="8699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154047">
      <w:bodyDiv w:val="1"/>
      <w:marLeft w:val="0"/>
      <w:marRight w:val="0"/>
      <w:marTop w:val="0"/>
      <w:marBottom w:val="0"/>
      <w:divBdr>
        <w:top w:val="none" w:sz="0" w:space="0" w:color="auto"/>
        <w:left w:val="none" w:sz="0" w:space="0" w:color="auto"/>
        <w:bottom w:val="none" w:sz="0" w:space="0" w:color="auto"/>
        <w:right w:val="none" w:sz="0" w:space="0" w:color="auto"/>
      </w:divBdr>
    </w:div>
    <w:div w:id="21328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63" Type="http://schemas.openxmlformats.org/officeDocument/2006/relationships/chart" Target="charts/chart54.xml"/><Relationship Id="rId68" Type="http://schemas.openxmlformats.org/officeDocument/2006/relationships/chart" Target="charts/chart59.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66" Type="http://schemas.openxmlformats.org/officeDocument/2006/relationships/chart" Target="charts/chart57.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61" Type="http://schemas.openxmlformats.org/officeDocument/2006/relationships/chart" Target="charts/chart52.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65" Type="http://schemas.openxmlformats.org/officeDocument/2006/relationships/chart" Target="charts/chart5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chart" Target="charts/chart55.xm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chart" Target="charts/chart42.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67" Type="http://schemas.openxmlformats.org/officeDocument/2006/relationships/chart" Target="charts/chart58.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3.xml"/><Relationship Id="rId7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foment@foment.com" TargetMode="External"/><Relationship Id="rId2" Type="http://schemas.openxmlformats.org/officeDocument/2006/relationships/hyperlink" Target="http://www.foment.com" TargetMode="External"/><Relationship Id="rId1" Type="http://schemas.openxmlformats.org/officeDocument/2006/relationships/hyperlink" Target="mailto:foment@foment.com" TargetMode="External"/><Relationship Id="rId4" Type="http://schemas.openxmlformats.org/officeDocument/2006/relationships/hyperlink" Target="http://www.fom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MR\Copia%20de%20Graficas%20Informe%20Mirei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MR\Copia%20de%20Graficas%20Informe%20Mirei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MR\Copia%20de%20Graficas%20Informe%20Mirei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MR\Copia%20de%20Graficas%20Informe%20Mirei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2018\Octubre\YESS\NG_YESS.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2018\Octubre\YESS\NG_YESS.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2018\Octubre\YESS\NG_YESS.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2018\Octubre\YESS\NG_YES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2018\Octubre\YESS\NG_YESS.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2018\Octubre\YESS\NG_YESS.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F:\2018\Octubre\YESS\NG_YES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MR\Copia%20de%20Graficas%20Informe%20Mirei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2018\Octubre\YESS\NG_YES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2018\Octubre\YESS\NG_YES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2018\Octubre\YESS\NG_YES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YESS\ERE.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2018\Octubre\YESS\ERE.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YESS\ERE.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YESS\ERE.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F:\2018\Octubre\YESS\ERE.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YESS\ERE.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2018\Octubre\YESS\E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MR\Copia%20de%20Graficas%20Informe%20Mireia.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F:\2018\Octubre\YESS\ERE.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F:\2018\Octubre\YESS\ERE.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F:\2018\Octubre\YESS\ERE.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F:\2018\Octubre\YESS\ERE.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Macintosh%20HD:Users:bernatgarriga:Desktop:Graficas%20Informe%20Mireia.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Macintosh%20HD:Users:bernatgarriga:Desktop:Graficas%20Informe%20Mireia.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Macintosh%20HD:Users:bernatgarriga:Desktop:Graficas%20Informe%20Mireia.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YESS\Copia%20de%20TLC.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YESS\Copia%20de%20TLC.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Macintosh%20HD:Users:bernatgarriga:Desktop:Graficas%20Informe%20Mirei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MR\Copia%20de%20Graficas%20Informe%20Mireia.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Macintosh%20HD:Users:bernatgarriga:Desktop:Graficas%20Informe%20Mireia.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Flexibilidad%20tiempo%20trabajo\Graficos.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yaguilar.ADFOMENT\AppData\Local\Microsoft\Windows\Temporary%20Internet%20Files\Content.IE5\ZSSGBUGS\t949.csv"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Flexibilidad%20tiempo%20trabajo\Graficos.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Flexibilidad%20tiempo%20trabajo\Absentismo%20Laboral.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Macintosh%20HD:Users:bernatgarriga:Downloads:Revisi&#243;n%20a%20sept.%202018_Resultados%20estudio%20NC%20Tiempo%20de%20Trabajo.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Macintosh%20HD:Users:bernatgarriga:Downloads:Revisi&#243;n%20a%20sept.%202018_Resultados%20estudio%20NC%20Tiempo%20de%20Trabajo.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Macintosh%20HD:Users:bernatgarriga:Downloads:Revisi&#243;n%20a%20sept.%202018_Resultados%20estudio%20NC%20Tiempo%20de%20Trabajo.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Macintosh%20HD:Users:bernatgarriga:Downloads:Revisio&#769;n%20a%20sept.%202018_Resultados%20estudio%20NC%20Tiempo%20de%20Trabaj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bernatgarriga:Downloads:Graficas%20Informe%20Mireia.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Macintosh%20HD:Users:bernatgarriga:Downloads:Revisio&#769;n%20a%20sept.%202018_Resultados%20estudio%20NC%20Tiempo%20de%20Trabajo.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Macintosh%20HD:Users:bernatgarriga:Downloads:Revisio&#769;n%20a%20sept.%202018_Resultados%20estudio%20NC%20Tiempo%20de%20Trabajo.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Macintosh%20HD:Users:bernatgarriga:Downloads:Revisio&#769;n%20a%20sept.%202018_Resultados%20estudio%20NC%20Tiempo%20de%20Trabajo.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Macintosh%20HD:Users:bernatgarriga:Downloads:Revisio&#769;n%20a%20sept.%202018_Resultados%20estudio%20NC%20Tiempo%20de%20Trabajo.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Macintosh%20HD:Users:bernatgarriga:Downloads:Revisio&#769;n%20a%20sept.%202018_Resultados%20estudio%20NC%20Tiempo%20de%20Trabajo.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Flexibilidad%20tiempo%20trabajo\Graficos.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Flexibilidad%20tiempo%20trabajo\Graficos.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Flexibilidad%20tiempo%20trabajo\Graficos.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Flexibilidad%20tiempo%20trabajo\Graficos.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MR\Copia%20de%20Graficas%20Informe%20Mirei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MR\Copia%20de%20Graficas%20Informe%20Mirei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MR\Copia%20de%20Graficas%20Informe%20Mirei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MR\Copia%20de%20Graficas%20Informe%20Mirei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rvfs01.adfoment.local\lab_public\Laboral\INFORMES%20MERCAT%20LABORAL%20I%20NC\2018\Octubre\MR\Copia%20de%20Graficas%20Informe%20Mire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600"/>
            </a:pPr>
            <a:r>
              <a:rPr lang="en-US" sz="1600"/>
              <a:t>Catalunya. Evolució mensual de l'atur registrat (2011-2018)</a:t>
            </a:r>
          </a:p>
        </c:rich>
      </c:tx>
      <c:layout/>
      <c:overlay val="0"/>
    </c:title>
    <c:autoTitleDeleted val="0"/>
    <c:plotArea>
      <c:layout/>
      <c:lineChart>
        <c:grouping val="standard"/>
        <c:varyColors val="0"/>
        <c:ser>
          <c:idx val="3"/>
          <c:order val="0"/>
          <c:tx>
            <c:strRef>
              <c:f>'Paro registrado'!$F$5</c:f>
              <c:strCache>
                <c:ptCount val="1"/>
                <c:pt idx="0">
                  <c:v>2011</c:v>
                </c:pt>
              </c:strCache>
            </c:strRef>
          </c:tx>
          <c:marker>
            <c:symbol val="none"/>
          </c:marker>
          <c:cat>
            <c:strRef>
              <c:f>'Paro registrado'!$A$6:$A$17</c:f>
              <c:strCache>
                <c:ptCount val="12"/>
                <c:pt idx="0">
                  <c:v>GENER</c:v>
                </c:pt>
                <c:pt idx="1">
                  <c:v>FEBRER</c:v>
                </c:pt>
                <c:pt idx="2">
                  <c:v>MARÇ</c:v>
                </c:pt>
                <c:pt idx="3">
                  <c:v>ABRIL</c:v>
                </c:pt>
                <c:pt idx="4">
                  <c:v>MAIG</c:v>
                </c:pt>
                <c:pt idx="5">
                  <c:v>JUNY</c:v>
                </c:pt>
                <c:pt idx="6">
                  <c:v>JULIOL</c:v>
                </c:pt>
                <c:pt idx="7">
                  <c:v>AGOST</c:v>
                </c:pt>
                <c:pt idx="8">
                  <c:v>SETEMBRE</c:v>
                </c:pt>
                <c:pt idx="9">
                  <c:v>OCTUBRE </c:v>
                </c:pt>
                <c:pt idx="10">
                  <c:v>NOVEMBRE</c:v>
                </c:pt>
                <c:pt idx="11">
                  <c:v>DESEMBRE </c:v>
                </c:pt>
              </c:strCache>
            </c:strRef>
          </c:cat>
          <c:val>
            <c:numRef>
              <c:f>'Paro registrado'!$F$6:$F$17</c:f>
              <c:numCache>
                <c:formatCode>_-* #,##0\ _p_t_a_-;\-* #,##0\ _p_t_a_-;_-* "-"??\ _p_t_a_-;_-@_-</c:formatCode>
                <c:ptCount val="12"/>
                <c:pt idx="0">
                  <c:v>589623</c:v>
                </c:pt>
                <c:pt idx="1">
                  <c:v>602611</c:v>
                </c:pt>
                <c:pt idx="2">
                  <c:v>611269</c:v>
                </c:pt>
                <c:pt idx="3">
                  <c:v>601541</c:v>
                </c:pt>
                <c:pt idx="4">
                  <c:v>595342</c:v>
                </c:pt>
                <c:pt idx="5">
                  <c:v>576394</c:v>
                </c:pt>
                <c:pt idx="6">
                  <c:v>570869</c:v>
                </c:pt>
                <c:pt idx="7">
                  <c:v>584648</c:v>
                </c:pt>
                <c:pt idx="8">
                  <c:v>600930</c:v>
                </c:pt>
                <c:pt idx="9">
                  <c:v>615558</c:v>
                </c:pt>
                <c:pt idx="10">
                  <c:v>615669</c:v>
                </c:pt>
                <c:pt idx="11">
                  <c:v>614244</c:v>
                </c:pt>
              </c:numCache>
            </c:numRef>
          </c:val>
          <c:smooth val="0"/>
        </c:ser>
        <c:ser>
          <c:idx val="4"/>
          <c:order val="1"/>
          <c:tx>
            <c:strRef>
              <c:f>'Paro registrado'!$G$5</c:f>
              <c:strCache>
                <c:ptCount val="1"/>
                <c:pt idx="0">
                  <c:v>2012</c:v>
                </c:pt>
              </c:strCache>
            </c:strRef>
          </c:tx>
          <c:marker>
            <c:symbol val="none"/>
          </c:marker>
          <c:cat>
            <c:strRef>
              <c:f>'Paro registrado'!$A$6:$A$17</c:f>
              <c:strCache>
                <c:ptCount val="12"/>
                <c:pt idx="0">
                  <c:v>GENER</c:v>
                </c:pt>
                <c:pt idx="1">
                  <c:v>FEBRER</c:v>
                </c:pt>
                <c:pt idx="2">
                  <c:v>MARÇ</c:v>
                </c:pt>
                <c:pt idx="3">
                  <c:v>ABRIL</c:v>
                </c:pt>
                <c:pt idx="4">
                  <c:v>MAIG</c:v>
                </c:pt>
                <c:pt idx="5">
                  <c:v>JUNY</c:v>
                </c:pt>
                <c:pt idx="6">
                  <c:v>JULIOL</c:v>
                </c:pt>
                <c:pt idx="7">
                  <c:v>AGOST</c:v>
                </c:pt>
                <c:pt idx="8">
                  <c:v>SETEMBRE</c:v>
                </c:pt>
                <c:pt idx="9">
                  <c:v>OCTUBRE </c:v>
                </c:pt>
                <c:pt idx="10">
                  <c:v>NOVEMBRE</c:v>
                </c:pt>
                <c:pt idx="11">
                  <c:v>DESEMBRE </c:v>
                </c:pt>
              </c:strCache>
            </c:strRef>
          </c:cat>
          <c:val>
            <c:numRef>
              <c:f>'Paro registrado'!$G$6:$G$17</c:f>
              <c:numCache>
                <c:formatCode>_-* #,##0\ _p_t_a_-;\-* #,##0\ _p_t_a_-;_-* "-"??\ _p_t_a_-;_-@_-</c:formatCode>
                <c:ptCount val="12"/>
                <c:pt idx="0">
                  <c:v>633210</c:v>
                </c:pt>
                <c:pt idx="1">
                  <c:v>641948</c:v>
                </c:pt>
                <c:pt idx="2">
                  <c:v>638247</c:v>
                </c:pt>
                <c:pt idx="3">
                  <c:v>635721</c:v>
                </c:pt>
                <c:pt idx="4">
                  <c:v>630932</c:v>
                </c:pt>
                <c:pt idx="5">
                  <c:v>615576</c:v>
                </c:pt>
                <c:pt idx="6">
                  <c:v>614792</c:v>
                </c:pt>
                <c:pt idx="7">
                  <c:v>622882</c:v>
                </c:pt>
                <c:pt idx="8">
                  <c:v>632457</c:v>
                </c:pt>
                <c:pt idx="9">
                  <c:v>646306</c:v>
                </c:pt>
                <c:pt idx="10">
                  <c:v>652091</c:v>
                </c:pt>
                <c:pt idx="11">
                  <c:v>646956</c:v>
                </c:pt>
              </c:numCache>
            </c:numRef>
          </c:val>
          <c:smooth val="0"/>
        </c:ser>
        <c:ser>
          <c:idx val="5"/>
          <c:order val="2"/>
          <c:tx>
            <c:strRef>
              <c:f>'Paro registrado'!$H$5</c:f>
              <c:strCache>
                <c:ptCount val="1"/>
                <c:pt idx="0">
                  <c:v>2013</c:v>
                </c:pt>
              </c:strCache>
            </c:strRef>
          </c:tx>
          <c:marker>
            <c:symbol val="none"/>
          </c:marker>
          <c:cat>
            <c:strRef>
              <c:f>'Paro registrado'!$A$6:$A$17</c:f>
              <c:strCache>
                <c:ptCount val="12"/>
                <c:pt idx="0">
                  <c:v>GENER</c:v>
                </c:pt>
                <c:pt idx="1">
                  <c:v>FEBRER</c:v>
                </c:pt>
                <c:pt idx="2">
                  <c:v>MARÇ</c:v>
                </c:pt>
                <c:pt idx="3">
                  <c:v>ABRIL</c:v>
                </c:pt>
                <c:pt idx="4">
                  <c:v>MAIG</c:v>
                </c:pt>
                <c:pt idx="5">
                  <c:v>JUNY</c:v>
                </c:pt>
                <c:pt idx="6">
                  <c:v>JULIOL</c:v>
                </c:pt>
                <c:pt idx="7">
                  <c:v>AGOST</c:v>
                </c:pt>
                <c:pt idx="8">
                  <c:v>SETEMBRE</c:v>
                </c:pt>
                <c:pt idx="9">
                  <c:v>OCTUBRE </c:v>
                </c:pt>
                <c:pt idx="10">
                  <c:v>NOVEMBRE</c:v>
                </c:pt>
                <c:pt idx="11">
                  <c:v>DESEMBRE </c:v>
                </c:pt>
              </c:strCache>
            </c:strRef>
          </c:cat>
          <c:val>
            <c:numRef>
              <c:f>'Paro registrado'!$H$6:$H$17</c:f>
              <c:numCache>
                <c:formatCode>_-* #,##0\ _p_t_a_-;\-* #,##0\ _p_t_a_-;_-* "-"??\ _p_t_a_-;_-@_-</c:formatCode>
                <c:ptCount val="12"/>
                <c:pt idx="0">
                  <c:v>661817</c:v>
                </c:pt>
                <c:pt idx="1">
                  <c:v>665176</c:v>
                </c:pt>
                <c:pt idx="2">
                  <c:v>664050</c:v>
                </c:pt>
                <c:pt idx="3">
                  <c:v>656995</c:v>
                </c:pt>
                <c:pt idx="4">
                  <c:v>642166</c:v>
                </c:pt>
                <c:pt idx="5">
                  <c:v>617288</c:v>
                </c:pt>
                <c:pt idx="6">
                  <c:v>610429</c:v>
                </c:pt>
                <c:pt idx="7">
                  <c:v>611658</c:v>
                </c:pt>
                <c:pt idx="8">
                  <c:v>620911</c:v>
                </c:pt>
                <c:pt idx="9">
                  <c:v>633832</c:v>
                </c:pt>
                <c:pt idx="10">
                  <c:v>638344</c:v>
                </c:pt>
                <c:pt idx="11">
                  <c:v>624872</c:v>
                </c:pt>
              </c:numCache>
            </c:numRef>
          </c:val>
          <c:smooth val="0"/>
        </c:ser>
        <c:ser>
          <c:idx val="7"/>
          <c:order val="3"/>
          <c:tx>
            <c:strRef>
              <c:f>'Paro registrado'!$I$5</c:f>
              <c:strCache>
                <c:ptCount val="1"/>
                <c:pt idx="0">
                  <c:v>2014</c:v>
                </c:pt>
              </c:strCache>
            </c:strRef>
          </c:tx>
          <c:marker>
            <c:symbol val="none"/>
          </c:marker>
          <c:cat>
            <c:strRef>
              <c:f>'Paro registrado'!$A$6:$A$17</c:f>
              <c:strCache>
                <c:ptCount val="12"/>
                <c:pt idx="0">
                  <c:v>GENER</c:v>
                </c:pt>
                <c:pt idx="1">
                  <c:v>FEBRER</c:v>
                </c:pt>
                <c:pt idx="2">
                  <c:v>MARÇ</c:v>
                </c:pt>
                <c:pt idx="3">
                  <c:v>ABRIL</c:v>
                </c:pt>
                <c:pt idx="4">
                  <c:v>MAIG</c:v>
                </c:pt>
                <c:pt idx="5">
                  <c:v>JUNY</c:v>
                </c:pt>
                <c:pt idx="6">
                  <c:v>JULIOL</c:v>
                </c:pt>
                <c:pt idx="7">
                  <c:v>AGOST</c:v>
                </c:pt>
                <c:pt idx="8">
                  <c:v>SETEMBRE</c:v>
                </c:pt>
                <c:pt idx="9">
                  <c:v>OCTUBRE </c:v>
                </c:pt>
                <c:pt idx="10">
                  <c:v>NOVEMBRE</c:v>
                </c:pt>
                <c:pt idx="11">
                  <c:v>DESEMBRE </c:v>
                </c:pt>
              </c:strCache>
            </c:strRef>
          </c:cat>
          <c:val>
            <c:numRef>
              <c:f>'Paro registrado'!$I$6:$I$17</c:f>
              <c:numCache>
                <c:formatCode>_-* #,##0\ _p_t_a_-;\-* #,##0\ _p_t_a_-;_-* "-"??\ _p_t_a_-;_-@_-</c:formatCode>
                <c:ptCount val="12"/>
                <c:pt idx="0">
                  <c:v>633871</c:v>
                </c:pt>
                <c:pt idx="1">
                  <c:v>629586</c:v>
                </c:pt>
                <c:pt idx="2">
                  <c:v>624467</c:v>
                </c:pt>
                <c:pt idx="3">
                  <c:v>611822</c:v>
                </c:pt>
                <c:pt idx="4">
                  <c:v>592304</c:v>
                </c:pt>
                <c:pt idx="5">
                  <c:v>570214</c:v>
                </c:pt>
                <c:pt idx="6">
                  <c:v>568231</c:v>
                </c:pt>
                <c:pt idx="7">
                  <c:v>571616</c:v>
                </c:pt>
                <c:pt idx="8">
                  <c:v>575812</c:v>
                </c:pt>
                <c:pt idx="9">
                  <c:v>587133</c:v>
                </c:pt>
                <c:pt idx="10">
                  <c:v>581652</c:v>
                </c:pt>
                <c:pt idx="11">
                  <c:v>575948</c:v>
                </c:pt>
              </c:numCache>
            </c:numRef>
          </c:val>
          <c:smooth val="0"/>
        </c:ser>
        <c:ser>
          <c:idx val="6"/>
          <c:order val="4"/>
          <c:tx>
            <c:strRef>
              <c:f>'Paro registrado'!$J$5</c:f>
              <c:strCache>
                <c:ptCount val="1"/>
                <c:pt idx="0">
                  <c:v>2015</c:v>
                </c:pt>
              </c:strCache>
            </c:strRef>
          </c:tx>
          <c:marker>
            <c:symbol val="none"/>
          </c:marker>
          <c:cat>
            <c:strRef>
              <c:f>'Paro registrado'!$A$6:$A$17</c:f>
              <c:strCache>
                <c:ptCount val="12"/>
                <c:pt idx="0">
                  <c:v>GENER</c:v>
                </c:pt>
                <c:pt idx="1">
                  <c:v>FEBRER</c:v>
                </c:pt>
                <c:pt idx="2">
                  <c:v>MARÇ</c:v>
                </c:pt>
                <c:pt idx="3">
                  <c:v>ABRIL</c:v>
                </c:pt>
                <c:pt idx="4">
                  <c:v>MAIG</c:v>
                </c:pt>
                <c:pt idx="5">
                  <c:v>JUNY</c:v>
                </c:pt>
                <c:pt idx="6">
                  <c:v>JULIOL</c:v>
                </c:pt>
                <c:pt idx="7">
                  <c:v>AGOST</c:v>
                </c:pt>
                <c:pt idx="8">
                  <c:v>SETEMBRE</c:v>
                </c:pt>
                <c:pt idx="9">
                  <c:v>OCTUBRE </c:v>
                </c:pt>
                <c:pt idx="10">
                  <c:v>NOVEMBRE</c:v>
                </c:pt>
                <c:pt idx="11">
                  <c:v>DESEMBRE </c:v>
                </c:pt>
              </c:strCache>
            </c:strRef>
          </c:cat>
          <c:val>
            <c:numRef>
              <c:f>'Paro registrado'!$J$6:$J$17</c:f>
              <c:numCache>
                <c:formatCode>_-* #,##0\ _p_t_a_-;\-* #,##0\ _p_t_a_-;_-* "-"??\ _p_t_a_-;_-@_-</c:formatCode>
                <c:ptCount val="12"/>
                <c:pt idx="0">
                  <c:v>582769</c:v>
                </c:pt>
                <c:pt idx="1">
                  <c:v>581124</c:v>
                </c:pt>
                <c:pt idx="2">
                  <c:v>571655</c:v>
                </c:pt>
                <c:pt idx="3">
                  <c:v>552974</c:v>
                </c:pt>
                <c:pt idx="4">
                  <c:v>531899</c:v>
                </c:pt>
                <c:pt idx="5">
                  <c:v>510947</c:v>
                </c:pt>
                <c:pt idx="6">
                  <c:v>501785</c:v>
                </c:pt>
                <c:pt idx="7">
                  <c:v>506306</c:v>
                </c:pt>
                <c:pt idx="8">
                  <c:v>513187</c:v>
                </c:pt>
                <c:pt idx="9">
                  <c:v>523528</c:v>
                </c:pt>
                <c:pt idx="10">
                  <c:v>521660</c:v>
                </c:pt>
                <c:pt idx="11">
                  <c:v>515668</c:v>
                </c:pt>
              </c:numCache>
            </c:numRef>
          </c:val>
          <c:smooth val="0"/>
        </c:ser>
        <c:ser>
          <c:idx val="0"/>
          <c:order val="5"/>
          <c:tx>
            <c:strRef>
              <c:f>'Paro registrado'!$K$5</c:f>
              <c:strCache>
                <c:ptCount val="1"/>
                <c:pt idx="0">
                  <c:v>2016</c:v>
                </c:pt>
              </c:strCache>
            </c:strRef>
          </c:tx>
          <c:marker>
            <c:symbol val="none"/>
          </c:marker>
          <c:cat>
            <c:strRef>
              <c:f>'Paro registrado'!$A$6:$A$17</c:f>
              <c:strCache>
                <c:ptCount val="12"/>
                <c:pt idx="0">
                  <c:v>GENER</c:v>
                </c:pt>
                <c:pt idx="1">
                  <c:v>FEBRER</c:v>
                </c:pt>
                <c:pt idx="2">
                  <c:v>MARÇ</c:v>
                </c:pt>
                <c:pt idx="3">
                  <c:v>ABRIL</c:v>
                </c:pt>
                <c:pt idx="4">
                  <c:v>MAIG</c:v>
                </c:pt>
                <c:pt idx="5">
                  <c:v>JUNY</c:v>
                </c:pt>
                <c:pt idx="6">
                  <c:v>JULIOL</c:v>
                </c:pt>
                <c:pt idx="7">
                  <c:v>AGOST</c:v>
                </c:pt>
                <c:pt idx="8">
                  <c:v>SETEMBRE</c:v>
                </c:pt>
                <c:pt idx="9">
                  <c:v>OCTUBRE </c:v>
                </c:pt>
                <c:pt idx="10">
                  <c:v>NOVEMBRE</c:v>
                </c:pt>
                <c:pt idx="11">
                  <c:v>DESEMBRE </c:v>
                </c:pt>
              </c:strCache>
            </c:strRef>
          </c:cat>
          <c:val>
            <c:numRef>
              <c:f>'Paro registrado'!$K$6:$K$17</c:f>
              <c:numCache>
                <c:formatCode>_-* #,##0\ _p_t_a_-;\-* #,##0\ _p_t_a_-;_-* "-"??\ _p_t_a_-;_-@_-</c:formatCode>
                <c:ptCount val="12"/>
                <c:pt idx="0">
                  <c:v>518080</c:v>
                </c:pt>
                <c:pt idx="1">
                  <c:v>510237</c:v>
                </c:pt>
                <c:pt idx="2">
                  <c:v>499991</c:v>
                </c:pt>
                <c:pt idx="3">
                  <c:v>486123</c:v>
                </c:pt>
                <c:pt idx="4">
                  <c:v>470205</c:v>
                </c:pt>
                <c:pt idx="5">
                  <c:v>450060</c:v>
                </c:pt>
                <c:pt idx="6">
                  <c:v>441016</c:v>
                </c:pt>
                <c:pt idx="7">
                  <c:v>445440</c:v>
                </c:pt>
                <c:pt idx="8">
                  <c:v>451081</c:v>
                </c:pt>
                <c:pt idx="9">
                  <c:v>458406</c:v>
                </c:pt>
                <c:pt idx="10">
                  <c:v>462979</c:v>
                </c:pt>
                <c:pt idx="11">
                  <c:v>453645</c:v>
                </c:pt>
              </c:numCache>
            </c:numRef>
          </c:val>
          <c:smooth val="0"/>
        </c:ser>
        <c:ser>
          <c:idx val="1"/>
          <c:order val="6"/>
          <c:tx>
            <c:strRef>
              <c:f>'Paro registrado'!$L$5</c:f>
              <c:strCache>
                <c:ptCount val="1"/>
                <c:pt idx="0">
                  <c:v>2017</c:v>
                </c:pt>
              </c:strCache>
            </c:strRef>
          </c:tx>
          <c:marker>
            <c:symbol val="none"/>
          </c:marker>
          <c:cat>
            <c:strRef>
              <c:f>'Paro registrado'!$A$6:$A$17</c:f>
              <c:strCache>
                <c:ptCount val="12"/>
                <c:pt idx="0">
                  <c:v>GENER</c:v>
                </c:pt>
                <c:pt idx="1">
                  <c:v>FEBRER</c:v>
                </c:pt>
                <c:pt idx="2">
                  <c:v>MARÇ</c:v>
                </c:pt>
                <c:pt idx="3">
                  <c:v>ABRIL</c:v>
                </c:pt>
                <c:pt idx="4">
                  <c:v>MAIG</c:v>
                </c:pt>
                <c:pt idx="5">
                  <c:v>JUNY</c:v>
                </c:pt>
                <c:pt idx="6">
                  <c:v>JULIOL</c:v>
                </c:pt>
                <c:pt idx="7">
                  <c:v>AGOST</c:v>
                </c:pt>
                <c:pt idx="8">
                  <c:v>SETEMBRE</c:v>
                </c:pt>
                <c:pt idx="9">
                  <c:v>OCTUBRE </c:v>
                </c:pt>
                <c:pt idx="10">
                  <c:v>NOVEMBRE</c:v>
                </c:pt>
                <c:pt idx="11">
                  <c:v>DESEMBRE </c:v>
                </c:pt>
              </c:strCache>
            </c:strRef>
          </c:cat>
          <c:val>
            <c:numRef>
              <c:f>'Paro registrado'!$L$6:$L$17</c:f>
              <c:numCache>
                <c:formatCode>_-* #,##0\ _p_t_a_-;\-* #,##0\ _p_t_a_-;_-* "-"??\ _p_t_a_-;_-@_-</c:formatCode>
                <c:ptCount val="12"/>
                <c:pt idx="0">
                  <c:v>453923</c:v>
                </c:pt>
                <c:pt idx="1">
                  <c:v>452342</c:v>
                </c:pt>
                <c:pt idx="2">
                  <c:v>446017</c:v>
                </c:pt>
                <c:pt idx="3">
                  <c:v>425751</c:v>
                </c:pt>
                <c:pt idx="4">
                  <c:v>409490</c:v>
                </c:pt>
                <c:pt idx="5">
                  <c:v>391388</c:v>
                </c:pt>
                <c:pt idx="6">
                  <c:v>387313</c:v>
                </c:pt>
                <c:pt idx="7">
                  <c:v>397385</c:v>
                </c:pt>
                <c:pt idx="8">
                  <c:v>400373</c:v>
                </c:pt>
                <c:pt idx="9">
                  <c:v>415071</c:v>
                </c:pt>
                <c:pt idx="10">
                  <c:v>422462</c:v>
                </c:pt>
                <c:pt idx="11">
                  <c:v>418018</c:v>
                </c:pt>
              </c:numCache>
            </c:numRef>
          </c:val>
          <c:smooth val="0"/>
        </c:ser>
        <c:ser>
          <c:idx val="2"/>
          <c:order val="7"/>
          <c:tx>
            <c:strRef>
              <c:f>'Paro registrado'!$M$5</c:f>
              <c:strCache>
                <c:ptCount val="1"/>
                <c:pt idx="0">
                  <c:v>2018</c:v>
                </c:pt>
              </c:strCache>
            </c:strRef>
          </c:tx>
          <c:marker>
            <c:symbol val="star"/>
            <c:size val="7"/>
          </c:marker>
          <c:cat>
            <c:strRef>
              <c:f>'Paro registrado'!$A$6:$A$17</c:f>
              <c:strCache>
                <c:ptCount val="12"/>
                <c:pt idx="0">
                  <c:v>GENER</c:v>
                </c:pt>
                <c:pt idx="1">
                  <c:v>FEBRER</c:v>
                </c:pt>
                <c:pt idx="2">
                  <c:v>MARÇ</c:v>
                </c:pt>
                <c:pt idx="3">
                  <c:v>ABRIL</c:v>
                </c:pt>
                <c:pt idx="4">
                  <c:v>MAIG</c:v>
                </c:pt>
                <c:pt idx="5">
                  <c:v>JUNY</c:v>
                </c:pt>
                <c:pt idx="6">
                  <c:v>JULIOL</c:v>
                </c:pt>
                <c:pt idx="7">
                  <c:v>AGOST</c:v>
                </c:pt>
                <c:pt idx="8">
                  <c:v>SETEMBRE</c:v>
                </c:pt>
                <c:pt idx="9">
                  <c:v>OCTUBRE </c:v>
                </c:pt>
                <c:pt idx="10">
                  <c:v>NOVEMBRE</c:v>
                </c:pt>
                <c:pt idx="11">
                  <c:v>DESEMBRE </c:v>
                </c:pt>
              </c:strCache>
            </c:strRef>
          </c:cat>
          <c:val>
            <c:numRef>
              <c:f>'Paro registrado'!$M$6:$M$14</c:f>
              <c:numCache>
                <c:formatCode>_-* #,##0\ _p_t_a_-;\-* #,##0\ _p_t_a_-;_-* "-"??\ _p_t_a_-;_-@_-</c:formatCode>
                <c:ptCount val="9"/>
                <c:pt idx="0">
                  <c:v>422866</c:v>
                </c:pt>
                <c:pt idx="1">
                  <c:v>418181</c:v>
                </c:pt>
                <c:pt idx="2">
                  <c:v>411461</c:v>
                </c:pt>
                <c:pt idx="3">
                  <c:v>398946</c:v>
                </c:pt>
                <c:pt idx="4">
                  <c:v>385568</c:v>
                </c:pt>
                <c:pt idx="5">
                  <c:v>370192</c:v>
                </c:pt>
                <c:pt idx="6">
                  <c:v>369124</c:v>
                </c:pt>
                <c:pt idx="7">
                  <c:v>380718</c:v>
                </c:pt>
                <c:pt idx="8">
                  <c:v>380344</c:v>
                </c:pt>
              </c:numCache>
            </c:numRef>
          </c:val>
          <c:smooth val="0"/>
        </c:ser>
        <c:dLbls>
          <c:showLegendKey val="0"/>
          <c:showVal val="0"/>
          <c:showCatName val="0"/>
          <c:showSerName val="0"/>
          <c:showPercent val="0"/>
          <c:showBubbleSize val="0"/>
        </c:dLbls>
        <c:marker val="1"/>
        <c:smooth val="0"/>
        <c:axId val="110285568"/>
        <c:axId val="110287104"/>
      </c:lineChart>
      <c:catAx>
        <c:axId val="110285568"/>
        <c:scaling>
          <c:orientation val="minMax"/>
        </c:scaling>
        <c:delete val="0"/>
        <c:axPos val="b"/>
        <c:numFmt formatCode="General" sourceLinked="1"/>
        <c:majorTickMark val="none"/>
        <c:minorTickMark val="none"/>
        <c:tickLblPos val="nextTo"/>
        <c:txPr>
          <a:bodyPr rot="-3060000" vert="horz"/>
          <a:lstStyle/>
          <a:p>
            <a:pPr>
              <a:defRPr/>
            </a:pPr>
            <a:endParaRPr lang="es-ES"/>
          </a:p>
        </c:txPr>
        <c:crossAx val="110287104"/>
        <c:crossesAt val="350000"/>
        <c:auto val="1"/>
        <c:lblAlgn val="ctr"/>
        <c:lblOffset val="100"/>
        <c:noMultiLvlLbl val="0"/>
      </c:catAx>
      <c:valAx>
        <c:axId val="110287104"/>
        <c:scaling>
          <c:orientation val="minMax"/>
          <c:min val="350000"/>
        </c:scaling>
        <c:delete val="0"/>
        <c:axPos val="l"/>
        <c:majorGridlines/>
        <c:numFmt formatCode="_-* #,##0\ _p_t_a_-;\-* #,##0\ _p_t_a_-;_-* &quot;-&quot;??\ _p_t_a_-;_-@_-" sourceLinked="1"/>
        <c:majorTickMark val="none"/>
        <c:minorTickMark val="none"/>
        <c:tickLblPos val="nextTo"/>
        <c:txPr>
          <a:bodyPr rot="0" vert="horz"/>
          <a:lstStyle/>
          <a:p>
            <a:pPr>
              <a:defRPr/>
            </a:pPr>
            <a:endParaRPr lang="es-ES"/>
          </a:p>
        </c:txPr>
        <c:crossAx val="110285568"/>
        <c:crosses val="autoZero"/>
        <c:crossBetween val="between"/>
      </c:valAx>
    </c:plotArea>
    <c:legend>
      <c:legendPos val="r"/>
      <c:layout>
        <c:manualLayout>
          <c:xMode val="edge"/>
          <c:yMode val="edge"/>
          <c:x val="0.87335722309001251"/>
          <c:y val="0.16754737499244821"/>
          <c:w val="0.11307390795534596"/>
          <c:h val="0.72098032502970377"/>
        </c:manualLayout>
      </c:layout>
      <c:overlay val="0"/>
    </c:legend>
    <c:plotVisOnly val="1"/>
    <c:dispBlanksAs val="zero"/>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sz="1400"/>
            </a:pPr>
            <a:r>
              <a:rPr lang="ca-ES" sz="1400"/>
              <a:t>Catalunya </a:t>
            </a:r>
          </a:p>
          <a:p>
            <a:pPr>
              <a:defRPr sz="1400"/>
            </a:pPr>
            <a:r>
              <a:rPr lang="ca-ES" sz="1400"/>
              <a:t>Ocupats per tipus de contracte</a:t>
            </a:r>
          </a:p>
        </c:rich>
      </c:tx>
      <c:overlay val="0"/>
    </c:title>
    <c:autoTitleDeleted val="0"/>
    <c:plotArea>
      <c:layout>
        <c:manualLayout>
          <c:layoutTarget val="inner"/>
          <c:xMode val="edge"/>
          <c:yMode val="edge"/>
          <c:x val="0.16584829755046213"/>
          <c:y val="0.26620261009040536"/>
          <c:w val="0.47225214985079361"/>
          <c:h val="0.53161162146398366"/>
        </c:manualLayout>
      </c:layout>
      <c:pieChart>
        <c:varyColors val="1"/>
        <c:ser>
          <c:idx val="0"/>
          <c:order val="0"/>
          <c:dLbls>
            <c:showLegendKey val="0"/>
            <c:showVal val="1"/>
            <c:showCatName val="0"/>
            <c:showSerName val="0"/>
            <c:showPercent val="0"/>
            <c:showBubbleSize val="0"/>
            <c:showLeaderLines val="1"/>
          </c:dLbls>
          <c:cat>
            <c:strRef>
              <c:f>'Contratos EPA - evolución'!$J$1:$K$1</c:f>
              <c:strCache>
                <c:ptCount val="2"/>
                <c:pt idx="0">
                  <c:v>Indefinit</c:v>
                </c:pt>
                <c:pt idx="1">
                  <c:v>Temporal</c:v>
                </c:pt>
              </c:strCache>
            </c:strRef>
          </c:cat>
          <c:val>
            <c:numRef>
              <c:f>'Contratos EPA - evolución'!$J$32:$K$32</c:f>
              <c:numCache>
                <c:formatCode>0.00%</c:formatCode>
                <c:ptCount val="2"/>
                <c:pt idx="0">
                  <c:v>0.78400000000000003</c:v>
                </c:pt>
                <c:pt idx="1">
                  <c:v>0.218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0298687664042003"/>
          <c:y val="0.48572725284339457"/>
          <c:w val="0.27637378507481242"/>
          <c:h val="0.21373067949839603"/>
        </c:manualLayout>
      </c:layout>
      <c:overlay val="0"/>
      <c:txPr>
        <a:bodyPr/>
        <a:lstStyle/>
        <a:p>
          <a:pPr rtl="0">
            <a:defRPr/>
          </a:pPr>
          <a:endParaRPr lang="es-ES"/>
        </a:p>
      </c:txPr>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sz="1400"/>
            </a:pPr>
            <a:r>
              <a:rPr lang="ca-ES" sz="1400"/>
              <a:t>Espanya </a:t>
            </a:r>
          </a:p>
          <a:p>
            <a:pPr>
              <a:defRPr sz="1400"/>
            </a:pPr>
            <a:r>
              <a:rPr lang="ca-ES" sz="1400"/>
              <a:t>Ocupats per tipus de contracte</a:t>
            </a:r>
          </a:p>
        </c:rich>
      </c:tx>
      <c:overlay val="0"/>
    </c:title>
    <c:autoTitleDeleted val="0"/>
    <c:plotArea>
      <c:layout>
        <c:manualLayout>
          <c:layoutTarget val="inner"/>
          <c:xMode val="edge"/>
          <c:yMode val="edge"/>
          <c:x val="0.1722867803043476"/>
          <c:y val="0.26480098592362944"/>
          <c:w val="0.46498526722378936"/>
          <c:h val="0.54257776097027322"/>
        </c:manualLayout>
      </c:layout>
      <c:pieChart>
        <c:varyColors val="1"/>
        <c:ser>
          <c:idx val="0"/>
          <c:order val="0"/>
          <c:dLbls>
            <c:showLegendKey val="0"/>
            <c:showVal val="1"/>
            <c:showCatName val="0"/>
            <c:showSerName val="0"/>
            <c:showPercent val="0"/>
            <c:showBubbleSize val="0"/>
            <c:showLeaderLines val="1"/>
          </c:dLbls>
          <c:cat>
            <c:strRef>
              <c:f>'Contratos EPA - evolución'!$L$1:$M$1</c:f>
              <c:strCache>
                <c:ptCount val="2"/>
                <c:pt idx="0">
                  <c:v>Indefinit</c:v>
                </c:pt>
                <c:pt idx="1">
                  <c:v>Temporal</c:v>
                </c:pt>
              </c:strCache>
            </c:strRef>
          </c:cat>
          <c:val>
            <c:numRef>
              <c:f>'Contratos EPA - evolución'!$L$32:$M$32</c:f>
              <c:numCache>
                <c:formatCode>0.00%</c:formatCode>
                <c:ptCount val="2"/>
                <c:pt idx="0">
                  <c:v>0.73199999999999998</c:v>
                </c:pt>
                <c:pt idx="1">
                  <c:v>0.26800000000000002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0298687664042003"/>
          <c:y val="0.48572725284339457"/>
          <c:w val="0.22291311895350679"/>
          <c:h val="0.23967803431476381"/>
        </c:manualLayout>
      </c:layout>
      <c:overlay val="0"/>
      <c:txPr>
        <a:bodyPr/>
        <a:lstStyle/>
        <a:p>
          <a:pPr rtl="0">
            <a:defRPr/>
          </a:pPr>
          <a:endParaRPr lang="es-ES"/>
        </a:p>
      </c:txPr>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400"/>
            </a:pPr>
            <a:r>
              <a:rPr lang="es-ES" sz="1400"/>
              <a:t>Variació interanual contractació per províncies</a:t>
            </a:r>
          </a:p>
        </c:rich>
      </c:tx>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'Contratos - evolución '!$C$53:$C$56</c:f>
              <c:strCache>
                <c:ptCount val="4"/>
                <c:pt idx="0">
                  <c:v>Barcelona</c:v>
                </c:pt>
                <c:pt idx="1">
                  <c:v>Girona</c:v>
                </c:pt>
                <c:pt idx="2">
                  <c:v>Lleida</c:v>
                </c:pt>
                <c:pt idx="3">
                  <c:v>Tarragona</c:v>
                </c:pt>
              </c:strCache>
            </c:strRef>
          </c:cat>
          <c:val>
            <c:numRef>
              <c:f>'Contratos - evolución '!$D$53:$D$56</c:f>
              <c:numCache>
                <c:formatCode>0.00</c:formatCode>
                <c:ptCount val="4"/>
                <c:pt idx="0">
                  <c:v>-4.75</c:v>
                </c:pt>
                <c:pt idx="1">
                  <c:v>-6.22</c:v>
                </c:pt>
                <c:pt idx="2" formatCode="General">
                  <c:v>-0.42</c:v>
                </c:pt>
                <c:pt idx="3" formatCode="General">
                  <c:v>-3.89</c:v>
                </c:pt>
              </c:numCache>
            </c:numRef>
          </c:val>
        </c:ser>
        <c:dLbls>
          <c:showLegendKey val="0"/>
          <c:showVal val="0"/>
          <c:showCatName val="0"/>
          <c:showSerName val="0"/>
          <c:showPercent val="0"/>
          <c:showBubbleSize val="0"/>
        </c:dLbls>
        <c:gapWidth val="150"/>
        <c:axId val="167777024"/>
        <c:axId val="167778560"/>
      </c:barChart>
      <c:catAx>
        <c:axId val="167777024"/>
        <c:scaling>
          <c:orientation val="minMax"/>
        </c:scaling>
        <c:delete val="0"/>
        <c:axPos val="l"/>
        <c:majorTickMark val="none"/>
        <c:minorTickMark val="none"/>
        <c:tickLblPos val="low"/>
        <c:crossAx val="167778560"/>
        <c:crosses val="autoZero"/>
        <c:auto val="1"/>
        <c:lblAlgn val="ctr"/>
        <c:lblOffset val="100"/>
        <c:noMultiLvlLbl val="0"/>
      </c:catAx>
      <c:valAx>
        <c:axId val="167778560"/>
        <c:scaling>
          <c:orientation val="minMax"/>
        </c:scaling>
        <c:delete val="0"/>
        <c:axPos val="b"/>
        <c:numFmt formatCode="0.00" sourceLinked="1"/>
        <c:majorTickMark val="none"/>
        <c:minorTickMark val="none"/>
        <c:tickLblPos val="nextTo"/>
        <c:crossAx val="167777024"/>
        <c:crosses val="autoZero"/>
        <c:crossBetween val="between"/>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en-US"/>
              <a:t>Convenis Col·lectius Catalunya</a:t>
            </a:r>
          </a:p>
        </c:rich>
      </c:tx>
      <c:overlay val="0"/>
    </c:title>
    <c:autoTitleDeleted val="0"/>
    <c:plotArea>
      <c:layout>
        <c:manualLayout>
          <c:layoutTarget val="inner"/>
          <c:xMode val="edge"/>
          <c:yMode val="edge"/>
          <c:x val="0.25432220972378455"/>
          <c:y val="0.18266768737241179"/>
          <c:w val="0.48267066616672916"/>
          <c:h val="0.70389472149314669"/>
        </c:manualLayout>
      </c:layout>
      <c:pieChart>
        <c:varyColors val="1"/>
        <c:ser>
          <c:idx val="0"/>
          <c:order val="0"/>
          <c:dLbls>
            <c:dLbl>
              <c:idx val="0"/>
              <c:tx>
                <c:rich>
                  <a:bodyPr/>
                  <a:lstStyle/>
                  <a:p>
                    <a:r>
                      <a:rPr lang="en-US"/>
                      <a:t>78,79%</a:t>
                    </a:r>
                  </a:p>
                </c:rich>
              </c:tx>
              <c:showLegendKey val="0"/>
              <c:showVal val="1"/>
              <c:showCatName val="0"/>
              <c:showSerName val="0"/>
              <c:showPercent val="1"/>
              <c:showBubbleSize val="0"/>
            </c:dLbl>
            <c:dLbl>
              <c:idx val="1"/>
              <c:tx>
                <c:rich>
                  <a:bodyPr/>
                  <a:lstStyle/>
                  <a:p>
                    <a:r>
                      <a:rPr lang="en-US"/>
                      <a:t>21,21%</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(Hoja1!$A$5,Hoja1!$A$6)</c:f>
              <c:strCache>
                <c:ptCount val="2"/>
                <c:pt idx="0">
                  <c:v>Convenis Empresa</c:v>
                </c:pt>
                <c:pt idx="1">
                  <c:v>Convenis àmbit superior empresa</c:v>
                </c:pt>
              </c:strCache>
            </c:strRef>
          </c:cat>
          <c:val>
            <c:numRef>
              <c:f>Hoja1!$C$5:$C$6</c:f>
              <c:numCache>
                <c:formatCode>0.00</c:formatCode>
                <c:ptCount val="2"/>
                <c:pt idx="0">
                  <c:v>78.787878787878782</c:v>
                </c:pt>
                <c:pt idx="1">
                  <c:v>21.212121212121211</c:v>
                </c:pt>
              </c:numCache>
            </c:numRef>
          </c:val>
        </c:ser>
        <c:dLbls>
          <c:showLegendKey val="0"/>
          <c:showVal val="0"/>
          <c:showCatName val="0"/>
          <c:showSerName val="0"/>
          <c:showPercent val="1"/>
          <c:showBubbleSize val="0"/>
          <c:showLeaderLines val="1"/>
        </c:dLbls>
        <c:firstSliceAng val="0"/>
      </c:pieChart>
    </c:plotArea>
    <c:legend>
      <c:legendPos val="b"/>
      <c:overlay val="0"/>
      <c:txPr>
        <a:bodyPr/>
        <a:lstStyle/>
        <a:p>
          <a:pPr rtl="0">
            <a:defRPr sz="1000"/>
          </a:pPr>
          <a:endParaRPr lang="es-ES"/>
        </a:p>
      </c:txPr>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Rotis Sans Serif Std" pitchFamily="34" charset="0"/>
                <a:ea typeface="+mn-ea"/>
                <a:cs typeface="+mn-cs"/>
              </a:defRPr>
            </a:pPr>
            <a:r>
              <a:rPr lang="en-US" sz="1600" b="1" i="0" baseline="0">
                <a:effectLst/>
                <a:latin typeface="Rotis Sans Serif Std" pitchFamily="34" charset="0"/>
              </a:rPr>
              <a:t>Evolució del nombre de Convenis registrats (2015-2016-2017-agost 2018)</a:t>
            </a:r>
            <a:endParaRPr lang="es-ES" sz="1600">
              <a:latin typeface="Rotis Sans Serif Std" pitchFamily="34" charset="0"/>
            </a:endParaRPr>
          </a:p>
        </c:rich>
      </c:tx>
      <c:layout>
        <c:manualLayout>
          <c:xMode val="edge"/>
          <c:yMode val="edge"/>
          <c:x val="0.1211540646611554"/>
          <c:y val="6.4443453741782064E-3"/>
        </c:manualLayout>
      </c:layout>
      <c:overlay val="1"/>
    </c:title>
    <c:autoTitleDeleted val="0"/>
    <c:plotArea>
      <c:layout>
        <c:manualLayout>
          <c:layoutTarget val="inner"/>
          <c:xMode val="edge"/>
          <c:yMode val="edge"/>
          <c:x val="7.453567787345379E-2"/>
          <c:y val="6.8266655199302015E-2"/>
          <c:w val="0.79439063094989493"/>
          <c:h val="0.84786513841635469"/>
        </c:manualLayout>
      </c:layout>
      <c:barChart>
        <c:barDir val="col"/>
        <c:grouping val="clustered"/>
        <c:varyColors val="0"/>
        <c:ser>
          <c:idx val="0"/>
          <c:order val="0"/>
          <c:tx>
            <c:strRef>
              <c:f>Hoja1!$C$34</c:f>
              <c:strCache>
                <c:ptCount val="1"/>
                <c:pt idx="0">
                  <c:v>2015</c:v>
                </c:pt>
              </c:strCache>
            </c:strRef>
          </c:tx>
          <c:invertIfNegative val="0"/>
          <c:cat>
            <c:strRef>
              <c:f>Hoja1!$A$35:$A$46</c:f>
              <c:strCache>
                <c:ptCount val="12"/>
                <c:pt idx="0">
                  <c:v>gen</c:v>
                </c:pt>
                <c:pt idx="1">
                  <c:v>feb</c:v>
                </c:pt>
                <c:pt idx="2">
                  <c:v>mar</c:v>
                </c:pt>
                <c:pt idx="3">
                  <c:v>abr</c:v>
                </c:pt>
                <c:pt idx="4">
                  <c:v>mai</c:v>
                </c:pt>
                <c:pt idx="5">
                  <c:v>juny</c:v>
                </c:pt>
                <c:pt idx="6">
                  <c:v>jul</c:v>
                </c:pt>
                <c:pt idx="7">
                  <c:v>ago</c:v>
                </c:pt>
                <c:pt idx="8">
                  <c:v>set</c:v>
                </c:pt>
                <c:pt idx="9">
                  <c:v>oct</c:v>
                </c:pt>
                <c:pt idx="10">
                  <c:v>nov</c:v>
                </c:pt>
                <c:pt idx="11">
                  <c:v>des</c:v>
                </c:pt>
              </c:strCache>
            </c:strRef>
          </c:cat>
          <c:val>
            <c:numRef>
              <c:f>Hoja1!$C$35:$C$46</c:f>
              <c:numCache>
                <c:formatCode>General</c:formatCode>
                <c:ptCount val="12"/>
                <c:pt idx="0">
                  <c:v>41</c:v>
                </c:pt>
                <c:pt idx="1">
                  <c:v>59</c:v>
                </c:pt>
                <c:pt idx="2">
                  <c:v>77</c:v>
                </c:pt>
                <c:pt idx="3">
                  <c:v>91</c:v>
                </c:pt>
                <c:pt idx="4">
                  <c:v>111</c:v>
                </c:pt>
                <c:pt idx="5">
                  <c:v>124</c:v>
                </c:pt>
                <c:pt idx="6">
                  <c:v>147</c:v>
                </c:pt>
                <c:pt idx="7">
                  <c:v>167</c:v>
                </c:pt>
                <c:pt idx="8">
                  <c:v>200</c:v>
                </c:pt>
                <c:pt idx="9">
                  <c:v>230</c:v>
                </c:pt>
                <c:pt idx="10">
                  <c:v>263</c:v>
                </c:pt>
                <c:pt idx="11">
                  <c:v>276</c:v>
                </c:pt>
              </c:numCache>
            </c:numRef>
          </c:val>
        </c:ser>
        <c:ser>
          <c:idx val="1"/>
          <c:order val="1"/>
          <c:tx>
            <c:strRef>
              <c:f>Hoja1!$D$34</c:f>
              <c:strCache>
                <c:ptCount val="1"/>
                <c:pt idx="0">
                  <c:v>2016</c:v>
                </c:pt>
              </c:strCache>
            </c:strRef>
          </c:tx>
          <c:invertIfNegative val="0"/>
          <c:cat>
            <c:strRef>
              <c:f>Hoja1!$A$35:$A$46</c:f>
              <c:strCache>
                <c:ptCount val="12"/>
                <c:pt idx="0">
                  <c:v>gen</c:v>
                </c:pt>
                <c:pt idx="1">
                  <c:v>feb</c:v>
                </c:pt>
                <c:pt idx="2">
                  <c:v>mar</c:v>
                </c:pt>
                <c:pt idx="3">
                  <c:v>abr</c:v>
                </c:pt>
                <c:pt idx="4">
                  <c:v>mai</c:v>
                </c:pt>
                <c:pt idx="5">
                  <c:v>juny</c:v>
                </c:pt>
                <c:pt idx="6">
                  <c:v>jul</c:v>
                </c:pt>
                <c:pt idx="7">
                  <c:v>ago</c:v>
                </c:pt>
                <c:pt idx="8">
                  <c:v>set</c:v>
                </c:pt>
                <c:pt idx="9">
                  <c:v>oct</c:v>
                </c:pt>
                <c:pt idx="10">
                  <c:v>nov</c:v>
                </c:pt>
                <c:pt idx="11">
                  <c:v>des</c:v>
                </c:pt>
              </c:strCache>
            </c:strRef>
          </c:cat>
          <c:val>
            <c:numRef>
              <c:f>Hoja1!$D$35:$D$46</c:f>
              <c:numCache>
                <c:formatCode>General</c:formatCode>
                <c:ptCount val="12"/>
                <c:pt idx="0">
                  <c:v>106</c:v>
                </c:pt>
                <c:pt idx="1">
                  <c:v>119</c:v>
                </c:pt>
                <c:pt idx="2">
                  <c:v>127</c:v>
                </c:pt>
                <c:pt idx="3">
                  <c:v>144</c:v>
                </c:pt>
                <c:pt idx="4">
                  <c:v>189</c:v>
                </c:pt>
                <c:pt idx="5">
                  <c:v>213</c:v>
                </c:pt>
                <c:pt idx="6">
                  <c:v>228</c:v>
                </c:pt>
                <c:pt idx="7">
                  <c:v>242</c:v>
                </c:pt>
                <c:pt idx="8">
                  <c:v>260</c:v>
                </c:pt>
                <c:pt idx="9">
                  <c:v>281</c:v>
                </c:pt>
                <c:pt idx="10">
                  <c:v>301</c:v>
                </c:pt>
                <c:pt idx="11">
                  <c:v>309</c:v>
                </c:pt>
              </c:numCache>
            </c:numRef>
          </c:val>
        </c:ser>
        <c:ser>
          <c:idx val="2"/>
          <c:order val="2"/>
          <c:tx>
            <c:strRef>
              <c:f>Hoja1!$E$34</c:f>
              <c:strCache>
                <c:ptCount val="1"/>
                <c:pt idx="0">
                  <c:v>2017</c:v>
                </c:pt>
              </c:strCache>
            </c:strRef>
          </c:tx>
          <c:invertIfNegative val="0"/>
          <c:cat>
            <c:strRef>
              <c:f>Hoja1!$A$35:$A$46</c:f>
              <c:strCache>
                <c:ptCount val="12"/>
                <c:pt idx="0">
                  <c:v>gen</c:v>
                </c:pt>
                <c:pt idx="1">
                  <c:v>feb</c:v>
                </c:pt>
                <c:pt idx="2">
                  <c:v>mar</c:v>
                </c:pt>
                <c:pt idx="3">
                  <c:v>abr</c:v>
                </c:pt>
                <c:pt idx="4">
                  <c:v>mai</c:v>
                </c:pt>
                <c:pt idx="5">
                  <c:v>juny</c:v>
                </c:pt>
                <c:pt idx="6">
                  <c:v>jul</c:v>
                </c:pt>
                <c:pt idx="7">
                  <c:v>ago</c:v>
                </c:pt>
                <c:pt idx="8">
                  <c:v>set</c:v>
                </c:pt>
                <c:pt idx="9">
                  <c:v>oct</c:v>
                </c:pt>
                <c:pt idx="10">
                  <c:v>nov</c:v>
                </c:pt>
                <c:pt idx="11">
                  <c:v>des</c:v>
                </c:pt>
              </c:strCache>
            </c:strRef>
          </c:cat>
          <c:val>
            <c:numRef>
              <c:f>Hoja1!$E$35:$E$46</c:f>
              <c:numCache>
                <c:formatCode>General</c:formatCode>
                <c:ptCount val="12"/>
                <c:pt idx="0">
                  <c:v>143</c:v>
                </c:pt>
                <c:pt idx="1">
                  <c:v>158</c:v>
                </c:pt>
                <c:pt idx="2">
                  <c:v>179</c:v>
                </c:pt>
                <c:pt idx="3">
                  <c:v>204</c:v>
                </c:pt>
                <c:pt idx="4">
                  <c:v>236</c:v>
                </c:pt>
                <c:pt idx="5">
                  <c:v>278</c:v>
                </c:pt>
                <c:pt idx="6">
                  <c:v>300</c:v>
                </c:pt>
                <c:pt idx="7">
                  <c:v>310</c:v>
                </c:pt>
                <c:pt idx="8">
                  <c:v>320</c:v>
                </c:pt>
                <c:pt idx="9">
                  <c:v>332</c:v>
                </c:pt>
                <c:pt idx="10">
                  <c:v>346</c:v>
                </c:pt>
                <c:pt idx="11">
                  <c:v>358</c:v>
                </c:pt>
              </c:numCache>
            </c:numRef>
          </c:val>
        </c:ser>
        <c:ser>
          <c:idx val="3"/>
          <c:order val="3"/>
          <c:tx>
            <c:strRef>
              <c:f>Hoja1!$F$34</c:f>
              <c:strCache>
                <c:ptCount val="1"/>
                <c:pt idx="0">
                  <c:v>2018</c:v>
                </c:pt>
              </c:strCache>
            </c:strRef>
          </c:tx>
          <c:invertIfNegative val="0"/>
          <c:cat>
            <c:strRef>
              <c:f>Hoja1!$A$35:$A$46</c:f>
              <c:strCache>
                <c:ptCount val="12"/>
                <c:pt idx="0">
                  <c:v>gen</c:v>
                </c:pt>
                <c:pt idx="1">
                  <c:v>feb</c:v>
                </c:pt>
                <c:pt idx="2">
                  <c:v>mar</c:v>
                </c:pt>
                <c:pt idx="3">
                  <c:v>abr</c:v>
                </c:pt>
                <c:pt idx="4">
                  <c:v>mai</c:v>
                </c:pt>
                <c:pt idx="5">
                  <c:v>juny</c:v>
                </c:pt>
                <c:pt idx="6">
                  <c:v>jul</c:v>
                </c:pt>
                <c:pt idx="7">
                  <c:v>ago</c:v>
                </c:pt>
                <c:pt idx="8">
                  <c:v>set</c:v>
                </c:pt>
                <c:pt idx="9">
                  <c:v>oct</c:v>
                </c:pt>
                <c:pt idx="10">
                  <c:v>nov</c:v>
                </c:pt>
                <c:pt idx="11">
                  <c:v>des</c:v>
                </c:pt>
              </c:strCache>
            </c:strRef>
          </c:cat>
          <c:val>
            <c:numRef>
              <c:f>Hoja1!$F$35:$F$46</c:f>
              <c:numCache>
                <c:formatCode>General</c:formatCode>
                <c:ptCount val="12"/>
                <c:pt idx="0">
                  <c:v>166</c:v>
                </c:pt>
                <c:pt idx="1">
                  <c:v>190</c:v>
                </c:pt>
                <c:pt idx="2">
                  <c:v>203</c:v>
                </c:pt>
                <c:pt idx="3">
                  <c:v>214</c:v>
                </c:pt>
                <c:pt idx="4">
                  <c:v>238</c:v>
                </c:pt>
                <c:pt idx="5">
                  <c:v>266</c:v>
                </c:pt>
                <c:pt idx="6">
                  <c:v>290</c:v>
                </c:pt>
                <c:pt idx="7">
                  <c:v>297</c:v>
                </c:pt>
              </c:numCache>
            </c:numRef>
          </c:val>
        </c:ser>
        <c:dLbls>
          <c:showLegendKey val="0"/>
          <c:showVal val="0"/>
          <c:showCatName val="0"/>
          <c:showSerName val="0"/>
          <c:showPercent val="0"/>
          <c:showBubbleSize val="0"/>
        </c:dLbls>
        <c:gapWidth val="63"/>
        <c:overlap val="8"/>
        <c:axId val="167857152"/>
        <c:axId val="167871232"/>
      </c:barChart>
      <c:catAx>
        <c:axId val="167857152"/>
        <c:scaling>
          <c:orientation val="minMax"/>
        </c:scaling>
        <c:delete val="0"/>
        <c:axPos val="b"/>
        <c:majorTickMark val="out"/>
        <c:minorTickMark val="none"/>
        <c:tickLblPos val="nextTo"/>
        <c:txPr>
          <a:bodyPr/>
          <a:lstStyle/>
          <a:p>
            <a:pPr>
              <a:defRPr>
                <a:latin typeface="Rotis Sans Serif Std" pitchFamily="34" charset="0"/>
              </a:defRPr>
            </a:pPr>
            <a:endParaRPr lang="es-ES"/>
          </a:p>
        </c:txPr>
        <c:crossAx val="167871232"/>
        <c:crosses val="autoZero"/>
        <c:auto val="1"/>
        <c:lblAlgn val="ctr"/>
        <c:lblOffset val="100"/>
        <c:noMultiLvlLbl val="0"/>
      </c:catAx>
      <c:valAx>
        <c:axId val="167871232"/>
        <c:scaling>
          <c:orientation val="minMax"/>
        </c:scaling>
        <c:delete val="0"/>
        <c:axPos val="l"/>
        <c:numFmt formatCode="General" sourceLinked="1"/>
        <c:majorTickMark val="out"/>
        <c:minorTickMark val="none"/>
        <c:tickLblPos val="nextTo"/>
        <c:txPr>
          <a:bodyPr/>
          <a:lstStyle/>
          <a:p>
            <a:pPr>
              <a:defRPr>
                <a:latin typeface="Rotis Sans Serif Std" pitchFamily="34" charset="0"/>
              </a:defRPr>
            </a:pPr>
            <a:endParaRPr lang="es-ES"/>
          </a:p>
        </c:txPr>
        <c:crossAx val="167857152"/>
        <c:crosses val="autoZero"/>
        <c:crossBetween val="between"/>
      </c:valAx>
      <c:spPr>
        <a:noFill/>
        <a:ln w="25400">
          <a:noFill/>
        </a:ln>
      </c:spPr>
    </c:plotArea>
    <c:legend>
      <c:legendPos val="r"/>
      <c:overlay val="0"/>
      <c:txPr>
        <a:bodyPr/>
        <a:lstStyle/>
        <a:p>
          <a:pPr>
            <a:defRPr>
              <a:latin typeface="Rotis Sans Serif Std" pitchFamily="34" charset="0"/>
            </a:defRPr>
          </a:pPr>
          <a:endParaRPr lang="es-ES"/>
        </a:p>
      </c:txPr>
    </c:legend>
    <c:plotVisOnly val="1"/>
    <c:dispBlanksAs val="gap"/>
    <c:showDLblsOverMax val="0"/>
  </c:chart>
  <c:spPr>
    <a:ln>
      <a:solidFill>
        <a:srgbClr val="C00000"/>
      </a:solidFill>
    </a:ln>
  </c:sp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a:pPr>
            <a:r>
              <a:rPr lang="en-US"/>
              <a:t>Catalunya-Convenis </a:t>
            </a:r>
          </a:p>
        </c:rich>
      </c:tx>
      <c:overlay val="0"/>
    </c:title>
    <c:autoTitleDeleted val="0"/>
    <c:plotArea>
      <c:layout>
        <c:manualLayout>
          <c:layoutTarget val="inner"/>
          <c:xMode val="edge"/>
          <c:yMode val="edge"/>
          <c:x val="7.7738407699037615E-2"/>
          <c:y val="0.19480351414406533"/>
          <c:w val="0.88337270341207352"/>
          <c:h val="0.68921660834062404"/>
        </c:manualLayout>
      </c:layout>
      <c:barChart>
        <c:barDir val="col"/>
        <c:grouping val="clustered"/>
        <c:varyColors val="0"/>
        <c:ser>
          <c:idx val="0"/>
          <c:order val="0"/>
          <c:tx>
            <c:strRef>
              <c:f>Hoja1!$E$75</c:f>
              <c:strCache>
                <c:ptCount val="1"/>
                <c:pt idx="0">
                  <c:v>Catalunya </c:v>
                </c:pt>
              </c:strCache>
            </c:strRef>
          </c:tx>
          <c:invertIfNegative val="0"/>
          <c:dLbls>
            <c:txPr>
              <a:bodyPr/>
              <a:lstStyle/>
              <a:p>
                <a:pPr>
                  <a:defRPr b="1"/>
                </a:pPr>
                <a:endParaRPr lang="es-ES"/>
              </a:p>
            </c:txPr>
            <c:showLegendKey val="0"/>
            <c:showVal val="1"/>
            <c:showCatName val="0"/>
            <c:showSerName val="0"/>
            <c:showPercent val="0"/>
            <c:showBubbleSize val="0"/>
            <c:showLeaderLines val="0"/>
          </c:dLbls>
          <c:cat>
            <c:strRef>
              <c:f>Hoja1!$F$73:$G$73</c:f>
              <c:strCache>
                <c:ptCount val="2"/>
                <c:pt idx="0">
                  <c:v>Gener-agost2017</c:v>
                </c:pt>
                <c:pt idx="1">
                  <c:v>Gener-agost 2018</c:v>
                </c:pt>
              </c:strCache>
            </c:strRef>
          </c:cat>
          <c:val>
            <c:numRef>
              <c:f>Hoja1!$F$75:$G$75</c:f>
              <c:numCache>
                <c:formatCode>General</c:formatCode>
                <c:ptCount val="2"/>
                <c:pt idx="0">
                  <c:v>310</c:v>
                </c:pt>
                <c:pt idx="1">
                  <c:v>297</c:v>
                </c:pt>
              </c:numCache>
            </c:numRef>
          </c:val>
        </c:ser>
        <c:dLbls>
          <c:showLegendKey val="0"/>
          <c:showVal val="0"/>
          <c:showCatName val="0"/>
          <c:showSerName val="0"/>
          <c:showPercent val="0"/>
          <c:showBubbleSize val="0"/>
        </c:dLbls>
        <c:gapWidth val="150"/>
        <c:axId val="167889152"/>
        <c:axId val="167899136"/>
      </c:barChart>
      <c:catAx>
        <c:axId val="167889152"/>
        <c:scaling>
          <c:orientation val="minMax"/>
        </c:scaling>
        <c:delete val="0"/>
        <c:axPos val="b"/>
        <c:majorTickMark val="out"/>
        <c:minorTickMark val="none"/>
        <c:tickLblPos val="nextTo"/>
        <c:crossAx val="167899136"/>
        <c:crosses val="autoZero"/>
        <c:auto val="1"/>
        <c:lblAlgn val="ctr"/>
        <c:lblOffset val="100"/>
        <c:noMultiLvlLbl val="0"/>
      </c:catAx>
      <c:valAx>
        <c:axId val="167899136"/>
        <c:scaling>
          <c:orientation val="minMax"/>
        </c:scaling>
        <c:delete val="0"/>
        <c:axPos val="l"/>
        <c:numFmt formatCode="General" sourceLinked="1"/>
        <c:majorTickMark val="out"/>
        <c:minorTickMark val="none"/>
        <c:tickLblPos val="nextTo"/>
        <c:crossAx val="167889152"/>
        <c:crosses val="autoZero"/>
        <c:crossBetween val="between"/>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a:pPr>
            <a:r>
              <a:rPr lang="en-US"/>
              <a:t>Catalunya-Salaris</a:t>
            </a:r>
          </a:p>
        </c:rich>
      </c:tx>
      <c:layout>
        <c:manualLayout>
          <c:xMode val="edge"/>
          <c:yMode val="edge"/>
          <c:x val="0.28548114407552738"/>
          <c:y val="3.0615747930755111E-2"/>
        </c:manualLayout>
      </c:layout>
      <c:overlay val="0"/>
    </c:title>
    <c:autoTitleDeleted val="0"/>
    <c:plotArea>
      <c:layout>
        <c:manualLayout>
          <c:layoutTarget val="inner"/>
          <c:xMode val="edge"/>
          <c:yMode val="edge"/>
          <c:x val="4.2003935301610076E-2"/>
          <c:y val="0.13709549121812234"/>
          <c:w val="0.9203356422626896"/>
          <c:h val="0.77732369511054333"/>
        </c:manualLayout>
      </c:layout>
      <c:barChart>
        <c:barDir val="col"/>
        <c:grouping val="clustered"/>
        <c:varyColors val="0"/>
        <c:ser>
          <c:idx val="0"/>
          <c:order val="0"/>
          <c:tx>
            <c:strRef>
              <c:f>Hoja1!$A$107</c:f>
              <c:strCache>
                <c:ptCount val="1"/>
                <c:pt idx="0">
                  <c:v>Catalunya </c:v>
                </c:pt>
              </c:strCache>
            </c:strRef>
          </c:tx>
          <c:invertIfNegative val="0"/>
          <c:dLbls>
            <c:dLbl>
              <c:idx val="0"/>
              <c:tx>
                <c:rich>
                  <a:bodyPr/>
                  <a:lstStyle/>
                  <a:p>
                    <a:r>
                      <a:rPr lang="en-US"/>
                      <a:t>1,38%</a:t>
                    </a:r>
                  </a:p>
                </c:rich>
              </c:tx>
              <c:showLegendKey val="0"/>
              <c:showVal val="1"/>
              <c:showCatName val="0"/>
              <c:showSerName val="0"/>
              <c:showPercent val="0"/>
              <c:showBubbleSize val="0"/>
            </c:dLbl>
            <c:dLbl>
              <c:idx val="1"/>
              <c:tx>
                <c:rich>
                  <a:bodyPr/>
                  <a:lstStyle/>
                  <a:p>
                    <a:r>
                      <a:rPr lang="en-US"/>
                      <a:t>1,64%</a:t>
                    </a:r>
                  </a:p>
                </c:rich>
              </c:tx>
              <c:showLegendKey val="0"/>
              <c:showVal val="1"/>
              <c:showCatName val="0"/>
              <c:showSerName val="0"/>
              <c:showPercent val="0"/>
              <c:showBubbleSize val="0"/>
            </c:dLbl>
            <c:txPr>
              <a:bodyPr/>
              <a:lstStyle/>
              <a:p>
                <a:pPr>
                  <a:defRPr b="1"/>
                </a:pPr>
                <a:endParaRPr lang="es-ES"/>
              </a:p>
            </c:txPr>
            <c:showLegendKey val="0"/>
            <c:showVal val="1"/>
            <c:showCatName val="0"/>
            <c:showSerName val="0"/>
            <c:showPercent val="0"/>
            <c:showBubbleSize val="0"/>
            <c:showLeaderLines val="0"/>
          </c:dLbls>
          <c:cat>
            <c:strRef>
              <c:f>(Hoja1!$B$105,Hoja1!$C$105)</c:f>
              <c:strCache>
                <c:ptCount val="2"/>
                <c:pt idx="0">
                  <c:v>Gener-agost 2017</c:v>
                </c:pt>
                <c:pt idx="1">
                  <c:v>Gener-agost 2018</c:v>
                </c:pt>
              </c:strCache>
            </c:strRef>
          </c:cat>
          <c:val>
            <c:numRef>
              <c:f>Hoja1!$B$107:$C$107</c:f>
              <c:numCache>
                <c:formatCode>General</c:formatCode>
                <c:ptCount val="2"/>
                <c:pt idx="0" formatCode="0.00">
                  <c:v>1.38</c:v>
                </c:pt>
                <c:pt idx="1">
                  <c:v>1.64</c:v>
                </c:pt>
              </c:numCache>
            </c:numRef>
          </c:val>
        </c:ser>
        <c:ser>
          <c:idx val="1"/>
          <c:order val="1"/>
          <c:tx>
            <c:strRef>
              <c:f>Hoja1!$B$105</c:f>
              <c:strCache>
                <c:ptCount val="1"/>
                <c:pt idx="0">
                  <c:v>Gener-agost 2017</c:v>
                </c:pt>
              </c:strCache>
            </c:strRef>
          </c:tx>
          <c:invertIfNegative val="0"/>
          <c:cat>
            <c:strRef>
              <c:f>(Hoja1!$B$105,Hoja1!$C$105)</c:f>
              <c:strCache>
                <c:ptCount val="2"/>
                <c:pt idx="0">
                  <c:v>Gener-agost 2017</c:v>
                </c:pt>
                <c:pt idx="1">
                  <c:v>Gener-agost 2018</c:v>
                </c:pt>
              </c:strCache>
            </c:strRef>
          </c:cat>
          <c:val>
            <c:numRef>
              <c:f>Hoja1!$C$105</c:f>
              <c:numCache>
                <c:formatCode>General</c:formatCode>
                <c:ptCount val="1"/>
                <c:pt idx="0">
                  <c:v>0</c:v>
                </c:pt>
              </c:numCache>
            </c:numRef>
          </c:val>
        </c:ser>
        <c:dLbls>
          <c:showLegendKey val="0"/>
          <c:showVal val="0"/>
          <c:showCatName val="0"/>
          <c:showSerName val="0"/>
          <c:showPercent val="0"/>
          <c:showBubbleSize val="0"/>
        </c:dLbls>
        <c:gapWidth val="110"/>
        <c:overlap val="65"/>
        <c:axId val="168445824"/>
        <c:axId val="168447360"/>
      </c:barChart>
      <c:catAx>
        <c:axId val="168445824"/>
        <c:scaling>
          <c:orientation val="minMax"/>
        </c:scaling>
        <c:delete val="0"/>
        <c:axPos val="b"/>
        <c:majorTickMark val="out"/>
        <c:minorTickMark val="none"/>
        <c:tickLblPos val="nextTo"/>
        <c:crossAx val="168447360"/>
        <c:crosses val="autoZero"/>
        <c:auto val="1"/>
        <c:lblAlgn val="ctr"/>
        <c:lblOffset val="100"/>
        <c:noMultiLvlLbl val="0"/>
      </c:catAx>
      <c:valAx>
        <c:axId val="168447360"/>
        <c:scaling>
          <c:orientation val="minMax"/>
          <c:max val="1.8"/>
          <c:min val="0"/>
        </c:scaling>
        <c:delete val="1"/>
        <c:axPos val="l"/>
        <c:numFmt formatCode="0.00" sourceLinked="1"/>
        <c:majorTickMark val="out"/>
        <c:minorTickMark val="none"/>
        <c:tickLblPos val="nextTo"/>
        <c:crossAx val="168445824"/>
        <c:crosses val="autoZero"/>
        <c:crossBetween val="between"/>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a:pPr>
            <a:r>
              <a:rPr lang="es-ES" sz="1600"/>
              <a:t>Convenis segons àmbit geogràfic</a:t>
            </a:r>
          </a:p>
        </c:rich>
      </c:tx>
      <c:overlay val="0"/>
    </c:title>
    <c:autoTitleDeleted val="0"/>
    <c:plotArea>
      <c:layout>
        <c:manualLayout>
          <c:layoutTarget val="inner"/>
          <c:xMode val="edge"/>
          <c:yMode val="edge"/>
          <c:x val="0.13966326789796438"/>
          <c:y val="0.19419838145231846"/>
          <c:w val="0.51157081171305196"/>
          <c:h val="0.77090879265091861"/>
        </c:manualLayout>
      </c:layout>
      <c:pieChart>
        <c:varyColors val="1"/>
        <c:ser>
          <c:idx val="0"/>
          <c:order val="0"/>
          <c:dLbls>
            <c:dLbl>
              <c:idx val="0"/>
              <c:tx>
                <c:rich>
                  <a:bodyPr/>
                  <a:lstStyle/>
                  <a:p>
                    <a:r>
                      <a:rPr lang="en-US"/>
                      <a:t>7,74%</a:t>
                    </a:r>
                  </a:p>
                </c:rich>
              </c:tx>
              <c:showLegendKey val="0"/>
              <c:showVal val="1"/>
              <c:showCatName val="0"/>
              <c:showSerName val="0"/>
              <c:showPercent val="1"/>
              <c:showBubbleSize val="0"/>
            </c:dLbl>
            <c:dLbl>
              <c:idx val="1"/>
              <c:tx>
                <c:rich>
                  <a:bodyPr/>
                  <a:lstStyle/>
                  <a:p>
                    <a:r>
                      <a:rPr lang="en-US"/>
                      <a:t>63,30%</a:t>
                    </a:r>
                  </a:p>
                </c:rich>
              </c:tx>
              <c:showLegendKey val="0"/>
              <c:showVal val="1"/>
              <c:showCatName val="0"/>
              <c:showSerName val="0"/>
              <c:showPercent val="1"/>
              <c:showBubbleSize val="0"/>
            </c:dLbl>
            <c:dLbl>
              <c:idx val="2"/>
              <c:tx>
                <c:rich>
                  <a:bodyPr/>
                  <a:lstStyle/>
                  <a:p>
                    <a:r>
                      <a:rPr lang="en-US"/>
                      <a:t>10,44%</a:t>
                    </a:r>
                  </a:p>
                </c:rich>
              </c:tx>
              <c:showLegendKey val="0"/>
              <c:showVal val="1"/>
              <c:showCatName val="0"/>
              <c:showSerName val="0"/>
              <c:showPercent val="1"/>
              <c:showBubbleSize val="0"/>
            </c:dLbl>
            <c:dLbl>
              <c:idx val="3"/>
              <c:tx>
                <c:rich>
                  <a:bodyPr/>
                  <a:lstStyle/>
                  <a:p>
                    <a:r>
                      <a:rPr lang="en-US"/>
                      <a:t>4,04%</a:t>
                    </a:r>
                  </a:p>
                </c:rich>
              </c:tx>
              <c:showLegendKey val="0"/>
              <c:showVal val="1"/>
              <c:showCatName val="0"/>
              <c:showSerName val="0"/>
              <c:showPercent val="1"/>
              <c:showBubbleSize val="0"/>
            </c:dLbl>
            <c:dLbl>
              <c:idx val="4"/>
              <c:tx>
                <c:rich>
                  <a:bodyPr/>
                  <a:lstStyle/>
                  <a:p>
                    <a:r>
                      <a:rPr lang="en-US"/>
                      <a:t>14,48%</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(Hoja1!$A$51,Hoja1!$A$52,Hoja1!$A$53,Hoja1!$A$54,Hoja1!$A$55)</c:f>
              <c:strCache>
                <c:ptCount val="5"/>
                <c:pt idx="0">
                  <c:v>Autonòmics</c:v>
                </c:pt>
                <c:pt idx="1">
                  <c:v>Barcelona</c:v>
                </c:pt>
                <c:pt idx="2">
                  <c:v>Girona</c:v>
                </c:pt>
                <c:pt idx="3">
                  <c:v>Lleida</c:v>
                </c:pt>
                <c:pt idx="4">
                  <c:v>Tarragona</c:v>
                </c:pt>
              </c:strCache>
            </c:strRef>
          </c:cat>
          <c:val>
            <c:numRef>
              <c:f>Hoja1!$C$51:$C$55</c:f>
              <c:numCache>
                <c:formatCode>0.00</c:formatCode>
                <c:ptCount val="5"/>
                <c:pt idx="0">
                  <c:v>7.7441077441077439</c:v>
                </c:pt>
                <c:pt idx="1">
                  <c:v>63.299663299663301</c:v>
                </c:pt>
                <c:pt idx="2">
                  <c:v>10.437710437710438</c:v>
                </c:pt>
                <c:pt idx="3">
                  <c:v>4.0404040404040407</c:v>
                </c:pt>
                <c:pt idx="4">
                  <c:v>14.478114478114477</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2404102712967333"/>
          <c:y val="0.37999708369787111"/>
          <c:w val="0.21486556115969374"/>
          <c:h val="0.40857028288130648"/>
        </c:manualLayout>
      </c:layout>
      <c:overlay val="0"/>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Espanya-Convenis </a:t>
            </a:r>
          </a:p>
        </c:rich>
      </c:tx>
      <c:overlay val="0"/>
    </c:title>
    <c:autoTitleDeleted val="0"/>
    <c:plotArea>
      <c:layout/>
      <c:barChart>
        <c:barDir val="col"/>
        <c:grouping val="clustered"/>
        <c:varyColors val="0"/>
        <c:ser>
          <c:idx val="0"/>
          <c:order val="0"/>
          <c:tx>
            <c:strRef>
              <c:f>Hoja1!$E$74</c:f>
              <c:strCache>
                <c:ptCount val="1"/>
                <c:pt idx="0">
                  <c:v>Espanya </c:v>
                </c:pt>
              </c:strCache>
            </c:strRef>
          </c:tx>
          <c:invertIfNegative val="0"/>
          <c:dLbls>
            <c:txPr>
              <a:bodyPr/>
              <a:lstStyle/>
              <a:p>
                <a:pPr>
                  <a:defRPr b="1"/>
                </a:pPr>
                <a:endParaRPr lang="es-ES"/>
              </a:p>
            </c:txPr>
            <c:showLegendKey val="0"/>
            <c:showVal val="1"/>
            <c:showCatName val="0"/>
            <c:showSerName val="0"/>
            <c:showPercent val="0"/>
            <c:showBubbleSize val="0"/>
            <c:showLeaderLines val="0"/>
          </c:dLbls>
          <c:cat>
            <c:strRef>
              <c:f>Hoja1!$F$73:$G$73</c:f>
              <c:strCache>
                <c:ptCount val="2"/>
                <c:pt idx="0">
                  <c:v>Gener-agost2017</c:v>
                </c:pt>
                <c:pt idx="1">
                  <c:v>Gener-agost 2018</c:v>
                </c:pt>
              </c:strCache>
            </c:strRef>
          </c:cat>
          <c:val>
            <c:numRef>
              <c:f>Hoja1!$F$74:$G$74</c:f>
              <c:numCache>
                <c:formatCode>#,##0</c:formatCode>
                <c:ptCount val="2"/>
                <c:pt idx="0">
                  <c:v>2701</c:v>
                </c:pt>
                <c:pt idx="1">
                  <c:v>2962</c:v>
                </c:pt>
              </c:numCache>
            </c:numRef>
          </c:val>
        </c:ser>
        <c:dLbls>
          <c:showLegendKey val="0"/>
          <c:showVal val="0"/>
          <c:showCatName val="0"/>
          <c:showSerName val="0"/>
          <c:showPercent val="0"/>
          <c:showBubbleSize val="0"/>
        </c:dLbls>
        <c:gapWidth val="150"/>
        <c:axId val="168923520"/>
        <c:axId val="168925056"/>
      </c:barChart>
      <c:catAx>
        <c:axId val="168923520"/>
        <c:scaling>
          <c:orientation val="minMax"/>
        </c:scaling>
        <c:delete val="0"/>
        <c:axPos val="b"/>
        <c:majorTickMark val="out"/>
        <c:minorTickMark val="none"/>
        <c:tickLblPos val="nextTo"/>
        <c:crossAx val="168925056"/>
        <c:crosses val="autoZero"/>
        <c:auto val="1"/>
        <c:lblAlgn val="ctr"/>
        <c:lblOffset val="100"/>
        <c:noMultiLvlLbl val="0"/>
      </c:catAx>
      <c:valAx>
        <c:axId val="168925056"/>
        <c:scaling>
          <c:orientation val="minMax"/>
        </c:scaling>
        <c:delete val="0"/>
        <c:axPos val="l"/>
        <c:numFmt formatCode="#,##0" sourceLinked="1"/>
        <c:majorTickMark val="out"/>
        <c:minorTickMark val="none"/>
        <c:tickLblPos val="nextTo"/>
        <c:crossAx val="168923520"/>
        <c:crosses val="autoZero"/>
        <c:crossBetween val="between"/>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Espanya-Salaris </a:t>
            </a:r>
          </a:p>
        </c:rich>
      </c:tx>
      <c:overlay val="0"/>
    </c:title>
    <c:autoTitleDeleted val="0"/>
    <c:plotArea>
      <c:layout/>
      <c:barChart>
        <c:barDir val="col"/>
        <c:grouping val="clustered"/>
        <c:varyColors val="0"/>
        <c:ser>
          <c:idx val="0"/>
          <c:order val="0"/>
          <c:tx>
            <c:strRef>
              <c:f>Hoja1!$A$106</c:f>
              <c:strCache>
                <c:ptCount val="1"/>
                <c:pt idx="0">
                  <c:v>Espanya </c:v>
                </c:pt>
              </c:strCache>
            </c:strRef>
          </c:tx>
          <c:invertIfNegative val="0"/>
          <c:dLbls>
            <c:dLbl>
              <c:idx val="0"/>
              <c:tx>
                <c:rich>
                  <a:bodyPr/>
                  <a:lstStyle/>
                  <a:p>
                    <a:r>
                      <a:rPr lang="en-US"/>
                      <a:t>1,33%</a:t>
                    </a:r>
                  </a:p>
                </c:rich>
              </c:tx>
              <c:showLegendKey val="0"/>
              <c:showVal val="1"/>
              <c:showCatName val="0"/>
              <c:showSerName val="0"/>
              <c:showPercent val="0"/>
              <c:showBubbleSize val="0"/>
            </c:dLbl>
            <c:dLbl>
              <c:idx val="1"/>
              <c:tx>
                <c:rich>
                  <a:bodyPr/>
                  <a:lstStyle/>
                  <a:p>
                    <a:r>
                      <a:rPr lang="en-US"/>
                      <a:t>1,65%</a:t>
                    </a:r>
                  </a:p>
                </c:rich>
              </c:tx>
              <c:showLegendKey val="0"/>
              <c:showVal val="1"/>
              <c:showCatName val="0"/>
              <c:showSerName val="0"/>
              <c:showPercent val="0"/>
              <c:showBubbleSize val="0"/>
            </c:dLbl>
            <c:txPr>
              <a:bodyPr/>
              <a:lstStyle/>
              <a:p>
                <a:pPr>
                  <a:defRPr b="1"/>
                </a:pPr>
                <a:endParaRPr lang="es-ES"/>
              </a:p>
            </c:txPr>
            <c:showLegendKey val="0"/>
            <c:showVal val="1"/>
            <c:showCatName val="0"/>
            <c:showSerName val="0"/>
            <c:showPercent val="0"/>
            <c:showBubbleSize val="0"/>
            <c:showLeaderLines val="0"/>
          </c:dLbls>
          <c:cat>
            <c:strRef>
              <c:f>Hoja1!$B$105:$C$105</c:f>
              <c:strCache>
                <c:ptCount val="2"/>
                <c:pt idx="0">
                  <c:v>Gener-agost 2017</c:v>
                </c:pt>
                <c:pt idx="1">
                  <c:v>Gener-agost 2018</c:v>
                </c:pt>
              </c:strCache>
            </c:strRef>
          </c:cat>
          <c:val>
            <c:numRef>
              <c:f>Hoja1!$B$106:$C$106</c:f>
              <c:numCache>
                <c:formatCode>General</c:formatCode>
                <c:ptCount val="2"/>
                <c:pt idx="0" formatCode="0.00">
                  <c:v>1.33</c:v>
                </c:pt>
                <c:pt idx="1">
                  <c:v>1.65</c:v>
                </c:pt>
              </c:numCache>
            </c:numRef>
          </c:val>
        </c:ser>
        <c:dLbls>
          <c:showLegendKey val="0"/>
          <c:showVal val="0"/>
          <c:showCatName val="0"/>
          <c:showSerName val="0"/>
          <c:showPercent val="0"/>
          <c:showBubbleSize val="0"/>
        </c:dLbls>
        <c:gapWidth val="154"/>
        <c:overlap val="77"/>
        <c:axId val="168950400"/>
        <c:axId val="168825216"/>
      </c:barChart>
      <c:catAx>
        <c:axId val="168950400"/>
        <c:scaling>
          <c:orientation val="minMax"/>
        </c:scaling>
        <c:delete val="0"/>
        <c:axPos val="b"/>
        <c:majorTickMark val="out"/>
        <c:minorTickMark val="none"/>
        <c:tickLblPos val="nextTo"/>
        <c:crossAx val="168825216"/>
        <c:crosses val="autoZero"/>
        <c:auto val="1"/>
        <c:lblAlgn val="ctr"/>
        <c:lblOffset val="100"/>
        <c:noMultiLvlLbl val="0"/>
      </c:catAx>
      <c:valAx>
        <c:axId val="168825216"/>
        <c:scaling>
          <c:orientation val="minMax"/>
          <c:max val="1.8"/>
          <c:min val="0"/>
        </c:scaling>
        <c:delete val="1"/>
        <c:axPos val="l"/>
        <c:numFmt formatCode="0.00" sourceLinked="1"/>
        <c:majorTickMark val="out"/>
        <c:minorTickMark val="none"/>
        <c:tickLblPos val="nextTo"/>
        <c:crossAx val="168950400"/>
        <c:crosses val="autoZero"/>
        <c:crossBetween val="between"/>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400"/>
            </a:pPr>
            <a:r>
              <a:rPr lang="es-ES" sz="1400"/>
              <a:t>Variació interanual de l'atur per sector econòmic </a:t>
            </a:r>
          </a:p>
        </c:rich>
      </c:tx>
      <c:overlay val="0"/>
    </c:title>
    <c:autoTitleDeleted val="0"/>
    <c:plotArea>
      <c:layout>
        <c:manualLayout>
          <c:layoutTarget val="inner"/>
          <c:xMode val="edge"/>
          <c:yMode val="edge"/>
          <c:x val="5.0013020026040099E-2"/>
          <c:y val="0.147916666666667"/>
          <c:w val="0.67686816706966701"/>
          <c:h val="0.73147382618839296"/>
        </c:manualLayout>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'Paro registrado - Sectores'!$A$20:$A$24</c:f>
              <c:strCache>
                <c:ptCount val="5"/>
                <c:pt idx="0">
                  <c:v>Agricultura</c:v>
                </c:pt>
                <c:pt idx="1">
                  <c:v>Indústria</c:v>
                </c:pt>
                <c:pt idx="2">
                  <c:v>Construcció</c:v>
                </c:pt>
                <c:pt idx="3">
                  <c:v>Serveis</c:v>
                </c:pt>
                <c:pt idx="4">
                  <c:v>Sense ocupació anterior</c:v>
                </c:pt>
              </c:strCache>
            </c:strRef>
          </c:cat>
          <c:val>
            <c:numRef>
              <c:f>'Paro registrado - Sectores'!$E$28:$E$32</c:f>
              <c:numCache>
                <c:formatCode>0.00%</c:formatCode>
                <c:ptCount val="5"/>
                <c:pt idx="0">
                  <c:v>-0.14949999999999999</c:v>
                </c:pt>
                <c:pt idx="1">
                  <c:v>-9.2600000000000002E-2</c:v>
                </c:pt>
                <c:pt idx="2">
                  <c:v>-0.12529999999999999</c:v>
                </c:pt>
                <c:pt idx="3">
                  <c:v>-2.9399999999999999E-2</c:v>
                </c:pt>
                <c:pt idx="4">
                  <c:v>-4.7100000000000003E-2</c:v>
                </c:pt>
              </c:numCache>
            </c:numRef>
          </c:val>
        </c:ser>
        <c:dLbls>
          <c:showLegendKey val="0"/>
          <c:showVal val="0"/>
          <c:showCatName val="0"/>
          <c:showSerName val="0"/>
          <c:showPercent val="0"/>
          <c:showBubbleSize val="0"/>
        </c:dLbls>
        <c:gapWidth val="75"/>
        <c:overlap val="61"/>
        <c:axId val="110929024"/>
        <c:axId val="110930560"/>
      </c:barChart>
      <c:catAx>
        <c:axId val="110929024"/>
        <c:scaling>
          <c:orientation val="minMax"/>
        </c:scaling>
        <c:delete val="0"/>
        <c:axPos val="l"/>
        <c:numFmt formatCode="General" sourceLinked="1"/>
        <c:majorTickMark val="none"/>
        <c:minorTickMark val="none"/>
        <c:tickLblPos val="high"/>
        <c:crossAx val="110930560"/>
        <c:crosses val="autoZero"/>
        <c:auto val="1"/>
        <c:lblAlgn val="ctr"/>
        <c:lblOffset val="100"/>
        <c:noMultiLvlLbl val="0"/>
      </c:catAx>
      <c:valAx>
        <c:axId val="110930560"/>
        <c:scaling>
          <c:orientation val="minMax"/>
        </c:scaling>
        <c:delete val="0"/>
        <c:axPos val="b"/>
        <c:numFmt formatCode="0.00%" sourceLinked="1"/>
        <c:majorTickMark val="none"/>
        <c:minorTickMark val="none"/>
        <c:tickLblPos val="nextTo"/>
        <c:spPr>
          <a:ln w="9525">
            <a:noFill/>
          </a:ln>
        </c:spPr>
        <c:txPr>
          <a:bodyPr/>
          <a:lstStyle/>
          <a:p>
            <a:pPr>
              <a:defRPr sz="900"/>
            </a:pPr>
            <a:endParaRPr lang="es-ES"/>
          </a:p>
        </c:txPr>
        <c:crossAx val="110929024"/>
        <c:crosses val="autoZero"/>
        <c:crossBetween val="between"/>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latin typeface="Rotis Sans Serif Std" pitchFamily="34" charset="0"/>
              </a:defRPr>
            </a:pPr>
            <a:r>
              <a:rPr lang="es-ES">
                <a:latin typeface="Rotis Sans Serif Std" pitchFamily="34" charset="0"/>
              </a:rPr>
              <a:t>Convenis segons sector</a:t>
            </a:r>
          </a:p>
        </c:rich>
      </c:tx>
      <c:overlay val="0"/>
    </c:title>
    <c:autoTitleDeleted val="0"/>
    <c:plotArea>
      <c:layout/>
      <c:pieChart>
        <c:varyColors val="1"/>
        <c:ser>
          <c:idx val="0"/>
          <c:order val="0"/>
          <c:dLbls>
            <c:dLbl>
              <c:idx val="0"/>
              <c:tx>
                <c:rich>
                  <a:bodyPr/>
                  <a:lstStyle/>
                  <a:p>
                    <a:r>
                      <a:rPr lang="en-US">
                        <a:latin typeface="Rotis Sans Serif Std" pitchFamily="34" charset="0"/>
                      </a:rPr>
                      <a:t>2,13%</a:t>
                    </a:r>
                    <a:endParaRPr lang="en-US"/>
                  </a:p>
                </c:rich>
              </c:tx>
              <c:showLegendKey val="0"/>
              <c:showVal val="1"/>
              <c:showCatName val="0"/>
              <c:showSerName val="0"/>
              <c:showPercent val="1"/>
              <c:showBubbleSize val="0"/>
            </c:dLbl>
            <c:dLbl>
              <c:idx val="1"/>
              <c:tx>
                <c:rich>
                  <a:bodyPr/>
                  <a:lstStyle/>
                  <a:p>
                    <a:r>
                      <a:rPr lang="en-US">
                        <a:latin typeface="Rotis Sans Serif Std" pitchFamily="34" charset="0"/>
                      </a:rPr>
                      <a:t>37,91%</a:t>
                    </a:r>
                    <a:endParaRPr lang="en-US"/>
                  </a:p>
                </c:rich>
              </c:tx>
              <c:showLegendKey val="0"/>
              <c:showVal val="1"/>
              <c:showCatName val="0"/>
              <c:showSerName val="0"/>
              <c:showPercent val="1"/>
              <c:showBubbleSize val="0"/>
            </c:dLbl>
            <c:dLbl>
              <c:idx val="2"/>
              <c:tx>
                <c:rich>
                  <a:bodyPr/>
                  <a:lstStyle/>
                  <a:p>
                    <a:r>
                      <a:rPr lang="en-US">
                        <a:latin typeface="Rotis Sans Serif Std" pitchFamily="34" charset="0"/>
                      </a:rPr>
                      <a:t>3,41%</a:t>
                    </a:r>
                    <a:endParaRPr lang="en-US"/>
                  </a:p>
                </c:rich>
              </c:tx>
              <c:showLegendKey val="0"/>
              <c:showVal val="1"/>
              <c:showCatName val="0"/>
              <c:showSerName val="0"/>
              <c:showPercent val="1"/>
              <c:showBubbleSize val="0"/>
            </c:dLbl>
            <c:dLbl>
              <c:idx val="3"/>
              <c:tx>
                <c:rich>
                  <a:bodyPr/>
                  <a:lstStyle/>
                  <a:p>
                    <a:r>
                      <a:rPr lang="en-US">
                        <a:latin typeface="Rotis Sans Serif Std" pitchFamily="34" charset="0"/>
                      </a:rPr>
                      <a:t>56,55%</a:t>
                    </a:r>
                    <a:endParaRPr lang="en-US"/>
                  </a:p>
                </c:rich>
              </c:tx>
              <c:showLegendKey val="0"/>
              <c:showVal val="1"/>
              <c:showCatName val="0"/>
              <c:showSerName val="0"/>
              <c:showPercent val="1"/>
              <c:showBubbleSize val="0"/>
            </c:dLbl>
            <c:txPr>
              <a:bodyPr/>
              <a:lstStyle/>
              <a:p>
                <a:pPr>
                  <a:defRPr>
                    <a:latin typeface="Rotis Sans Serif Std" pitchFamily="34" charset="0"/>
                  </a:defRPr>
                </a:pPr>
                <a:endParaRPr lang="es-ES"/>
              </a:p>
            </c:txPr>
            <c:showLegendKey val="0"/>
            <c:showVal val="1"/>
            <c:showCatName val="0"/>
            <c:showSerName val="0"/>
            <c:showPercent val="1"/>
            <c:showBubbleSize val="0"/>
            <c:showLeaderLines val="1"/>
          </c:dLbls>
          <c:cat>
            <c:strRef>
              <c:f>('Sectores NC'!$A$2,'Sectores NC'!$A$3,'Sectores NC'!$A$4,'Sectores NC'!$A$5)</c:f>
              <c:strCache>
                <c:ptCount val="4"/>
                <c:pt idx="0">
                  <c:v>Agrari</c:v>
                </c:pt>
                <c:pt idx="1">
                  <c:v>Indústria</c:v>
                </c:pt>
                <c:pt idx="2">
                  <c:v>Construcció</c:v>
                </c:pt>
                <c:pt idx="3">
                  <c:v>Serveis</c:v>
                </c:pt>
              </c:strCache>
            </c:strRef>
          </c:cat>
          <c:val>
            <c:numRef>
              <c:f>('Sectores NC'!$C$2,'Sectores NC'!$C$3,'Sectores NC'!$C$4,'Sectores NC'!$C$5)</c:f>
              <c:numCache>
                <c:formatCode>0.00</c:formatCode>
                <c:ptCount val="4"/>
                <c:pt idx="0">
                  <c:v>2.1269412559081702</c:v>
                </c:pt>
                <c:pt idx="1">
                  <c:v>37.913571910871035</c:v>
                </c:pt>
                <c:pt idx="2">
                  <c:v>3.4098582039162726</c:v>
                </c:pt>
                <c:pt idx="3">
                  <c:v>56.549628629304522</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a:latin typeface="Rotis Sans Serif Std" pitchFamily="34" charset="0"/>
            </a:defRPr>
          </a:pPr>
          <a:endParaRPr lang="es-ES"/>
        </a:p>
      </c:txPr>
    </c:legend>
    <c:plotVisOnly val="1"/>
    <c:dispBlanksAs val="gap"/>
    <c:showDLblsOverMax val="0"/>
  </c:chart>
  <c:spPr>
    <a:ln>
      <a:solidFill>
        <a:srgbClr val="C00000"/>
      </a:solid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latin typeface="Rotis Sans Serif Std" pitchFamily="34" charset="0"/>
              </a:defRPr>
            </a:pPr>
            <a:r>
              <a:rPr lang="es-ES">
                <a:latin typeface="Rotis Sans Serif Std" pitchFamily="34" charset="0"/>
              </a:rPr>
              <a:t>Inaplicació Convenis per sector activitat</a:t>
            </a:r>
          </a:p>
        </c:rich>
      </c:tx>
      <c:layout>
        <c:manualLayout>
          <c:xMode val="edge"/>
          <c:yMode val="edge"/>
          <c:x val="0.13551000119705534"/>
          <c:y val="1.3336371062297524E-5"/>
        </c:manualLayout>
      </c:layout>
      <c:overlay val="0"/>
    </c:title>
    <c:autoTitleDeleted val="0"/>
    <c:plotArea>
      <c:layout>
        <c:manualLayout>
          <c:layoutTarget val="inner"/>
          <c:xMode val="edge"/>
          <c:yMode val="edge"/>
          <c:x val="0.15492444444444445"/>
          <c:y val="0.24176962962962964"/>
          <c:w val="0.42536177777777778"/>
          <c:h val="0.70893629629629629"/>
        </c:manualLayout>
      </c:layout>
      <c:pieChart>
        <c:varyColors val="1"/>
        <c:ser>
          <c:idx val="0"/>
          <c:order val="0"/>
          <c:dLbls>
            <c:dLbl>
              <c:idx val="0"/>
              <c:layout>
                <c:manualLayout>
                  <c:x val="-0.12201412395860137"/>
                  <c:y val="1.9637913713027007E-3"/>
                </c:manualLayout>
              </c:layout>
              <c:tx>
                <c:rich>
                  <a:bodyPr/>
                  <a:lstStyle/>
                  <a:p>
                    <a:r>
                      <a:rPr lang="en-US">
                        <a:latin typeface="Rotis Sans Serif Std" pitchFamily="34" charset="0"/>
                      </a:rPr>
                      <a:t>2,11%</a:t>
                    </a:r>
                    <a:endParaRPr lang="en-US"/>
                  </a:p>
                </c:rich>
              </c:tx>
              <c:showLegendKey val="0"/>
              <c:showVal val="0"/>
              <c:showCatName val="0"/>
              <c:showSerName val="0"/>
              <c:showPercent val="1"/>
              <c:showBubbleSize val="0"/>
            </c:dLbl>
            <c:dLbl>
              <c:idx val="1"/>
              <c:tx>
                <c:rich>
                  <a:bodyPr/>
                  <a:lstStyle/>
                  <a:p>
                    <a:r>
                      <a:rPr lang="en-US">
                        <a:latin typeface="Rotis Sans Serif Std" pitchFamily="34" charset="0"/>
                      </a:rPr>
                      <a:t>11,39%</a:t>
                    </a:r>
                    <a:endParaRPr lang="en-US"/>
                  </a:p>
                </c:rich>
              </c:tx>
              <c:showLegendKey val="0"/>
              <c:showVal val="0"/>
              <c:showCatName val="0"/>
              <c:showSerName val="0"/>
              <c:showPercent val="1"/>
              <c:showBubbleSize val="0"/>
            </c:dLbl>
            <c:dLbl>
              <c:idx val="2"/>
              <c:tx>
                <c:rich>
                  <a:bodyPr/>
                  <a:lstStyle/>
                  <a:p>
                    <a:r>
                      <a:rPr lang="en-US">
                        <a:latin typeface="Rotis Sans Serif Std" pitchFamily="34" charset="0"/>
                      </a:rPr>
                      <a:t>11,95%</a:t>
                    </a:r>
                    <a:endParaRPr lang="en-US"/>
                  </a:p>
                </c:rich>
              </c:tx>
              <c:showLegendKey val="0"/>
              <c:showVal val="0"/>
              <c:showCatName val="0"/>
              <c:showSerName val="0"/>
              <c:showPercent val="1"/>
              <c:showBubbleSize val="0"/>
            </c:dLbl>
            <c:dLbl>
              <c:idx val="3"/>
              <c:tx>
                <c:rich>
                  <a:bodyPr/>
                  <a:lstStyle/>
                  <a:p>
                    <a:r>
                      <a:rPr lang="en-US">
                        <a:latin typeface="Rotis Sans Serif Std" pitchFamily="34" charset="0"/>
                      </a:rPr>
                      <a:t>74,54%</a:t>
                    </a:r>
                    <a:endParaRPr lang="en-US"/>
                  </a:p>
                </c:rich>
              </c:tx>
              <c:showLegendKey val="0"/>
              <c:showVal val="1"/>
              <c:showCatName val="0"/>
              <c:showSerName val="0"/>
              <c:showPercent val="1"/>
              <c:showBubbleSize val="0"/>
            </c:dLbl>
            <c:txPr>
              <a:bodyPr/>
              <a:lstStyle/>
              <a:p>
                <a:pPr>
                  <a:defRPr>
                    <a:latin typeface="Rotis Sans Serif Std" pitchFamily="34" charset="0"/>
                  </a:defRPr>
                </a:pPr>
                <a:endParaRPr lang="es-ES"/>
              </a:p>
            </c:txPr>
            <c:showLegendKey val="0"/>
            <c:showVal val="0"/>
            <c:showCatName val="0"/>
            <c:showSerName val="0"/>
            <c:showPercent val="1"/>
            <c:showBubbleSize val="0"/>
            <c:showLeaderLines val="0"/>
          </c:dLbls>
          <c:cat>
            <c:strRef>
              <c:f>(Inaplicacions!$A$6,Inaplicacions!$A$7,Inaplicacions!$A$8,Inaplicacions!$A$9)</c:f>
              <c:strCache>
                <c:ptCount val="4"/>
                <c:pt idx="0">
                  <c:v>     Agrari</c:v>
                </c:pt>
                <c:pt idx="1">
                  <c:v>     Indústria</c:v>
                </c:pt>
                <c:pt idx="2">
                  <c:v>     Construcció</c:v>
                </c:pt>
                <c:pt idx="3">
                  <c:v>    Serveis</c:v>
                </c:pt>
              </c:strCache>
            </c:strRef>
          </c:cat>
          <c:val>
            <c:numRef>
              <c:f>(Inaplicacions!$C$6,Inaplicacions!$C$7,Inaplicacions!$C$8,Inaplicacions!$C$9)</c:f>
              <c:numCache>
                <c:formatCode>0.00</c:formatCode>
                <c:ptCount val="4"/>
                <c:pt idx="0">
                  <c:v>2.109704641350211</c:v>
                </c:pt>
                <c:pt idx="1">
                  <c:v>11.39240506329114</c:v>
                </c:pt>
                <c:pt idx="2">
                  <c:v>11.954992967651195</c:v>
                </c:pt>
                <c:pt idx="3">
                  <c:v>74.54289732770745</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a:latin typeface="Rotis Sans Serif Std" pitchFamily="34" charset="0"/>
            </a:defRPr>
          </a:pPr>
          <a:endParaRPr lang="es-ES"/>
        </a:p>
      </c:txPr>
    </c:legend>
    <c:plotVisOnly val="1"/>
    <c:dispBlanksAs val="gap"/>
    <c:showDLblsOverMax val="0"/>
  </c:chart>
  <c:spPr>
    <a:ln>
      <a:solidFill>
        <a:srgbClr val="C00000"/>
      </a:solid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sz="1600"/>
            </a:pPr>
            <a:r>
              <a:rPr lang="es-ES" sz="1600"/>
              <a:t>Inaplicacions per dimensió de l'empresa</a:t>
            </a:r>
          </a:p>
        </c:rich>
      </c:tx>
      <c:overlay val="0"/>
    </c:title>
    <c:autoTitleDeleted val="0"/>
    <c:plotArea>
      <c:layout>
        <c:manualLayout>
          <c:layoutTarget val="inner"/>
          <c:xMode val="edge"/>
          <c:yMode val="edge"/>
          <c:x val="0.17268219597550305"/>
          <c:y val="0.25924333333333338"/>
          <c:w val="0.42725799999999997"/>
          <c:h val="0.7120966666666666"/>
        </c:manualLayout>
      </c:layout>
      <c:pieChart>
        <c:varyColors val="1"/>
        <c:ser>
          <c:idx val="0"/>
          <c:order val="0"/>
          <c:dLbls>
            <c:dLbl>
              <c:idx val="0"/>
              <c:tx>
                <c:rich>
                  <a:bodyPr/>
                  <a:lstStyle/>
                  <a:p>
                    <a:r>
                      <a:rPr lang="en-US"/>
                      <a:t>85,23%</a:t>
                    </a:r>
                  </a:p>
                </c:rich>
              </c:tx>
              <c:showLegendKey val="0"/>
              <c:showVal val="1"/>
              <c:showCatName val="0"/>
              <c:showSerName val="0"/>
              <c:showPercent val="1"/>
              <c:showBubbleSize val="0"/>
            </c:dLbl>
            <c:dLbl>
              <c:idx val="1"/>
              <c:tx>
                <c:rich>
                  <a:bodyPr/>
                  <a:lstStyle/>
                  <a:p>
                    <a:r>
                      <a:rPr lang="en-US"/>
                      <a:t>10,41%</a:t>
                    </a:r>
                  </a:p>
                </c:rich>
              </c:tx>
              <c:showLegendKey val="0"/>
              <c:showVal val="1"/>
              <c:showCatName val="0"/>
              <c:showSerName val="0"/>
              <c:showPercent val="1"/>
              <c:showBubbleSize val="0"/>
            </c:dLbl>
            <c:dLbl>
              <c:idx val="2"/>
              <c:tx>
                <c:rich>
                  <a:bodyPr/>
                  <a:lstStyle/>
                  <a:p>
                    <a:r>
                      <a:rPr lang="en-US"/>
                      <a:t>1,41%</a:t>
                    </a:r>
                  </a:p>
                </c:rich>
              </c:tx>
              <c:showLegendKey val="0"/>
              <c:showVal val="1"/>
              <c:showCatName val="0"/>
              <c:showSerName val="0"/>
              <c:showPercent val="1"/>
              <c:showBubbleSize val="0"/>
            </c:dLbl>
            <c:dLbl>
              <c:idx val="3"/>
              <c:layout>
                <c:manualLayout>
                  <c:x val="-0.27903766666666668"/>
                  <c:y val="-3.0224074074074073E-2"/>
                </c:manualLayout>
              </c:layout>
              <c:tx>
                <c:rich>
                  <a:bodyPr/>
                  <a:lstStyle/>
                  <a:p>
                    <a:r>
                      <a:rPr lang="en-US"/>
                      <a:t>2,95%</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(Inaplicacions!$A$36,Inaplicacions!$A$37,Inaplicacions!$A$38,Inaplicacions!$A$39)</c:f>
              <c:strCache>
                <c:ptCount val="4"/>
                <c:pt idx="0">
                  <c:v>      1-49 treballadors</c:v>
                </c:pt>
                <c:pt idx="1">
                  <c:v>      50-249 treballadors</c:v>
                </c:pt>
                <c:pt idx="2">
                  <c:v>      250 o més treballadors</c:v>
                </c:pt>
                <c:pt idx="3">
                  <c:v>      No consta</c:v>
                </c:pt>
              </c:strCache>
            </c:strRef>
          </c:cat>
          <c:val>
            <c:numRef>
              <c:f>(Inaplicacions!$C$36,Inaplicacions!$C$37,Inaplicacions!$C$38,Inaplicacions!$C$39)</c:f>
              <c:numCache>
                <c:formatCode>#,##0.00</c:formatCode>
                <c:ptCount val="4"/>
                <c:pt idx="0">
                  <c:v>85.232067510548518</c:v>
                </c:pt>
                <c:pt idx="1">
                  <c:v>10.40787623066104</c:v>
                </c:pt>
                <c:pt idx="2">
                  <c:v>1.4064697609001406</c:v>
                </c:pt>
                <c:pt idx="3">
                  <c:v>2.9535864978902953</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es-ES"/>
        </a:p>
      </c:txPr>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es-ES"/>
              <a:t>Acumulat expedients de regulació d'ocupació. Gener-agost</a:t>
            </a:r>
            <a:r>
              <a:rPr lang="es-ES" baseline="0"/>
              <a:t> 2018</a:t>
            </a:r>
            <a:endParaRPr lang="es-ES"/>
          </a:p>
        </c:rich>
      </c:tx>
      <c:overlay val="0"/>
    </c:title>
    <c:autoTitleDeleted val="0"/>
    <c:plotArea>
      <c:layout/>
      <c:lineChart>
        <c:grouping val="standard"/>
        <c:varyColors val="0"/>
        <c:ser>
          <c:idx val="1"/>
          <c:order val="0"/>
          <c:tx>
            <c:strRef>
              <c:f>'ERO Catalunya'!$A$38</c:f>
              <c:strCache>
                <c:ptCount val="1"/>
                <c:pt idx="0">
                  <c:v>2017</c:v>
                </c:pt>
              </c:strCache>
            </c:strRef>
          </c:tx>
          <c:marker>
            <c:symbol val="none"/>
          </c:marker>
          <c:dLbls>
            <c:showLegendKey val="0"/>
            <c:showVal val="1"/>
            <c:showCatName val="0"/>
            <c:showSerName val="0"/>
            <c:showPercent val="0"/>
            <c:showBubbleSize val="0"/>
            <c:showLeaderLines val="0"/>
          </c:dLbls>
          <c:cat>
            <c:strRef>
              <c:f>('ERO Catalunya'!$A$57,'ERO Catalunya'!$A$58,'ERO Catalunya'!$A$59,'ERO Catalunya'!$A$60,'ERO Catalunya'!$A$61,'ERO Catalunya'!$A$62,'ERO Catalunya'!$A$63,'ERO Catalunya'!$A$65,'ERO Catalunya'!$A$64,'ERO Catalunya'!$A$66,'ERO Catalunya'!$A$67,'ERO Catalunya'!$A$68)</c:f>
              <c:strCache>
                <c:ptCount val="12"/>
                <c:pt idx="0">
                  <c:v>GENER</c:v>
                </c:pt>
                <c:pt idx="1">
                  <c:v>FEBRER</c:v>
                </c:pt>
                <c:pt idx="2">
                  <c:v>MARÇ</c:v>
                </c:pt>
                <c:pt idx="3">
                  <c:v>ABRIL</c:v>
                </c:pt>
                <c:pt idx="4">
                  <c:v>MAIG </c:v>
                </c:pt>
                <c:pt idx="5">
                  <c:v>JUNY</c:v>
                </c:pt>
                <c:pt idx="6">
                  <c:v>JULIOL</c:v>
                </c:pt>
                <c:pt idx="7">
                  <c:v>SETEMBRE</c:v>
                </c:pt>
                <c:pt idx="8">
                  <c:v>AGOST</c:v>
                </c:pt>
                <c:pt idx="9">
                  <c:v>OCTUBRE</c:v>
                </c:pt>
                <c:pt idx="10">
                  <c:v>NOVEMBRE</c:v>
                </c:pt>
                <c:pt idx="11">
                  <c:v>DESEMBRE</c:v>
                </c:pt>
              </c:strCache>
            </c:strRef>
          </c:cat>
          <c:val>
            <c:numRef>
              <c:f>'ERO Catalunya'!$H$40:$H$51</c:f>
              <c:numCache>
                <c:formatCode>General</c:formatCode>
                <c:ptCount val="12"/>
                <c:pt idx="0">
                  <c:v>43</c:v>
                </c:pt>
                <c:pt idx="1">
                  <c:v>21</c:v>
                </c:pt>
                <c:pt idx="2">
                  <c:v>41</c:v>
                </c:pt>
                <c:pt idx="3">
                  <c:v>26</c:v>
                </c:pt>
                <c:pt idx="4">
                  <c:v>24</c:v>
                </c:pt>
                <c:pt idx="5">
                  <c:v>30</c:v>
                </c:pt>
                <c:pt idx="6">
                  <c:v>33</c:v>
                </c:pt>
                <c:pt idx="7">
                  <c:v>15</c:v>
                </c:pt>
                <c:pt idx="8">
                  <c:v>11</c:v>
                </c:pt>
                <c:pt idx="9">
                  <c:v>29</c:v>
                </c:pt>
                <c:pt idx="10">
                  <c:v>36</c:v>
                </c:pt>
                <c:pt idx="11">
                  <c:v>41</c:v>
                </c:pt>
              </c:numCache>
            </c:numRef>
          </c:val>
          <c:smooth val="0"/>
        </c:ser>
        <c:ser>
          <c:idx val="0"/>
          <c:order val="1"/>
          <c:tx>
            <c:strRef>
              <c:f>'ERO Catalunya'!$A$55</c:f>
              <c:strCache>
                <c:ptCount val="1"/>
                <c:pt idx="0">
                  <c:v>2018</c:v>
                </c:pt>
              </c:strCache>
            </c:strRef>
          </c:tx>
          <c:marker>
            <c:symbol val="none"/>
          </c:marker>
          <c:dLbls>
            <c:dLbl>
              <c:idx val="1"/>
              <c:layout>
                <c:manualLayout>
                  <c:x val="-3.197561077373063E-2"/>
                  <c:y val="-4.4742729306487698E-2"/>
                </c:manualLayout>
              </c:layout>
              <c:showLegendKey val="0"/>
              <c:showVal val="1"/>
              <c:showCatName val="0"/>
              <c:showSerName val="0"/>
              <c:showPercent val="0"/>
              <c:showBubbleSize val="0"/>
            </c:dLbl>
            <c:dLbl>
              <c:idx val="2"/>
              <c:layout>
                <c:manualLayout>
                  <c:x val="-2.9691638575607034E-2"/>
                  <c:y val="5.3691275167785234E-2"/>
                </c:manualLayout>
              </c:layout>
              <c:showLegendKey val="0"/>
              <c:showVal val="1"/>
              <c:showCatName val="0"/>
              <c:showSerName val="0"/>
              <c:showPercent val="0"/>
              <c:showBubbleSize val="0"/>
            </c:dLbl>
            <c:dLbl>
              <c:idx val="3"/>
              <c:layout>
                <c:manualLayout>
                  <c:x val="-2.5123694179359796E-2"/>
                  <c:y val="4.0268456375838924E-2"/>
                </c:manualLayout>
              </c:layout>
              <c:showLegendKey val="0"/>
              <c:showVal val="1"/>
              <c:showCatName val="0"/>
              <c:showSerName val="0"/>
              <c:showPercent val="0"/>
              <c:showBubbleSize val="0"/>
            </c:dLbl>
            <c:dLbl>
              <c:idx val="4"/>
              <c:layout>
                <c:manualLayout>
                  <c:x val="-1.5987805386865325E-2"/>
                  <c:y val="4.9217002237136466E-2"/>
                </c:manualLayout>
              </c:layout>
              <c:showLegendKey val="0"/>
              <c:showVal val="1"/>
              <c:showCatName val="0"/>
              <c:showSerName val="0"/>
              <c:showPercent val="0"/>
              <c:showBubbleSize val="0"/>
            </c:dLbl>
            <c:dLbl>
              <c:idx val="5"/>
              <c:layout>
                <c:manualLayout>
                  <c:x val="-3.4259582971854267E-2"/>
                  <c:y val="4.0268456375838924E-2"/>
                </c:manualLayout>
              </c:layout>
              <c:showLegendKey val="0"/>
              <c:showVal val="1"/>
              <c:showCatName val="0"/>
              <c:showSerName val="0"/>
              <c:showPercent val="0"/>
              <c:showBubbleSize val="0"/>
            </c:dLbl>
            <c:dLbl>
              <c:idx val="6"/>
              <c:layout>
                <c:manualLayout>
                  <c:x val="-3.8827527368101508E-2"/>
                  <c:y val="6.2639821029082776E-2"/>
                </c:manualLayout>
              </c:layout>
              <c:showLegendKey val="0"/>
              <c:showVal val="1"/>
              <c:showCatName val="0"/>
              <c:showSerName val="0"/>
              <c:showPercent val="0"/>
              <c:showBubbleSize val="0"/>
            </c:dLbl>
            <c:dLbl>
              <c:idx val="7"/>
              <c:layout>
                <c:manualLayout>
                  <c:x val="-1.8271777584989025E-2"/>
                  <c:y val="4.0268456375838924E-2"/>
                </c:manualLayout>
              </c:layout>
              <c:showLegendKey val="0"/>
              <c:showVal val="1"/>
              <c:showCatName val="0"/>
              <c:showSerName val="0"/>
              <c:showPercent val="0"/>
              <c:showBubbleSize val="0"/>
            </c:dLbl>
            <c:txPr>
              <a:bodyPr/>
              <a:lstStyle/>
              <a:p>
                <a:pPr>
                  <a:defRPr b="1"/>
                </a:pPr>
                <a:endParaRPr lang="es-ES"/>
              </a:p>
            </c:txPr>
            <c:showLegendKey val="0"/>
            <c:showVal val="1"/>
            <c:showCatName val="0"/>
            <c:showSerName val="0"/>
            <c:showPercent val="0"/>
            <c:showBubbleSize val="0"/>
            <c:showLeaderLines val="0"/>
          </c:dLbls>
          <c:val>
            <c:numRef>
              <c:f>'ERO Catalunya'!$H$57:$H$64</c:f>
              <c:numCache>
                <c:formatCode>General</c:formatCode>
                <c:ptCount val="8"/>
                <c:pt idx="0">
                  <c:v>17</c:v>
                </c:pt>
                <c:pt idx="1">
                  <c:v>36</c:v>
                </c:pt>
                <c:pt idx="2">
                  <c:v>34</c:v>
                </c:pt>
                <c:pt idx="3">
                  <c:v>19</c:v>
                </c:pt>
                <c:pt idx="4">
                  <c:v>24</c:v>
                </c:pt>
                <c:pt idx="5">
                  <c:v>19</c:v>
                </c:pt>
                <c:pt idx="6">
                  <c:v>26</c:v>
                </c:pt>
                <c:pt idx="7">
                  <c:v>10</c:v>
                </c:pt>
              </c:numCache>
            </c:numRef>
          </c:val>
          <c:smooth val="0"/>
        </c:ser>
        <c:dLbls>
          <c:showLegendKey val="0"/>
          <c:showVal val="0"/>
          <c:showCatName val="0"/>
          <c:showSerName val="0"/>
          <c:showPercent val="0"/>
          <c:showBubbleSize val="0"/>
        </c:dLbls>
        <c:marker val="1"/>
        <c:smooth val="0"/>
        <c:axId val="168261504"/>
        <c:axId val="168263040"/>
      </c:lineChart>
      <c:catAx>
        <c:axId val="168261504"/>
        <c:scaling>
          <c:orientation val="minMax"/>
        </c:scaling>
        <c:delete val="0"/>
        <c:axPos val="b"/>
        <c:numFmt formatCode="General" sourceLinked="1"/>
        <c:majorTickMark val="none"/>
        <c:minorTickMark val="none"/>
        <c:tickLblPos val="nextTo"/>
        <c:crossAx val="168263040"/>
        <c:crosses val="autoZero"/>
        <c:auto val="1"/>
        <c:lblAlgn val="ctr"/>
        <c:lblOffset val="100"/>
        <c:noMultiLvlLbl val="0"/>
      </c:catAx>
      <c:valAx>
        <c:axId val="168263040"/>
        <c:scaling>
          <c:orientation val="minMax"/>
        </c:scaling>
        <c:delete val="0"/>
        <c:axPos val="l"/>
        <c:numFmt formatCode="General" sourceLinked="1"/>
        <c:majorTickMark val="none"/>
        <c:minorTickMark val="none"/>
        <c:tickLblPos val="nextTo"/>
        <c:spPr>
          <a:ln w="9525">
            <a:noFill/>
          </a:ln>
        </c:spPr>
        <c:crossAx val="168261504"/>
        <c:crosses val="autoZero"/>
        <c:crossBetween val="between"/>
      </c:valAx>
    </c:plotArea>
    <c:legend>
      <c:legendPos val="b"/>
      <c:overlay val="0"/>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latin typeface="Rotis Sans Serif Std" pitchFamily="34" charset="0"/>
              </a:defRPr>
            </a:pPr>
            <a:r>
              <a:rPr lang="en-US">
                <a:latin typeface="Rotis Sans Serif Std" pitchFamily="34" charset="0"/>
              </a:rPr>
              <a:t>Tipología EROS.Gener-agost 2018</a:t>
            </a:r>
          </a:p>
        </c:rich>
      </c:tx>
      <c:overlay val="0"/>
    </c:title>
    <c:autoTitleDeleted val="0"/>
    <c:plotArea>
      <c:layout/>
      <c:pieChart>
        <c:varyColors val="1"/>
        <c:ser>
          <c:idx val="0"/>
          <c:order val="0"/>
          <c:tx>
            <c:strRef>
              <c:f>'ERO Catalunya'!$A$55</c:f>
              <c:strCache>
                <c:ptCount val="1"/>
                <c:pt idx="0">
                  <c:v>2018</c:v>
                </c:pt>
              </c:strCache>
            </c:strRef>
          </c:tx>
          <c:dLbls>
            <c:dLbl>
              <c:idx val="0"/>
              <c:tx>
                <c:rich>
                  <a:bodyPr/>
                  <a:lstStyle/>
                  <a:p>
                    <a:r>
                      <a:rPr lang="en-US">
                        <a:latin typeface="Rotis Sans Serif Std" pitchFamily="34" charset="0"/>
                      </a:rPr>
                      <a:t>47,03%</a:t>
                    </a:r>
                    <a:endParaRPr lang="en-US"/>
                  </a:p>
                </c:rich>
              </c:tx>
              <c:showLegendKey val="0"/>
              <c:showVal val="1"/>
              <c:showCatName val="0"/>
              <c:showSerName val="0"/>
              <c:showPercent val="1"/>
              <c:showBubbleSize val="0"/>
            </c:dLbl>
            <c:dLbl>
              <c:idx val="1"/>
              <c:tx>
                <c:rich>
                  <a:bodyPr/>
                  <a:lstStyle/>
                  <a:p>
                    <a:r>
                      <a:rPr lang="en-US">
                        <a:latin typeface="Rotis Sans Serif Std" pitchFamily="34" charset="0"/>
                      </a:rPr>
                      <a:t>14,59%</a:t>
                    </a:r>
                    <a:endParaRPr lang="en-US"/>
                  </a:p>
                </c:rich>
              </c:tx>
              <c:showLegendKey val="0"/>
              <c:showVal val="1"/>
              <c:showCatName val="0"/>
              <c:showSerName val="0"/>
              <c:showPercent val="1"/>
              <c:showBubbleSize val="0"/>
            </c:dLbl>
            <c:dLbl>
              <c:idx val="2"/>
              <c:tx>
                <c:rich>
                  <a:bodyPr/>
                  <a:lstStyle/>
                  <a:p>
                    <a:r>
                      <a:rPr lang="en-US">
                        <a:latin typeface="Rotis Sans Serif Std" pitchFamily="34" charset="0"/>
                      </a:rPr>
                      <a:t>38,38%</a:t>
                    </a:r>
                    <a:endParaRPr lang="en-US"/>
                  </a:p>
                </c:rich>
              </c:tx>
              <c:showLegendKey val="0"/>
              <c:showVal val="1"/>
              <c:showCatName val="0"/>
              <c:showSerName val="0"/>
              <c:showPercent val="1"/>
              <c:showBubbleSize val="0"/>
            </c:dLbl>
            <c:txPr>
              <a:bodyPr/>
              <a:lstStyle/>
              <a:p>
                <a:pPr>
                  <a:defRPr>
                    <a:latin typeface="Rotis Sans Serif Std" pitchFamily="34" charset="0"/>
                  </a:defRPr>
                </a:pPr>
                <a:endParaRPr lang="es-ES"/>
              </a:p>
            </c:txPr>
            <c:showLegendKey val="0"/>
            <c:showVal val="1"/>
            <c:showCatName val="0"/>
            <c:showSerName val="0"/>
            <c:showPercent val="1"/>
            <c:showBubbleSize val="0"/>
            <c:showLeaderLines val="1"/>
          </c:dLbls>
          <c:cat>
            <c:strRef>
              <c:f>('ERO Catalunya'!$B$39,'ERO Catalunya'!$D$39,'ERO Catalunya'!$F$39)</c:f>
              <c:strCache>
                <c:ptCount val="3"/>
                <c:pt idx="0">
                  <c:v>Suspensió contracte</c:v>
                </c:pt>
                <c:pt idx="1">
                  <c:v>Reducció jornada</c:v>
                </c:pt>
                <c:pt idx="2">
                  <c:v>Extinció relació laboral</c:v>
                </c:pt>
              </c:strCache>
            </c:strRef>
          </c:cat>
          <c:val>
            <c:numRef>
              <c:f>('ERO Catalunya'!$C$69,'ERO Catalunya'!$E$69,'ERO Catalunya'!$G$69)</c:f>
              <c:numCache>
                <c:formatCode>0.00</c:formatCode>
                <c:ptCount val="3"/>
                <c:pt idx="0">
                  <c:v>47.027027027027025</c:v>
                </c:pt>
                <c:pt idx="1">
                  <c:v>14.594594594594595</c:v>
                </c:pt>
                <c:pt idx="2">
                  <c:v>38.378378378378379</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latin typeface="Rotis Sans Serif Std" pitchFamily="34" charset="0"/>
            </a:defRPr>
          </a:pPr>
          <a:endParaRPr lang="es-ES"/>
        </a:p>
      </c:txPr>
    </c:legend>
    <c:plotVisOnly val="1"/>
    <c:dispBlanksAs val="gap"/>
    <c:showDLblsOverMax val="0"/>
  </c:chart>
  <c:spPr>
    <a:ln>
      <a:solidFill>
        <a:srgbClr val="C00000"/>
      </a:solid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latin typeface="Rotis Sans Serif Std" pitchFamily="34" charset="0"/>
              </a:defRPr>
            </a:pPr>
            <a:r>
              <a:rPr lang="es-ES">
                <a:latin typeface="Rotis Sans Serif Std" pitchFamily="34" charset="0"/>
              </a:rPr>
              <a:t>Catalunya.Evolució dels EROS totals. Valors absoluts</a:t>
            </a:r>
          </a:p>
        </c:rich>
      </c:tx>
      <c:overlay val="0"/>
    </c:title>
    <c:autoTitleDeleted val="0"/>
    <c:plotArea>
      <c:layout/>
      <c:lineChart>
        <c:grouping val="standard"/>
        <c:varyColors val="0"/>
        <c:ser>
          <c:idx val="0"/>
          <c:order val="0"/>
          <c:marker>
            <c:symbol val="none"/>
          </c:marker>
          <c:dLbls>
            <c:dLbl>
              <c:idx val="0"/>
              <c:layout>
                <c:manualLayout>
                  <c:x val="8.0289597414151086E-3"/>
                  <c:y val="2.0271251995853404E-2"/>
                </c:manualLayout>
              </c:layout>
              <c:showLegendKey val="0"/>
              <c:showVal val="1"/>
              <c:showCatName val="0"/>
              <c:showSerName val="0"/>
              <c:showPercent val="0"/>
              <c:showBubbleSize val="0"/>
            </c:dLbl>
            <c:dLbl>
              <c:idx val="12"/>
              <c:showLegendKey val="0"/>
              <c:showVal val="1"/>
              <c:showCatName val="0"/>
              <c:showSerName val="0"/>
              <c:showPercent val="0"/>
              <c:showBubbleSize val="0"/>
            </c:dLbl>
            <c:dLbl>
              <c:idx val="24"/>
              <c:showLegendKey val="0"/>
              <c:showVal val="1"/>
              <c:showCatName val="0"/>
              <c:showSerName val="0"/>
              <c:showPercent val="0"/>
              <c:showBubbleSize val="0"/>
            </c:dLbl>
            <c:dLbl>
              <c:idx val="36"/>
              <c:showLegendKey val="0"/>
              <c:showVal val="1"/>
              <c:showCatName val="0"/>
              <c:showSerName val="0"/>
              <c:showPercent val="0"/>
              <c:showBubbleSize val="0"/>
            </c:dLbl>
            <c:dLbl>
              <c:idx val="48"/>
              <c:showLegendKey val="0"/>
              <c:showVal val="1"/>
              <c:showCatName val="0"/>
              <c:showSerName val="0"/>
              <c:showPercent val="0"/>
              <c:showBubbleSize val="0"/>
            </c:dLbl>
            <c:dLbl>
              <c:idx val="60"/>
              <c:layout>
                <c:manualLayout>
                  <c:x val="0"/>
                  <c:y val="-4.0515665525634931E-2"/>
                </c:manualLayout>
              </c:layout>
              <c:showLegendKey val="0"/>
              <c:showVal val="1"/>
              <c:showCatName val="0"/>
              <c:showSerName val="0"/>
              <c:showPercent val="0"/>
              <c:showBubbleSize val="0"/>
            </c:dLbl>
            <c:dLbl>
              <c:idx val="72"/>
              <c:layout>
                <c:manualLayout>
                  <c:x val="0"/>
                  <c:y val="-2.2099453923073598E-2"/>
                </c:manualLayout>
              </c:layout>
              <c:showLegendKey val="0"/>
              <c:showVal val="1"/>
              <c:showCatName val="0"/>
              <c:showSerName val="0"/>
              <c:showPercent val="0"/>
              <c:showBubbleSize val="0"/>
            </c:dLbl>
            <c:dLbl>
              <c:idx val="84"/>
              <c:spPr/>
              <c:txPr>
                <a:bodyPr/>
                <a:lstStyle/>
                <a:p>
                  <a:pPr>
                    <a:defRPr b="1">
                      <a:latin typeface="Rotis Sans Serif Std" pitchFamily="34" charset="0"/>
                    </a:defRPr>
                  </a:pPr>
                  <a:endParaRPr lang="es-ES"/>
                </a:p>
              </c:txPr>
              <c:showLegendKey val="0"/>
              <c:showVal val="1"/>
              <c:showCatName val="0"/>
              <c:showSerName val="0"/>
              <c:showPercent val="0"/>
              <c:showBubbleSize val="0"/>
            </c:dLbl>
            <c:txPr>
              <a:bodyPr/>
              <a:lstStyle/>
              <a:p>
                <a:pPr>
                  <a:defRPr>
                    <a:latin typeface="Rotis Sans Serif Std" pitchFamily="34" charset="0"/>
                  </a:defRPr>
                </a:pPr>
                <a:endParaRPr lang="es-ES"/>
              </a:p>
            </c:txPr>
            <c:showLegendKey val="0"/>
            <c:showVal val="0"/>
            <c:showCatName val="0"/>
            <c:showSerName val="0"/>
            <c:showPercent val="0"/>
            <c:showBubbleSize val="0"/>
          </c:dLbls>
          <c:cat>
            <c:strRef>
              <c:f>'ERO Catalunya'!$A$189:$A$273</c:f>
              <c:strCache>
                <c:ptCount val="85"/>
                <c:pt idx="0">
                  <c:v>ago-11</c:v>
                </c:pt>
                <c:pt idx="1">
                  <c:v>set-11</c:v>
                </c:pt>
                <c:pt idx="2">
                  <c:v>oct-11</c:v>
                </c:pt>
                <c:pt idx="3">
                  <c:v>nov-11</c:v>
                </c:pt>
                <c:pt idx="4">
                  <c:v>dic-11</c:v>
                </c:pt>
                <c:pt idx="5">
                  <c:v>ene-12</c:v>
                </c:pt>
                <c:pt idx="6">
                  <c:v>feb-12</c:v>
                </c:pt>
                <c:pt idx="7">
                  <c:v>mar-12</c:v>
                </c:pt>
                <c:pt idx="8">
                  <c:v>abr-12</c:v>
                </c:pt>
                <c:pt idx="9">
                  <c:v>may-12</c:v>
                </c:pt>
                <c:pt idx="10">
                  <c:v>jun-12</c:v>
                </c:pt>
                <c:pt idx="11">
                  <c:v>jul-12</c:v>
                </c:pt>
                <c:pt idx="12">
                  <c:v>ago-12</c:v>
                </c:pt>
                <c:pt idx="13">
                  <c:v>set-12</c:v>
                </c:pt>
                <c:pt idx="14">
                  <c:v>oct-12</c:v>
                </c:pt>
                <c:pt idx="15">
                  <c:v>nov-12</c:v>
                </c:pt>
                <c:pt idx="16">
                  <c:v>dic-12</c:v>
                </c:pt>
                <c:pt idx="17">
                  <c:v>ene-13</c:v>
                </c:pt>
                <c:pt idx="18">
                  <c:v>feb-13</c:v>
                </c:pt>
                <c:pt idx="19">
                  <c:v>mar-13</c:v>
                </c:pt>
                <c:pt idx="20">
                  <c:v>abr-13</c:v>
                </c:pt>
                <c:pt idx="21">
                  <c:v>may-13</c:v>
                </c:pt>
                <c:pt idx="22">
                  <c:v>jun-13</c:v>
                </c:pt>
                <c:pt idx="23">
                  <c:v>jul-13</c:v>
                </c:pt>
                <c:pt idx="24">
                  <c:v>ago-13</c:v>
                </c:pt>
                <c:pt idx="25">
                  <c:v>set-13</c:v>
                </c:pt>
                <c:pt idx="26">
                  <c:v>oct-13</c:v>
                </c:pt>
                <c:pt idx="27">
                  <c:v>nov-13</c:v>
                </c:pt>
                <c:pt idx="28">
                  <c:v>dic-13</c:v>
                </c:pt>
                <c:pt idx="29">
                  <c:v>ene-14</c:v>
                </c:pt>
                <c:pt idx="30">
                  <c:v>feb-14</c:v>
                </c:pt>
                <c:pt idx="31">
                  <c:v>mar-14</c:v>
                </c:pt>
                <c:pt idx="32">
                  <c:v>abr-14</c:v>
                </c:pt>
                <c:pt idx="33">
                  <c:v>may-14</c:v>
                </c:pt>
                <c:pt idx="34">
                  <c:v>jun-14</c:v>
                </c:pt>
                <c:pt idx="35">
                  <c:v>jul-14</c:v>
                </c:pt>
                <c:pt idx="36">
                  <c:v>ago-14</c:v>
                </c:pt>
                <c:pt idx="37">
                  <c:v>set-14</c:v>
                </c:pt>
                <c:pt idx="38">
                  <c:v>oct-14</c:v>
                </c:pt>
                <c:pt idx="39">
                  <c:v>nov-14</c:v>
                </c:pt>
                <c:pt idx="40">
                  <c:v>dic-14</c:v>
                </c:pt>
                <c:pt idx="41">
                  <c:v>ene-15</c:v>
                </c:pt>
                <c:pt idx="42">
                  <c:v>feb-15</c:v>
                </c:pt>
                <c:pt idx="43">
                  <c:v>mar-15</c:v>
                </c:pt>
                <c:pt idx="44">
                  <c:v>abr-15</c:v>
                </c:pt>
                <c:pt idx="45">
                  <c:v>may-15</c:v>
                </c:pt>
                <c:pt idx="46">
                  <c:v>jun-15</c:v>
                </c:pt>
                <c:pt idx="47">
                  <c:v>jul-15</c:v>
                </c:pt>
                <c:pt idx="48">
                  <c:v>ago-15</c:v>
                </c:pt>
                <c:pt idx="49">
                  <c:v>set-15</c:v>
                </c:pt>
                <c:pt idx="50">
                  <c:v>oct-15</c:v>
                </c:pt>
                <c:pt idx="51">
                  <c:v>nov-15</c:v>
                </c:pt>
                <c:pt idx="52">
                  <c:v>dic-15</c:v>
                </c:pt>
                <c:pt idx="53">
                  <c:v>ene-16</c:v>
                </c:pt>
                <c:pt idx="54">
                  <c:v>feb-16</c:v>
                </c:pt>
                <c:pt idx="55">
                  <c:v>mar-16</c:v>
                </c:pt>
                <c:pt idx="56">
                  <c:v>abr-16</c:v>
                </c:pt>
                <c:pt idx="57">
                  <c:v>may-16</c:v>
                </c:pt>
                <c:pt idx="58">
                  <c:v>jun-16</c:v>
                </c:pt>
                <c:pt idx="59">
                  <c:v>jul-16</c:v>
                </c:pt>
                <c:pt idx="60">
                  <c:v>ago-16</c:v>
                </c:pt>
                <c:pt idx="61">
                  <c:v>set-16</c:v>
                </c:pt>
                <c:pt idx="62">
                  <c:v>oct-16</c:v>
                </c:pt>
                <c:pt idx="63">
                  <c:v>nov-16</c:v>
                </c:pt>
                <c:pt idx="64">
                  <c:v>dic-16</c:v>
                </c:pt>
                <c:pt idx="65">
                  <c:v>ene-17</c:v>
                </c:pt>
                <c:pt idx="66">
                  <c:v>feb-17</c:v>
                </c:pt>
                <c:pt idx="67">
                  <c:v>mar-17</c:v>
                </c:pt>
                <c:pt idx="68">
                  <c:v>abr-17</c:v>
                </c:pt>
                <c:pt idx="69">
                  <c:v>may-17</c:v>
                </c:pt>
                <c:pt idx="70">
                  <c:v>jun-17</c:v>
                </c:pt>
                <c:pt idx="71">
                  <c:v>jul-17</c:v>
                </c:pt>
                <c:pt idx="72">
                  <c:v>ago-17</c:v>
                </c:pt>
                <c:pt idx="73">
                  <c:v>set-17</c:v>
                </c:pt>
                <c:pt idx="74">
                  <c:v>oct-17</c:v>
                </c:pt>
                <c:pt idx="75">
                  <c:v>nov-17</c:v>
                </c:pt>
                <c:pt idx="76">
                  <c:v>dic-17</c:v>
                </c:pt>
                <c:pt idx="77">
                  <c:v>ene-18</c:v>
                </c:pt>
                <c:pt idx="78">
                  <c:v>feb-18</c:v>
                </c:pt>
                <c:pt idx="79">
                  <c:v>mar-18</c:v>
                </c:pt>
                <c:pt idx="80">
                  <c:v>abr-18</c:v>
                </c:pt>
                <c:pt idx="81">
                  <c:v>may-18</c:v>
                </c:pt>
                <c:pt idx="82">
                  <c:v>jun-18</c:v>
                </c:pt>
                <c:pt idx="83">
                  <c:v>jul-18</c:v>
                </c:pt>
                <c:pt idx="84">
                  <c:v>ago-18</c:v>
                </c:pt>
              </c:strCache>
            </c:strRef>
          </c:cat>
          <c:val>
            <c:numRef>
              <c:f>'ERO Catalunya'!$B$189:$B$273</c:f>
              <c:numCache>
                <c:formatCode>General</c:formatCode>
                <c:ptCount val="85"/>
                <c:pt idx="0">
                  <c:v>226</c:v>
                </c:pt>
                <c:pt idx="1">
                  <c:v>167</c:v>
                </c:pt>
                <c:pt idx="2">
                  <c:v>262</c:v>
                </c:pt>
                <c:pt idx="3">
                  <c:v>263</c:v>
                </c:pt>
                <c:pt idx="4">
                  <c:v>282</c:v>
                </c:pt>
                <c:pt idx="5">
                  <c:v>503</c:v>
                </c:pt>
                <c:pt idx="6">
                  <c:v>501</c:v>
                </c:pt>
                <c:pt idx="7">
                  <c:v>666</c:v>
                </c:pt>
                <c:pt idx="8">
                  <c:v>487</c:v>
                </c:pt>
                <c:pt idx="9">
                  <c:v>504</c:v>
                </c:pt>
                <c:pt idx="10">
                  <c:v>470</c:v>
                </c:pt>
                <c:pt idx="11">
                  <c:v>540</c:v>
                </c:pt>
                <c:pt idx="12">
                  <c:v>201</c:v>
                </c:pt>
                <c:pt idx="13">
                  <c:v>236</c:v>
                </c:pt>
                <c:pt idx="14">
                  <c:v>511</c:v>
                </c:pt>
                <c:pt idx="15">
                  <c:v>498</c:v>
                </c:pt>
                <c:pt idx="16">
                  <c:v>552</c:v>
                </c:pt>
                <c:pt idx="17">
                  <c:v>341</c:v>
                </c:pt>
                <c:pt idx="18">
                  <c:v>445</c:v>
                </c:pt>
                <c:pt idx="19">
                  <c:v>423</c:v>
                </c:pt>
                <c:pt idx="20">
                  <c:v>329</c:v>
                </c:pt>
                <c:pt idx="21">
                  <c:v>342</c:v>
                </c:pt>
                <c:pt idx="22">
                  <c:v>287</c:v>
                </c:pt>
                <c:pt idx="23">
                  <c:v>350</c:v>
                </c:pt>
                <c:pt idx="24">
                  <c:v>113</c:v>
                </c:pt>
                <c:pt idx="25">
                  <c:v>147</c:v>
                </c:pt>
                <c:pt idx="26">
                  <c:v>257</c:v>
                </c:pt>
                <c:pt idx="27">
                  <c:v>238</c:v>
                </c:pt>
                <c:pt idx="28">
                  <c:v>320</c:v>
                </c:pt>
                <c:pt idx="29">
                  <c:v>184</c:v>
                </c:pt>
                <c:pt idx="30">
                  <c:v>206</c:v>
                </c:pt>
                <c:pt idx="31">
                  <c:v>201</c:v>
                </c:pt>
                <c:pt idx="32">
                  <c:v>119</c:v>
                </c:pt>
                <c:pt idx="33">
                  <c:v>126</c:v>
                </c:pt>
                <c:pt idx="34">
                  <c:v>139</c:v>
                </c:pt>
                <c:pt idx="35">
                  <c:v>143</c:v>
                </c:pt>
                <c:pt idx="36">
                  <c:v>40</c:v>
                </c:pt>
                <c:pt idx="37">
                  <c:v>64</c:v>
                </c:pt>
                <c:pt idx="38">
                  <c:v>104</c:v>
                </c:pt>
                <c:pt idx="39">
                  <c:v>106</c:v>
                </c:pt>
                <c:pt idx="40">
                  <c:v>130</c:v>
                </c:pt>
                <c:pt idx="41">
                  <c:v>71</c:v>
                </c:pt>
                <c:pt idx="42">
                  <c:v>108</c:v>
                </c:pt>
                <c:pt idx="43">
                  <c:v>84</c:v>
                </c:pt>
                <c:pt idx="44">
                  <c:v>58</c:v>
                </c:pt>
                <c:pt idx="45">
                  <c:v>51</c:v>
                </c:pt>
                <c:pt idx="46">
                  <c:v>61</c:v>
                </c:pt>
                <c:pt idx="47">
                  <c:v>71</c:v>
                </c:pt>
                <c:pt idx="48">
                  <c:v>26</c:v>
                </c:pt>
                <c:pt idx="49">
                  <c:v>45</c:v>
                </c:pt>
                <c:pt idx="50">
                  <c:v>63</c:v>
                </c:pt>
                <c:pt idx="51">
                  <c:v>63</c:v>
                </c:pt>
                <c:pt idx="52">
                  <c:v>63</c:v>
                </c:pt>
                <c:pt idx="53">
                  <c:v>64</c:v>
                </c:pt>
                <c:pt idx="54">
                  <c:v>51</c:v>
                </c:pt>
                <c:pt idx="55">
                  <c:v>53</c:v>
                </c:pt>
                <c:pt idx="56">
                  <c:v>35</c:v>
                </c:pt>
                <c:pt idx="57">
                  <c:v>38</c:v>
                </c:pt>
                <c:pt idx="58">
                  <c:v>32</c:v>
                </c:pt>
                <c:pt idx="59">
                  <c:v>42</c:v>
                </c:pt>
                <c:pt idx="60">
                  <c:v>26</c:v>
                </c:pt>
                <c:pt idx="61">
                  <c:v>33</c:v>
                </c:pt>
                <c:pt idx="62">
                  <c:v>46</c:v>
                </c:pt>
                <c:pt idx="63">
                  <c:v>30</c:v>
                </c:pt>
                <c:pt idx="64">
                  <c:v>47</c:v>
                </c:pt>
                <c:pt idx="65">
                  <c:v>43</c:v>
                </c:pt>
                <c:pt idx="66">
                  <c:v>21</c:v>
                </c:pt>
                <c:pt idx="67">
                  <c:v>41</c:v>
                </c:pt>
                <c:pt idx="68">
                  <c:v>26</c:v>
                </c:pt>
                <c:pt idx="69">
                  <c:v>24</c:v>
                </c:pt>
                <c:pt idx="70">
                  <c:v>30</c:v>
                </c:pt>
                <c:pt idx="71">
                  <c:v>33</c:v>
                </c:pt>
                <c:pt idx="72">
                  <c:v>15</c:v>
                </c:pt>
                <c:pt idx="73">
                  <c:v>11</c:v>
                </c:pt>
                <c:pt idx="74">
                  <c:v>29</c:v>
                </c:pt>
                <c:pt idx="75">
                  <c:v>36</c:v>
                </c:pt>
                <c:pt idx="76">
                  <c:v>41</c:v>
                </c:pt>
                <c:pt idx="77">
                  <c:v>17</c:v>
                </c:pt>
                <c:pt idx="78">
                  <c:v>36</c:v>
                </c:pt>
                <c:pt idx="79">
                  <c:v>34</c:v>
                </c:pt>
                <c:pt idx="80">
                  <c:v>19</c:v>
                </c:pt>
                <c:pt idx="81">
                  <c:v>24</c:v>
                </c:pt>
                <c:pt idx="82">
                  <c:v>19</c:v>
                </c:pt>
                <c:pt idx="83">
                  <c:v>26</c:v>
                </c:pt>
                <c:pt idx="84">
                  <c:v>10</c:v>
                </c:pt>
              </c:numCache>
            </c:numRef>
          </c:val>
          <c:smooth val="0"/>
        </c:ser>
        <c:dLbls>
          <c:showLegendKey val="0"/>
          <c:showVal val="0"/>
          <c:showCatName val="0"/>
          <c:showSerName val="0"/>
          <c:showPercent val="0"/>
          <c:showBubbleSize val="0"/>
        </c:dLbls>
        <c:marker val="1"/>
        <c:smooth val="0"/>
        <c:axId val="168411520"/>
        <c:axId val="168413056"/>
      </c:lineChart>
      <c:catAx>
        <c:axId val="168411520"/>
        <c:scaling>
          <c:orientation val="minMax"/>
        </c:scaling>
        <c:delete val="0"/>
        <c:axPos val="b"/>
        <c:majorTickMark val="none"/>
        <c:minorTickMark val="none"/>
        <c:tickLblPos val="nextTo"/>
        <c:txPr>
          <a:bodyPr/>
          <a:lstStyle/>
          <a:p>
            <a:pPr>
              <a:defRPr>
                <a:latin typeface="Rotis Sans Serif Std" pitchFamily="34" charset="0"/>
              </a:defRPr>
            </a:pPr>
            <a:endParaRPr lang="es-ES"/>
          </a:p>
        </c:txPr>
        <c:crossAx val="168413056"/>
        <c:crosses val="autoZero"/>
        <c:auto val="1"/>
        <c:lblAlgn val="ctr"/>
        <c:lblOffset val="100"/>
        <c:tickLblSkip val="12"/>
        <c:tickMarkSkip val="8"/>
        <c:noMultiLvlLbl val="0"/>
      </c:catAx>
      <c:valAx>
        <c:axId val="168413056"/>
        <c:scaling>
          <c:orientation val="minMax"/>
        </c:scaling>
        <c:delete val="0"/>
        <c:axPos val="l"/>
        <c:numFmt formatCode="General" sourceLinked="1"/>
        <c:majorTickMark val="none"/>
        <c:minorTickMark val="none"/>
        <c:tickLblPos val="nextTo"/>
        <c:txPr>
          <a:bodyPr/>
          <a:lstStyle/>
          <a:p>
            <a:pPr>
              <a:defRPr>
                <a:latin typeface="Rotis Sans Serif Std" pitchFamily="34" charset="0"/>
              </a:defRPr>
            </a:pPr>
            <a:endParaRPr lang="es-ES"/>
          </a:p>
        </c:txPr>
        <c:crossAx val="168411520"/>
        <c:crossesAt val="1"/>
        <c:crossBetween val="between"/>
        <c:majorUnit val="50"/>
      </c:valAx>
    </c:plotArea>
    <c:plotVisOnly val="1"/>
    <c:dispBlanksAs val="gap"/>
    <c:showDLblsOverMax val="0"/>
  </c:chart>
  <c:spPr>
    <a:solidFill>
      <a:schemeClr val="lt1"/>
    </a:solidFill>
    <a:ln w="3175" cap="flat" cmpd="sng" algn="ctr">
      <a:solidFill>
        <a:schemeClr val="accent2"/>
      </a:solidFill>
      <a:prstDash val="solid"/>
    </a:ln>
    <a:effectLst/>
  </c:spPr>
  <c:txPr>
    <a:bodyPr/>
    <a:lstStyle/>
    <a:p>
      <a:pPr>
        <a:defRPr>
          <a:solidFill>
            <a:schemeClr val="dk1"/>
          </a:solidFill>
          <a:latin typeface="+mn-lt"/>
          <a:ea typeface="+mn-ea"/>
          <a:cs typeface="+mn-cs"/>
        </a:defRPr>
      </a:pPr>
      <a:endParaRPr lang="es-E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en-US"/>
              <a:t>Evolució EROS per tipología. Valors</a:t>
            </a:r>
            <a:r>
              <a:rPr lang="en-US" baseline="0"/>
              <a:t> absoluts</a:t>
            </a:r>
            <a:endParaRPr lang="en-US"/>
          </a:p>
        </c:rich>
      </c:tx>
      <c:overlay val="0"/>
    </c:title>
    <c:autoTitleDeleted val="0"/>
    <c:plotArea>
      <c:layout>
        <c:manualLayout>
          <c:layoutTarget val="inner"/>
          <c:xMode val="edge"/>
          <c:yMode val="edge"/>
          <c:x val="5.7786688103101502E-2"/>
          <c:y val="0.12293062562890095"/>
          <c:w val="0.91234473919542347"/>
          <c:h val="0.72362894316494619"/>
        </c:manualLayout>
      </c:layout>
      <c:lineChart>
        <c:grouping val="standard"/>
        <c:varyColors val="0"/>
        <c:ser>
          <c:idx val="0"/>
          <c:order val="0"/>
          <c:tx>
            <c:strRef>
              <c:f>'ERO Catalunya'!$C$181</c:f>
              <c:strCache>
                <c:ptCount val="1"/>
                <c:pt idx="0">
                  <c:v>Extinció</c:v>
                </c:pt>
              </c:strCache>
            </c:strRef>
          </c:tx>
          <c:marker>
            <c:symbol val="none"/>
          </c:marker>
          <c:dLbls>
            <c:dLbl>
              <c:idx val="0"/>
              <c:layout>
                <c:manualLayout>
                  <c:x val="-9.8400984009840101E-3"/>
                  <c:y val="-2.1447721179624665E-2"/>
                </c:manualLayout>
              </c:layout>
              <c:showLegendKey val="0"/>
              <c:showVal val="1"/>
              <c:showCatName val="0"/>
              <c:showSerName val="0"/>
              <c:showPercent val="0"/>
              <c:showBubbleSize val="0"/>
            </c:dLbl>
            <c:dLbl>
              <c:idx val="12"/>
              <c:showLegendKey val="0"/>
              <c:showVal val="1"/>
              <c:showCatName val="0"/>
              <c:showSerName val="0"/>
              <c:showPercent val="0"/>
              <c:showBubbleSize val="0"/>
            </c:dLbl>
            <c:dLbl>
              <c:idx val="24"/>
              <c:layout>
                <c:manualLayout>
                  <c:x val="-1.4760147601476014E-2"/>
                  <c:y val="-2.1447721179624665E-2"/>
                </c:manualLayout>
              </c:layout>
              <c:showLegendKey val="0"/>
              <c:showVal val="1"/>
              <c:showCatName val="0"/>
              <c:showSerName val="0"/>
              <c:showPercent val="0"/>
              <c:showBubbleSize val="0"/>
            </c:dLbl>
            <c:dLbl>
              <c:idx val="36"/>
              <c:layout>
                <c:manualLayout>
                  <c:x val="-1.4760147601476014E-2"/>
                  <c:y val="-2.1447721179624665E-2"/>
                </c:manualLayout>
              </c:layout>
              <c:showLegendKey val="0"/>
              <c:showVal val="1"/>
              <c:showCatName val="0"/>
              <c:showSerName val="0"/>
              <c:showPercent val="0"/>
              <c:showBubbleSize val="0"/>
            </c:dLbl>
            <c:dLbl>
              <c:idx val="47"/>
              <c:layout>
                <c:manualLayout>
                  <c:x val="-2.2960229602296024E-2"/>
                  <c:y val="-1.7873100983020553E-2"/>
                </c:manualLayout>
              </c:layout>
              <c:showLegendKey val="0"/>
              <c:showVal val="1"/>
              <c:showCatName val="0"/>
              <c:showSerName val="0"/>
              <c:showPercent val="0"/>
              <c:showBubbleSize val="0"/>
            </c:dLbl>
            <c:dLbl>
              <c:idx val="60"/>
              <c:showLegendKey val="0"/>
              <c:showVal val="1"/>
              <c:showCatName val="0"/>
              <c:showSerName val="0"/>
              <c:showPercent val="0"/>
              <c:showBubbleSize val="0"/>
            </c:dLbl>
            <c:dLbl>
              <c:idx val="72"/>
              <c:showLegendKey val="0"/>
              <c:showVal val="1"/>
              <c:showCatName val="0"/>
              <c:showSerName val="0"/>
              <c:showPercent val="0"/>
              <c:showBubbleSize val="0"/>
            </c:dLbl>
            <c:showLegendKey val="0"/>
            <c:showVal val="0"/>
            <c:showCatName val="0"/>
            <c:showSerName val="0"/>
            <c:showPercent val="0"/>
            <c:showBubbleSize val="0"/>
          </c:dLbls>
          <c:cat>
            <c:strRef>
              <c:f>'ERO Catalunya'!$A$189:$A$273</c:f>
              <c:strCache>
                <c:ptCount val="85"/>
                <c:pt idx="0">
                  <c:v>ago-11</c:v>
                </c:pt>
                <c:pt idx="1">
                  <c:v>set-11</c:v>
                </c:pt>
                <c:pt idx="2">
                  <c:v>oct-11</c:v>
                </c:pt>
                <c:pt idx="3">
                  <c:v>nov-11</c:v>
                </c:pt>
                <c:pt idx="4">
                  <c:v>dic-11</c:v>
                </c:pt>
                <c:pt idx="5">
                  <c:v>ene-12</c:v>
                </c:pt>
                <c:pt idx="6">
                  <c:v>feb-12</c:v>
                </c:pt>
                <c:pt idx="7">
                  <c:v>mar-12</c:v>
                </c:pt>
                <c:pt idx="8">
                  <c:v>abr-12</c:v>
                </c:pt>
                <c:pt idx="9">
                  <c:v>may-12</c:v>
                </c:pt>
                <c:pt idx="10">
                  <c:v>jun-12</c:v>
                </c:pt>
                <c:pt idx="11">
                  <c:v>jul-12</c:v>
                </c:pt>
                <c:pt idx="12">
                  <c:v>ago-12</c:v>
                </c:pt>
                <c:pt idx="13">
                  <c:v>set-12</c:v>
                </c:pt>
                <c:pt idx="14">
                  <c:v>oct-12</c:v>
                </c:pt>
                <c:pt idx="15">
                  <c:v>nov-12</c:v>
                </c:pt>
                <c:pt idx="16">
                  <c:v>dic-12</c:v>
                </c:pt>
                <c:pt idx="17">
                  <c:v>ene-13</c:v>
                </c:pt>
                <c:pt idx="18">
                  <c:v>feb-13</c:v>
                </c:pt>
                <c:pt idx="19">
                  <c:v>mar-13</c:v>
                </c:pt>
                <c:pt idx="20">
                  <c:v>abr-13</c:v>
                </c:pt>
                <c:pt idx="21">
                  <c:v>may-13</c:v>
                </c:pt>
                <c:pt idx="22">
                  <c:v>jun-13</c:v>
                </c:pt>
                <c:pt idx="23">
                  <c:v>jul-13</c:v>
                </c:pt>
                <c:pt idx="24">
                  <c:v>ago-13</c:v>
                </c:pt>
                <c:pt idx="25">
                  <c:v>set-13</c:v>
                </c:pt>
                <c:pt idx="26">
                  <c:v>oct-13</c:v>
                </c:pt>
                <c:pt idx="27">
                  <c:v>nov-13</c:v>
                </c:pt>
                <c:pt idx="28">
                  <c:v>dic-13</c:v>
                </c:pt>
                <c:pt idx="29">
                  <c:v>ene-14</c:v>
                </c:pt>
                <c:pt idx="30">
                  <c:v>feb-14</c:v>
                </c:pt>
                <c:pt idx="31">
                  <c:v>mar-14</c:v>
                </c:pt>
                <c:pt idx="32">
                  <c:v>abr-14</c:v>
                </c:pt>
                <c:pt idx="33">
                  <c:v>may-14</c:v>
                </c:pt>
                <c:pt idx="34">
                  <c:v>jun-14</c:v>
                </c:pt>
                <c:pt idx="35">
                  <c:v>jul-14</c:v>
                </c:pt>
                <c:pt idx="36">
                  <c:v>ago-14</c:v>
                </c:pt>
                <c:pt idx="37">
                  <c:v>set-14</c:v>
                </c:pt>
                <c:pt idx="38">
                  <c:v>oct-14</c:v>
                </c:pt>
                <c:pt idx="39">
                  <c:v>nov-14</c:v>
                </c:pt>
                <c:pt idx="40">
                  <c:v>dic-14</c:v>
                </c:pt>
                <c:pt idx="41">
                  <c:v>ene-15</c:v>
                </c:pt>
                <c:pt idx="42">
                  <c:v>feb-15</c:v>
                </c:pt>
                <c:pt idx="43">
                  <c:v>mar-15</c:v>
                </c:pt>
                <c:pt idx="44">
                  <c:v>abr-15</c:v>
                </c:pt>
                <c:pt idx="45">
                  <c:v>may-15</c:v>
                </c:pt>
                <c:pt idx="46">
                  <c:v>jun-15</c:v>
                </c:pt>
                <c:pt idx="47">
                  <c:v>jul-15</c:v>
                </c:pt>
                <c:pt idx="48">
                  <c:v>ago-15</c:v>
                </c:pt>
                <c:pt idx="49">
                  <c:v>set-15</c:v>
                </c:pt>
                <c:pt idx="50">
                  <c:v>oct-15</c:v>
                </c:pt>
                <c:pt idx="51">
                  <c:v>nov-15</c:v>
                </c:pt>
                <c:pt idx="52">
                  <c:v>dic-15</c:v>
                </c:pt>
                <c:pt idx="53">
                  <c:v>ene-16</c:v>
                </c:pt>
                <c:pt idx="54">
                  <c:v>feb-16</c:v>
                </c:pt>
                <c:pt idx="55">
                  <c:v>mar-16</c:v>
                </c:pt>
                <c:pt idx="56">
                  <c:v>abr-16</c:v>
                </c:pt>
                <c:pt idx="57">
                  <c:v>may-16</c:v>
                </c:pt>
                <c:pt idx="58">
                  <c:v>jun-16</c:v>
                </c:pt>
                <c:pt idx="59">
                  <c:v>jul-16</c:v>
                </c:pt>
                <c:pt idx="60">
                  <c:v>ago-16</c:v>
                </c:pt>
                <c:pt idx="61">
                  <c:v>set-16</c:v>
                </c:pt>
                <c:pt idx="62">
                  <c:v>oct-16</c:v>
                </c:pt>
                <c:pt idx="63">
                  <c:v>nov-16</c:v>
                </c:pt>
                <c:pt idx="64">
                  <c:v>dic-16</c:v>
                </c:pt>
                <c:pt idx="65">
                  <c:v>ene-17</c:v>
                </c:pt>
                <c:pt idx="66">
                  <c:v>feb-17</c:v>
                </c:pt>
                <c:pt idx="67">
                  <c:v>mar-17</c:v>
                </c:pt>
                <c:pt idx="68">
                  <c:v>abr-17</c:v>
                </c:pt>
                <c:pt idx="69">
                  <c:v>may-17</c:v>
                </c:pt>
                <c:pt idx="70">
                  <c:v>jun-17</c:v>
                </c:pt>
                <c:pt idx="71">
                  <c:v>jul-17</c:v>
                </c:pt>
                <c:pt idx="72">
                  <c:v>ago-17</c:v>
                </c:pt>
                <c:pt idx="73">
                  <c:v>set-17</c:v>
                </c:pt>
                <c:pt idx="74">
                  <c:v>oct-17</c:v>
                </c:pt>
                <c:pt idx="75">
                  <c:v>nov-17</c:v>
                </c:pt>
                <c:pt idx="76">
                  <c:v>dic-17</c:v>
                </c:pt>
                <c:pt idx="77">
                  <c:v>ene-18</c:v>
                </c:pt>
                <c:pt idx="78">
                  <c:v>feb-18</c:v>
                </c:pt>
                <c:pt idx="79">
                  <c:v>mar-18</c:v>
                </c:pt>
                <c:pt idx="80">
                  <c:v>abr-18</c:v>
                </c:pt>
                <c:pt idx="81">
                  <c:v>may-18</c:v>
                </c:pt>
                <c:pt idx="82">
                  <c:v>jun-18</c:v>
                </c:pt>
                <c:pt idx="83">
                  <c:v>jul-18</c:v>
                </c:pt>
                <c:pt idx="84">
                  <c:v>ago-18</c:v>
                </c:pt>
              </c:strCache>
            </c:strRef>
          </c:cat>
          <c:val>
            <c:numRef>
              <c:f>'ERO Catalunya'!$C$189:$C$273</c:f>
              <c:numCache>
                <c:formatCode>General</c:formatCode>
                <c:ptCount val="85"/>
                <c:pt idx="0">
                  <c:v>38</c:v>
                </c:pt>
                <c:pt idx="1">
                  <c:v>25</c:v>
                </c:pt>
                <c:pt idx="2">
                  <c:v>40</c:v>
                </c:pt>
                <c:pt idx="3">
                  <c:v>36</c:v>
                </c:pt>
                <c:pt idx="4">
                  <c:v>42</c:v>
                </c:pt>
                <c:pt idx="5">
                  <c:v>59</c:v>
                </c:pt>
                <c:pt idx="6">
                  <c:v>59</c:v>
                </c:pt>
                <c:pt idx="7">
                  <c:v>85</c:v>
                </c:pt>
                <c:pt idx="8">
                  <c:v>56</c:v>
                </c:pt>
                <c:pt idx="9">
                  <c:v>35</c:v>
                </c:pt>
                <c:pt idx="10">
                  <c:v>44</c:v>
                </c:pt>
                <c:pt idx="11">
                  <c:v>72</c:v>
                </c:pt>
                <c:pt idx="12">
                  <c:v>45</c:v>
                </c:pt>
                <c:pt idx="13">
                  <c:v>31</c:v>
                </c:pt>
                <c:pt idx="14">
                  <c:v>36</c:v>
                </c:pt>
                <c:pt idx="15">
                  <c:v>198</c:v>
                </c:pt>
                <c:pt idx="16">
                  <c:v>66</c:v>
                </c:pt>
                <c:pt idx="17">
                  <c:v>42</c:v>
                </c:pt>
                <c:pt idx="18">
                  <c:v>53</c:v>
                </c:pt>
                <c:pt idx="19">
                  <c:v>40</c:v>
                </c:pt>
                <c:pt idx="20">
                  <c:v>40</c:v>
                </c:pt>
                <c:pt idx="21">
                  <c:v>37</c:v>
                </c:pt>
                <c:pt idx="22">
                  <c:v>28</c:v>
                </c:pt>
                <c:pt idx="23">
                  <c:v>59</c:v>
                </c:pt>
                <c:pt idx="24">
                  <c:v>23</c:v>
                </c:pt>
                <c:pt idx="25">
                  <c:v>14</c:v>
                </c:pt>
                <c:pt idx="26">
                  <c:v>22</c:v>
                </c:pt>
                <c:pt idx="27">
                  <c:v>23</c:v>
                </c:pt>
                <c:pt idx="28">
                  <c:v>32</c:v>
                </c:pt>
                <c:pt idx="29">
                  <c:v>21</c:v>
                </c:pt>
                <c:pt idx="30">
                  <c:v>17</c:v>
                </c:pt>
                <c:pt idx="31">
                  <c:v>23</c:v>
                </c:pt>
                <c:pt idx="32">
                  <c:v>22</c:v>
                </c:pt>
                <c:pt idx="33">
                  <c:v>16</c:v>
                </c:pt>
                <c:pt idx="34">
                  <c:v>25</c:v>
                </c:pt>
                <c:pt idx="35">
                  <c:v>30</c:v>
                </c:pt>
                <c:pt idx="36">
                  <c:v>10</c:v>
                </c:pt>
                <c:pt idx="37">
                  <c:v>6</c:v>
                </c:pt>
                <c:pt idx="38">
                  <c:v>13</c:v>
                </c:pt>
                <c:pt idx="39">
                  <c:v>16</c:v>
                </c:pt>
                <c:pt idx="40">
                  <c:v>19</c:v>
                </c:pt>
                <c:pt idx="41">
                  <c:v>8</c:v>
                </c:pt>
                <c:pt idx="42">
                  <c:v>11</c:v>
                </c:pt>
                <c:pt idx="43">
                  <c:v>14</c:v>
                </c:pt>
                <c:pt idx="44">
                  <c:v>10</c:v>
                </c:pt>
                <c:pt idx="45">
                  <c:v>9</c:v>
                </c:pt>
                <c:pt idx="46">
                  <c:v>14</c:v>
                </c:pt>
                <c:pt idx="47">
                  <c:v>18</c:v>
                </c:pt>
                <c:pt idx="48">
                  <c:v>8</c:v>
                </c:pt>
                <c:pt idx="49">
                  <c:v>11</c:v>
                </c:pt>
                <c:pt idx="50">
                  <c:v>19</c:v>
                </c:pt>
                <c:pt idx="51">
                  <c:v>12</c:v>
                </c:pt>
                <c:pt idx="52">
                  <c:v>19</c:v>
                </c:pt>
                <c:pt idx="53">
                  <c:v>10</c:v>
                </c:pt>
                <c:pt idx="54">
                  <c:v>6</c:v>
                </c:pt>
                <c:pt idx="55">
                  <c:v>16</c:v>
                </c:pt>
                <c:pt idx="56">
                  <c:v>10</c:v>
                </c:pt>
                <c:pt idx="57">
                  <c:v>12</c:v>
                </c:pt>
                <c:pt idx="58">
                  <c:v>11</c:v>
                </c:pt>
                <c:pt idx="59">
                  <c:v>16</c:v>
                </c:pt>
                <c:pt idx="60">
                  <c:v>13</c:v>
                </c:pt>
                <c:pt idx="61">
                  <c:v>6</c:v>
                </c:pt>
                <c:pt idx="62">
                  <c:v>14</c:v>
                </c:pt>
                <c:pt idx="63">
                  <c:v>8</c:v>
                </c:pt>
                <c:pt idx="64">
                  <c:v>18</c:v>
                </c:pt>
                <c:pt idx="65">
                  <c:v>7</c:v>
                </c:pt>
                <c:pt idx="66">
                  <c:v>5</c:v>
                </c:pt>
                <c:pt idx="67">
                  <c:v>12</c:v>
                </c:pt>
                <c:pt idx="68">
                  <c:v>8</c:v>
                </c:pt>
                <c:pt idx="69">
                  <c:v>10</c:v>
                </c:pt>
                <c:pt idx="70">
                  <c:v>10</c:v>
                </c:pt>
                <c:pt idx="71">
                  <c:v>12</c:v>
                </c:pt>
                <c:pt idx="72">
                  <c:v>6</c:v>
                </c:pt>
                <c:pt idx="73">
                  <c:v>0</c:v>
                </c:pt>
                <c:pt idx="74">
                  <c:v>10</c:v>
                </c:pt>
                <c:pt idx="75">
                  <c:v>13</c:v>
                </c:pt>
                <c:pt idx="76">
                  <c:v>20</c:v>
                </c:pt>
                <c:pt idx="77">
                  <c:v>4</c:v>
                </c:pt>
                <c:pt idx="78">
                  <c:v>7</c:v>
                </c:pt>
                <c:pt idx="79">
                  <c:v>14</c:v>
                </c:pt>
                <c:pt idx="80">
                  <c:v>11</c:v>
                </c:pt>
                <c:pt idx="81">
                  <c:v>9</c:v>
                </c:pt>
                <c:pt idx="82">
                  <c:v>7</c:v>
                </c:pt>
                <c:pt idx="83">
                  <c:v>14</c:v>
                </c:pt>
                <c:pt idx="84">
                  <c:v>5</c:v>
                </c:pt>
              </c:numCache>
            </c:numRef>
          </c:val>
          <c:smooth val="0"/>
        </c:ser>
        <c:ser>
          <c:idx val="1"/>
          <c:order val="1"/>
          <c:tx>
            <c:strRef>
              <c:f>'ERO Catalunya'!$F$181</c:f>
              <c:strCache>
                <c:ptCount val="1"/>
                <c:pt idx="0">
                  <c:v>Suspensió i reducció</c:v>
                </c:pt>
              </c:strCache>
            </c:strRef>
          </c:tx>
          <c:marker>
            <c:symbol val="none"/>
          </c:marker>
          <c:dLbls>
            <c:dLbl>
              <c:idx val="0"/>
              <c:showLegendKey val="0"/>
              <c:showVal val="1"/>
              <c:showCatName val="0"/>
              <c:showSerName val="0"/>
              <c:showPercent val="0"/>
              <c:showBubbleSize val="0"/>
            </c:dLbl>
            <c:dLbl>
              <c:idx val="12"/>
              <c:showLegendKey val="0"/>
              <c:showVal val="1"/>
              <c:showCatName val="0"/>
              <c:showSerName val="0"/>
              <c:showPercent val="0"/>
              <c:showBubbleSize val="0"/>
            </c:dLbl>
            <c:dLbl>
              <c:idx val="24"/>
              <c:showLegendKey val="0"/>
              <c:showVal val="1"/>
              <c:showCatName val="0"/>
              <c:showSerName val="0"/>
              <c:showPercent val="0"/>
              <c:showBubbleSize val="0"/>
            </c:dLbl>
            <c:dLbl>
              <c:idx val="36"/>
              <c:showLegendKey val="0"/>
              <c:showVal val="1"/>
              <c:showCatName val="0"/>
              <c:showSerName val="0"/>
              <c:showPercent val="0"/>
              <c:showBubbleSize val="0"/>
            </c:dLbl>
            <c:dLbl>
              <c:idx val="48"/>
              <c:showLegendKey val="0"/>
              <c:showVal val="1"/>
              <c:showCatName val="0"/>
              <c:showSerName val="0"/>
              <c:showPercent val="0"/>
              <c:showBubbleSize val="0"/>
            </c:dLbl>
            <c:dLbl>
              <c:idx val="60"/>
              <c:layout>
                <c:manualLayout>
                  <c:x val="-8.2000820008200082E-3"/>
                  <c:y val="-2.1447721179624665E-2"/>
                </c:manualLayout>
              </c:layout>
              <c:showLegendKey val="0"/>
              <c:showVal val="1"/>
              <c:showCatName val="0"/>
              <c:showSerName val="0"/>
              <c:showPercent val="0"/>
              <c:showBubbleSize val="0"/>
            </c:dLbl>
            <c:dLbl>
              <c:idx val="72"/>
              <c:showLegendKey val="0"/>
              <c:showVal val="1"/>
              <c:showCatName val="0"/>
              <c:showSerName val="0"/>
              <c:showPercent val="0"/>
              <c:showBubbleSize val="0"/>
            </c:dLbl>
            <c:dLbl>
              <c:idx val="82"/>
              <c:layout>
                <c:manualLayout>
                  <c:x val="2.2960229602296142E-2"/>
                  <c:y val="0"/>
                </c:manualLayout>
              </c:layout>
              <c:tx>
                <c:rich>
                  <a:bodyPr/>
                  <a:lstStyle/>
                  <a:p>
                    <a:pPr>
                      <a:defRPr b="1"/>
                    </a:pPr>
                    <a:r>
                      <a:rPr lang="en-US" b="1"/>
                      <a:t>5</a:t>
                    </a:r>
                  </a:p>
                </c:rich>
              </c:tx>
              <c:spPr/>
              <c:showLegendKey val="0"/>
              <c:showVal val="1"/>
              <c:showCatName val="0"/>
              <c:showSerName val="0"/>
              <c:showPercent val="0"/>
              <c:showBubbleSize val="0"/>
            </c:dLbl>
            <c:dLbl>
              <c:idx val="84"/>
              <c:layout>
                <c:manualLayout>
                  <c:x val="-6.5600656006561267E-3"/>
                  <c:y val="-5.7193923145665772E-2"/>
                </c:manualLayout>
              </c:layout>
              <c:spPr/>
              <c:txPr>
                <a:bodyPr/>
                <a:lstStyle/>
                <a:p>
                  <a:pPr>
                    <a:defRPr b="1"/>
                  </a:pPr>
                  <a:endParaRPr lang="es-ES"/>
                </a:p>
              </c:txPr>
              <c:showLegendKey val="0"/>
              <c:showVal val="1"/>
              <c:showCatName val="0"/>
              <c:showSerName val="0"/>
              <c:showPercent val="0"/>
              <c:showBubbleSize val="0"/>
            </c:dLbl>
            <c:showLegendKey val="0"/>
            <c:showVal val="0"/>
            <c:showCatName val="0"/>
            <c:showSerName val="0"/>
            <c:showPercent val="0"/>
            <c:showBubbleSize val="0"/>
          </c:dLbls>
          <c:cat>
            <c:strRef>
              <c:f>'ERO Catalunya'!$A$189:$A$273</c:f>
              <c:strCache>
                <c:ptCount val="85"/>
                <c:pt idx="0">
                  <c:v>ago-11</c:v>
                </c:pt>
                <c:pt idx="1">
                  <c:v>set-11</c:v>
                </c:pt>
                <c:pt idx="2">
                  <c:v>oct-11</c:v>
                </c:pt>
                <c:pt idx="3">
                  <c:v>nov-11</c:v>
                </c:pt>
                <c:pt idx="4">
                  <c:v>dic-11</c:v>
                </c:pt>
                <c:pt idx="5">
                  <c:v>ene-12</c:v>
                </c:pt>
                <c:pt idx="6">
                  <c:v>feb-12</c:v>
                </c:pt>
                <c:pt idx="7">
                  <c:v>mar-12</c:v>
                </c:pt>
                <c:pt idx="8">
                  <c:v>abr-12</c:v>
                </c:pt>
                <c:pt idx="9">
                  <c:v>may-12</c:v>
                </c:pt>
                <c:pt idx="10">
                  <c:v>jun-12</c:v>
                </c:pt>
                <c:pt idx="11">
                  <c:v>jul-12</c:v>
                </c:pt>
                <c:pt idx="12">
                  <c:v>ago-12</c:v>
                </c:pt>
                <c:pt idx="13">
                  <c:v>set-12</c:v>
                </c:pt>
                <c:pt idx="14">
                  <c:v>oct-12</c:v>
                </c:pt>
                <c:pt idx="15">
                  <c:v>nov-12</c:v>
                </c:pt>
                <c:pt idx="16">
                  <c:v>dic-12</c:v>
                </c:pt>
                <c:pt idx="17">
                  <c:v>ene-13</c:v>
                </c:pt>
                <c:pt idx="18">
                  <c:v>feb-13</c:v>
                </c:pt>
                <c:pt idx="19">
                  <c:v>mar-13</c:v>
                </c:pt>
                <c:pt idx="20">
                  <c:v>abr-13</c:v>
                </c:pt>
                <c:pt idx="21">
                  <c:v>may-13</c:v>
                </c:pt>
                <c:pt idx="22">
                  <c:v>jun-13</c:v>
                </c:pt>
                <c:pt idx="23">
                  <c:v>jul-13</c:v>
                </c:pt>
                <c:pt idx="24">
                  <c:v>ago-13</c:v>
                </c:pt>
                <c:pt idx="25">
                  <c:v>set-13</c:v>
                </c:pt>
                <c:pt idx="26">
                  <c:v>oct-13</c:v>
                </c:pt>
                <c:pt idx="27">
                  <c:v>nov-13</c:v>
                </c:pt>
                <c:pt idx="28">
                  <c:v>dic-13</c:v>
                </c:pt>
                <c:pt idx="29">
                  <c:v>ene-14</c:v>
                </c:pt>
                <c:pt idx="30">
                  <c:v>feb-14</c:v>
                </c:pt>
                <c:pt idx="31">
                  <c:v>mar-14</c:v>
                </c:pt>
                <c:pt idx="32">
                  <c:v>abr-14</c:v>
                </c:pt>
                <c:pt idx="33">
                  <c:v>may-14</c:v>
                </c:pt>
                <c:pt idx="34">
                  <c:v>jun-14</c:v>
                </c:pt>
                <c:pt idx="35">
                  <c:v>jul-14</c:v>
                </c:pt>
                <c:pt idx="36">
                  <c:v>ago-14</c:v>
                </c:pt>
                <c:pt idx="37">
                  <c:v>set-14</c:v>
                </c:pt>
                <c:pt idx="38">
                  <c:v>oct-14</c:v>
                </c:pt>
                <c:pt idx="39">
                  <c:v>nov-14</c:v>
                </c:pt>
                <c:pt idx="40">
                  <c:v>dic-14</c:v>
                </c:pt>
                <c:pt idx="41">
                  <c:v>ene-15</c:v>
                </c:pt>
                <c:pt idx="42">
                  <c:v>feb-15</c:v>
                </c:pt>
                <c:pt idx="43">
                  <c:v>mar-15</c:v>
                </c:pt>
                <c:pt idx="44">
                  <c:v>abr-15</c:v>
                </c:pt>
                <c:pt idx="45">
                  <c:v>may-15</c:v>
                </c:pt>
                <c:pt idx="46">
                  <c:v>jun-15</c:v>
                </c:pt>
                <c:pt idx="47">
                  <c:v>jul-15</c:v>
                </c:pt>
                <c:pt idx="48">
                  <c:v>ago-15</c:v>
                </c:pt>
                <c:pt idx="49">
                  <c:v>set-15</c:v>
                </c:pt>
                <c:pt idx="50">
                  <c:v>oct-15</c:v>
                </c:pt>
                <c:pt idx="51">
                  <c:v>nov-15</c:v>
                </c:pt>
                <c:pt idx="52">
                  <c:v>dic-15</c:v>
                </c:pt>
                <c:pt idx="53">
                  <c:v>ene-16</c:v>
                </c:pt>
                <c:pt idx="54">
                  <c:v>feb-16</c:v>
                </c:pt>
                <c:pt idx="55">
                  <c:v>mar-16</c:v>
                </c:pt>
                <c:pt idx="56">
                  <c:v>abr-16</c:v>
                </c:pt>
                <c:pt idx="57">
                  <c:v>may-16</c:v>
                </c:pt>
                <c:pt idx="58">
                  <c:v>jun-16</c:v>
                </c:pt>
                <c:pt idx="59">
                  <c:v>jul-16</c:v>
                </c:pt>
                <c:pt idx="60">
                  <c:v>ago-16</c:v>
                </c:pt>
                <c:pt idx="61">
                  <c:v>set-16</c:v>
                </c:pt>
                <c:pt idx="62">
                  <c:v>oct-16</c:v>
                </c:pt>
                <c:pt idx="63">
                  <c:v>nov-16</c:v>
                </c:pt>
                <c:pt idx="64">
                  <c:v>dic-16</c:v>
                </c:pt>
                <c:pt idx="65">
                  <c:v>ene-17</c:v>
                </c:pt>
                <c:pt idx="66">
                  <c:v>feb-17</c:v>
                </c:pt>
                <c:pt idx="67">
                  <c:v>mar-17</c:v>
                </c:pt>
                <c:pt idx="68">
                  <c:v>abr-17</c:v>
                </c:pt>
                <c:pt idx="69">
                  <c:v>may-17</c:v>
                </c:pt>
                <c:pt idx="70">
                  <c:v>jun-17</c:v>
                </c:pt>
                <c:pt idx="71">
                  <c:v>jul-17</c:v>
                </c:pt>
                <c:pt idx="72">
                  <c:v>ago-17</c:v>
                </c:pt>
                <c:pt idx="73">
                  <c:v>set-17</c:v>
                </c:pt>
                <c:pt idx="74">
                  <c:v>oct-17</c:v>
                </c:pt>
                <c:pt idx="75">
                  <c:v>nov-17</c:v>
                </c:pt>
                <c:pt idx="76">
                  <c:v>dic-17</c:v>
                </c:pt>
                <c:pt idx="77">
                  <c:v>ene-18</c:v>
                </c:pt>
                <c:pt idx="78">
                  <c:v>feb-18</c:v>
                </c:pt>
                <c:pt idx="79">
                  <c:v>mar-18</c:v>
                </c:pt>
                <c:pt idx="80">
                  <c:v>abr-18</c:v>
                </c:pt>
                <c:pt idx="81">
                  <c:v>may-18</c:v>
                </c:pt>
                <c:pt idx="82">
                  <c:v>jun-18</c:v>
                </c:pt>
                <c:pt idx="83">
                  <c:v>jul-18</c:v>
                </c:pt>
                <c:pt idx="84">
                  <c:v>ago-18</c:v>
                </c:pt>
              </c:strCache>
            </c:strRef>
          </c:cat>
          <c:val>
            <c:numRef>
              <c:f>'ERO Catalunya'!$F$189:$F$273</c:f>
              <c:numCache>
                <c:formatCode>General</c:formatCode>
                <c:ptCount val="85"/>
                <c:pt idx="0">
                  <c:v>188</c:v>
                </c:pt>
                <c:pt idx="1">
                  <c:v>142</c:v>
                </c:pt>
                <c:pt idx="2">
                  <c:v>222</c:v>
                </c:pt>
                <c:pt idx="3">
                  <c:v>227</c:v>
                </c:pt>
                <c:pt idx="4">
                  <c:v>240</c:v>
                </c:pt>
                <c:pt idx="5">
                  <c:v>444</c:v>
                </c:pt>
                <c:pt idx="6">
                  <c:v>442</c:v>
                </c:pt>
                <c:pt idx="7">
                  <c:v>581</c:v>
                </c:pt>
                <c:pt idx="8">
                  <c:v>431</c:v>
                </c:pt>
                <c:pt idx="9">
                  <c:v>469</c:v>
                </c:pt>
                <c:pt idx="10">
                  <c:v>426</c:v>
                </c:pt>
                <c:pt idx="11">
                  <c:v>468</c:v>
                </c:pt>
                <c:pt idx="12">
                  <c:v>156</c:v>
                </c:pt>
                <c:pt idx="13">
                  <c:v>205</c:v>
                </c:pt>
                <c:pt idx="14">
                  <c:v>475</c:v>
                </c:pt>
                <c:pt idx="15">
                  <c:v>486</c:v>
                </c:pt>
                <c:pt idx="16">
                  <c:v>486</c:v>
                </c:pt>
                <c:pt idx="17">
                  <c:v>299</c:v>
                </c:pt>
                <c:pt idx="18">
                  <c:v>392</c:v>
                </c:pt>
                <c:pt idx="19">
                  <c:v>383</c:v>
                </c:pt>
                <c:pt idx="20">
                  <c:v>289</c:v>
                </c:pt>
                <c:pt idx="21">
                  <c:v>305</c:v>
                </c:pt>
                <c:pt idx="22">
                  <c:v>259</c:v>
                </c:pt>
                <c:pt idx="23">
                  <c:v>291</c:v>
                </c:pt>
                <c:pt idx="24">
                  <c:v>90</c:v>
                </c:pt>
                <c:pt idx="25">
                  <c:v>133</c:v>
                </c:pt>
                <c:pt idx="26">
                  <c:v>235</c:v>
                </c:pt>
                <c:pt idx="27">
                  <c:v>215</c:v>
                </c:pt>
                <c:pt idx="28">
                  <c:v>288</c:v>
                </c:pt>
                <c:pt idx="29">
                  <c:v>163</c:v>
                </c:pt>
                <c:pt idx="30">
                  <c:v>189</c:v>
                </c:pt>
                <c:pt idx="31">
                  <c:v>178</c:v>
                </c:pt>
                <c:pt idx="32">
                  <c:v>97</c:v>
                </c:pt>
                <c:pt idx="33">
                  <c:v>110</c:v>
                </c:pt>
                <c:pt idx="34">
                  <c:v>114</c:v>
                </c:pt>
                <c:pt idx="35">
                  <c:v>113</c:v>
                </c:pt>
                <c:pt idx="36">
                  <c:v>30</c:v>
                </c:pt>
                <c:pt idx="37">
                  <c:v>58</c:v>
                </c:pt>
                <c:pt idx="38">
                  <c:v>91</c:v>
                </c:pt>
                <c:pt idx="39">
                  <c:v>90</c:v>
                </c:pt>
                <c:pt idx="40">
                  <c:v>111</c:v>
                </c:pt>
                <c:pt idx="41">
                  <c:v>63</c:v>
                </c:pt>
                <c:pt idx="42">
                  <c:v>97</c:v>
                </c:pt>
                <c:pt idx="43">
                  <c:v>70</c:v>
                </c:pt>
                <c:pt idx="44">
                  <c:v>48</c:v>
                </c:pt>
                <c:pt idx="45">
                  <c:v>42</c:v>
                </c:pt>
                <c:pt idx="46">
                  <c:v>47</c:v>
                </c:pt>
                <c:pt idx="47">
                  <c:v>53</c:v>
                </c:pt>
                <c:pt idx="48">
                  <c:v>18</c:v>
                </c:pt>
                <c:pt idx="49">
                  <c:v>34</c:v>
                </c:pt>
                <c:pt idx="50">
                  <c:v>44</c:v>
                </c:pt>
                <c:pt idx="51">
                  <c:v>51</c:v>
                </c:pt>
                <c:pt idx="52">
                  <c:v>44</c:v>
                </c:pt>
                <c:pt idx="53">
                  <c:v>54</c:v>
                </c:pt>
                <c:pt idx="54">
                  <c:v>45</c:v>
                </c:pt>
                <c:pt idx="55">
                  <c:v>37</c:v>
                </c:pt>
                <c:pt idx="56">
                  <c:v>25</c:v>
                </c:pt>
                <c:pt idx="57">
                  <c:v>26</c:v>
                </c:pt>
                <c:pt idx="58">
                  <c:v>21</c:v>
                </c:pt>
                <c:pt idx="59">
                  <c:v>26</c:v>
                </c:pt>
                <c:pt idx="60">
                  <c:v>13</c:v>
                </c:pt>
                <c:pt idx="61">
                  <c:v>27</c:v>
                </c:pt>
                <c:pt idx="62">
                  <c:v>32</c:v>
                </c:pt>
                <c:pt idx="63">
                  <c:v>22</c:v>
                </c:pt>
                <c:pt idx="64">
                  <c:v>29</c:v>
                </c:pt>
                <c:pt idx="65">
                  <c:v>36</c:v>
                </c:pt>
                <c:pt idx="66">
                  <c:v>16</c:v>
                </c:pt>
                <c:pt idx="67">
                  <c:v>29</c:v>
                </c:pt>
                <c:pt idx="68">
                  <c:v>18</c:v>
                </c:pt>
                <c:pt idx="69">
                  <c:v>14</c:v>
                </c:pt>
                <c:pt idx="70">
                  <c:v>20</c:v>
                </c:pt>
                <c:pt idx="71">
                  <c:v>21</c:v>
                </c:pt>
                <c:pt idx="72">
                  <c:v>9</c:v>
                </c:pt>
                <c:pt idx="73">
                  <c:v>11</c:v>
                </c:pt>
                <c:pt idx="74">
                  <c:v>19</c:v>
                </c:pt>
                <c:pt idx="75">
                  <c:v>23</c:v>
                </c:pt>
                <c:pt idx="76">
                  <c:v>21</c:v>
                </c:pt>
                <c:pt idx="77">
                  <c:v>13</c:v>
                </c:pt>
                <c:pt idx="78">
                  <c:v>29</c:v>
                </c:pt>
                <c:pt idx="79">
                  <c:v>20</c:v>
                </c:pt>
                <c:pt idx="80">
                  <c:v>8</c:v>
                </c:pt>
                <c:pt idx="81">
                  <c:v>15</c:v>
                </c:pt>
                <c:pt idx="82">
                  <c:v>12</c:v>
                </c:pt>
                <c:pt idx="83">
                  <c:v>12</c:v>
                </c:pt>
                <c:pt idx="84">
                  <c:v>5</c:v>
                </c:pt>
              </c:numCache>
            </c:numRef>
          </c:val>
          <c:smooth val="0"/>
        </c:ser>
        <c:dLbls>
          <c:showLegendKey val="0"/>
          <c:showVal val="0"/>
          <c:showCatName val="0"/>
          <c:showSerName val="0"/>
          <c:showPercent val="0"/>
          <c:showBubbleSize val="0"/>
        </c:dLbls>
        <c:marker val="1"/>
        <c:smooth val="0"/>
        <c:axId val="169048320"/>
        <c:axId val="169066496"/>
      </c:lineChart>
      <c:catAx>
        <c:axId val="169048320"/>
        <c:scaling>
          <c:orientation val="minMax"/>
        </c:scaling>
        <c:delete val="0"/>
        <c:axPos val="b"/>
        <c:majorTickMark val="none"/>
        <c:minorTickMark val="none"/>
        <c:tickLblPos val="nextTo"/>
        <c:txPr>
          <a:bodyPr rot="-5400000" vert="horz"/>
          <a:lstStyle/>
          <a:p>
            <a:pPr>
              <a:defRPr/>
            </a:pPr>
            <a:endParaRPr lang="es-ES"/>
          </a:p>
        </c:txPr>
        <c:crossAx val="169066496"/>
        <c:crosses val="autoZero"/>
        <c:auto val="1"/>
        <c:lblAlgn val="ctr"/>
        <c:lblOffset val="100"/>
        <c:tickLblSkip val="12"/>
        <c:noMultiLvlLbl val="0"/>
      </c:catAx>
      <c:valAx>
        <c:axId val="169066496"/>
        <c:scaling>
          <c:orientation val="minMax"/>
          <c:max val="700"/>
        </c:scaling>
        <c:delete val="0"/>
        <c:axPos val="l"/>
        <c:numFmt formatCode="General" sourceLinked="1"/>
        <c:majorTickMark val="none"/>
        <c:minorTickMark val="none"/>
        <c:tickLblPos val="nextTo"/>
        <c:crossAx val="169048320"/>
        <c:crosses val="autoZero"/>
        <c:crossBetween val="between"/>
        <c:majorUnit val="100"/>
        <c:minorUnit val="5"/>
      </c:valAx>
    </c:plotArea>
    <c:legend>
      <c:legendPos val="r"/>
      <c:layout>
        <c:manualLayout>
          <c:xMode val="edge"/>
          <c:yMode val="edge"/>
          <c:x val="0.78543213507479648"/>
          <c:y val="0.26911636045494314"/>
          <c:w val="0.19973984921945856"/>
          <c:h val="0.32864413526607572"/>
        </c:manualLayout>
      </c:layout>
      <c:overlay val="0"/>
    </c:legend>
    <c:plotVisOnly val="1"/>
    <c:dispBlanksAs val="zero"/>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lgn="ctr" rtl="0">
              <a:defRPr/>
            </a:pPr>
            <a:r>
              <a:rPr lang="es-ES"/>
              <a:t>E</a:t>
            </a:r>
            <a:r>
              <a:rPr lang="ca-ES"/>
              <a:t>volució </a:t>
            </a:r>
            <a:r>
              <a:rPr lang="es-ES"/>
              <a:t>EROS per tipología. </a:t>
            </a:r>
            <a:r>
              <a:rPr lang="en-US"/>
              <a:t>2003-2018</a:t>
            </a:r>
            <a:endParaRPr lang="es-ES"/>
          </a:p>
        </c:rich>
      </c:tx>
      <c:layout>
        <c:manualLayout>
          <c:xMode val="edge"/>
          <c:yMode val="edge"/>
          <c:x val="0.22928687179959173"/>
          <c:y val="2.1155554963274051E-2"/>
        </c:manualLayout>
      </c:layout>
      <c:overlay val="0"/>
    </c:title>
    <c:autoTitleDeleted val="0"/>
    <c:plotArea>
      <c:layout>
        <c:manualLayout>
          <c:layoutTarget val="inner"/>
          <c:xMode val="edge"/>
          <c:yMode val="edge"/>
          <c:x val="8.6367742807291585E-3"/>
          <c:y val="0.21971204953443005"/>
          <c:w val="0.9677099057565991"/>
          <c:h val="0.42892709624937808"/>
        </c:manualLayout>
      </c:layout>
      <c:barChart>
        <c:barDir val="col"/>
        <c:grouping val="stacked"/>
        <c:varyColors val="0"/>
        <c:ser>
          <c:idx val="0"/>
          <c:order val="0"/>
          <c:tx>
            <c:strRef>
              <c:f>'ERO Catalunya'!$H$514</c:f>
              <c:strCache>
                <c:ptCount val="1"/>
                <c:pt idx="0">
                  <c:v>Pes suspensió i reduc vs total (%)</c:v>
                </c:pt>
              </c:strCache>
            </c:strRef>
          </c:tx>
          <c:invertIfNegative val="0"/>
          <c:cat>
            <c:strRef>
              <c:f>('ERO Catalunya'!$A$515,'ERO Catalunya'!$A$516,'ERO Catalunya'!$A$517,'ERO Catalunya'!$A$518,'ERO Catalunya'!$A$519,'ERO Catalunya'!$A$520,'ERO Catalunya'!$A$521,'ERO Catalunya'!$A$522,'ERO Catalunya'!$A$523,'ERO Catalunya'!$A$524,'ERO Catalunya'!$A$525,'ERO Catalunya'!$A$526,'ERO Catalunya'!$A$527,'ERO Catalunya'!$A$528,'ERO Catalunya'!$A$529,'ERO Catalunya'!$A$530)</c:f>
              <c:strCach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Fins a agost-2018</c:v>
                </c:pt>
              </c:strCache>
            </c:strRef>
          </c:cat>
          <c:val>
            <c:numRef>
              <c:f>'ERO Catalunya'!$H$515:$H$530</c:f>
              <c:numCache>
                <c:formatCode>0.00</c:formatCode>
                <c:ptCount val="16"/>
                <c:pt idx="0">
                  <c:v>31.263858093126387</c:v>
                </c:pt>
                <c:pt idx="1">
                  <c:v>33.98533007334963</c:v>
                </c:pt>
                <c:pt idx="2">
                  <c:v>40.66193853427896</c:v>
                </c:pt>
                <c:pt idx="3">
                  <c:v>32.063492063492063</c:v>
                </c:pt>
                <c:pt idx="4">
                  <c:v>39.590443686006829</c:v>
                </c:pt>
                <c:pt idx="5">
                  <c:v>51.355421686746986</c:v>
                </c:pt>
                <c:pt idx="6">
                  <c:v>83.225806451612897</c:v>
                </c:pt>
                <c:pt idx="7">
                  <c:v>86.111111111111114</c:v>
                </c:pt>
                <c:pt idx="8">
                  <c:v>85.13427109974424</c:v>
                </c:pt>
                <c:pt idx="9">
                  <c:v>88.622331980949028</c:v>
                </c:pt>
                <c:pt idx="10">
                  <c:v>88.502227171492208</c:v>
                </c:pt>
                <c:pt idx="11">
                  <c:v>86.043533930857876</c:v>
                </c:pt>
                <c:pt idx="12">
                  <c:v>79.973821989528801</c:v>
                </c:pt>
                <c:pt idx="13">
                  <c:v>71.566731141199227</c:v>
                </c:pt>
                <c:pt idx="14">
                  <c:v>67.714285714285708</c:v>
                </c:pt>
                <c:pt idx="15">
                  <c:v>61.621621621621621</c:v>
                </c:pt>
              </c:numCache>
            </c:numRef>
          </c:val>
        </c:ser>
        <c:ser>
          <c:idx val="1"/>
          <c:order val="1"/>
          <c:tx>
            <c:strRef>
              <c:f>'ERO Catalunya'!$I$514</c:f>
              <c:strCache>
                <c:ptCount val="1"/>
                <c:pt idx="0">
                  <c:v>Pes extinció vs. Total (%)</c:v>
                </c:pt>
              </c:strCache>
            </c:strRef>
          </c:tx>
          <c:invertIfNegative val="0"/>
          <c:cat>
            <c:strRef>
              <c:f>('ERO Catalunya'!$A$515,'ERO Catalunya'!$A$516,'ERO Catalunya'!$A$517,'ERO Catalunya'!$A$518,'ERO Catalunya'!$A$519,'ERO Catalunya'!$A$520,'ERO Catalunya'!$A$521,'ERO Catalunya'!$A$522,'ERO Catalunya'!$A$523,'ERO Catalunya'!$A$524,'ERO Catalunya'!$A$525,'ERO Catalunya'!$A$526,'ERO Catalunya'!$A$527,'ERO Catalunya'!$A$528,'ERO Catalunya'!$A$529,'ERO Catalunya'!$A$530)</c:f>
              <c:strCach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Fins a agost-2018</c:v>
                </c:pt>
              </c:strCache>
            </c:strRef>
          </c:cat>
          <c:val>
            <c:numRef>
              <c:f>'ERO Catalunya'!$I$515:$I$530</c:f>
              <c:numCache>
                <c:formatCode>0.00</c:formatCode>
                <c:ptCount val="16"/>
                <c:pt idx="0">
                  <c:v>68.736141906873613</c:v>
                </c:pt>
                <c:pt idx="1">
                  <c:v>66.01466992665037</c:v>
                </c:pt>
                <c:pt idx="2">
                  <c:v>59.33806146572104</c:v>
                </c:pt>
                <c:pt idx="3">
                  <c:v>67.936507936507937</c:v>
                </c:pt>
                <c:pt idx="4">
                  <c:v>60.409556313993171</c:v>
                </c:pt>
                <c:pt idx="5">
                  <c:v>48.644578313253014</c:v>
                </c:pt>
                <c:pt idx="6">
                  <c:v>16.774193548387096</c:v>
                </c:pt>
                <c:pt idx="7">
                  <c:v>13.888888888888889</c:v>
                </c:pt>
                <c:pt idx="8">
                  <c:v>14.865728900255755</c:v>
                </c:pt>
                <c:pt idx="9">
                  <c:v>11.377668019050979</c:v>
                </c:pt>
                <c:pt idx="10">
                  <c:v>11.497772828507795</c:v>
                </c:pt>
                <c:pt idx="11">
                  <c:v>13.956466069142126</c:v>
                </c:pt>
                <c:pt idx="12">
                  <c:v>20.026178010471206</c:v>
                </c:pt>
                <c:pt idx="13">
                  <c:v>28.433268858800773</c:v>
                </c:pt>
                <c:pt idx="14">
                  <c:v>32.285714285714285</c:v>
                </c:pt>
                <c:pt idx="15">
                  <c:v>38.378378378378379</c:v>
                </c:pt>
              </c:numCache>
            </c:numRef>
          </c:val>
        </c:ser>
        <c:dLbls>
          <c:showLegendKey val="0"/>
          <c:showVal val="1"/>
          <c:showCatName val="0"/>
          <c:showSerName val="0"/>
          <c:showPercent val="0"/>
          <c:showBubbleSize val="0"/>
        </c:dLbls>
        <c:gapWidth val="60"/>
        <c:overlap val="100"/>
        <c:axId val="169363328"/>
        <c:axId val="169364864"/>
      </c:barChart>
      <c:catAx>
        <c:axId val="169363328"/>
        <c:scaling>
          <c:orientation val="minMax"/>
        </c:scaling>
        <c:delete val="0"/>
        <c:axPos val="b"/>
        <c:numFmt formatCode="General" sourceLinked="1"/>
        <c:majorTickMark val="none"/>
        <c:minorTickMark val="none"/>
        <c:tickLblPos val="nextTo"/>
        <c:txPr>
          <a:bodyPr rot="-5400000" vert="horz"/>
          <a:lstStyle/>
          <a:p>
            <a:pPr>
              <a:defRPr/>
            </a:pPr>
            <a:endParaRPr lang="es-ES"/>
          </a:p>
        </c:txPr>
        <c:crossAx val="169364864"/>
        <c:crosses val="autoZero"/>
        <c:auto val="1"/>
        <c:lblAlgn val="ctr"/>
        <c:lblOffset val="100"/>
        <c:noMultiLvlLbl val="0"/>
      </c:catAx>
      <c:valAx>
        <c:axId val="169364864"/>
        <c:scaling>
          <c:orientation val="minMax"/>
        </c:scaling>
        <c:delete val="1"/>
        <c:axPos val="l"/>
        <c:numFmt formatCode="0.00" sourceLinked="1"/>
        <c:majorTickMark val="none"/>
        <c:minorTickMark val="none"/>
        <c:tickLblPos val="nextTo"/>
        <c:crossAx val="169363328"/>
        <c:crosses val="autoZero"/>
        <c:crossBetween val="between"/>
      </c:valAx>
    </c:plotArea>
    <c:legend>
      <c:legendPos val="t"/>
      <c:overlay val="0"/>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a:pPr>
            <a:r>
              <a:rPr lang="en-US"/>
              <a:t>Evolució</a:t>
            </a:r>
            <a:r>
              <a:rPr lang="en-US" baseline="0"/>
              <a:t> total expedients </a:t>
            </a:r>
            <a:endParaRPr lang="en-US"/>
          </a:p>
        </c:rich>
      </c:tx>
      <c:overlay val="0"/>
    </c:title>
    <c:autoTitleDeleted val="0"/>
    <c:plotArea>
      <c:layout>
        <c:manualLayout>
          <c:layoutTarget val="inner"/>
          <c:xMode val="edge"/>
          <c:yMode val="edge"/>
          <c:x val="7.5800796518669875E-2"/>
          <c:y val="0.17640119385309108"/>
          <c:w val="0.88798008367807757"/>
          <c:h val="0.63785299021683706"/>
        </c:manualLayout>
      </c:layout>
      <c:barChart>
        <c:barDir val="col"/>
        <c:grouping val="clustered"/>
        <c:varyColors val="0"/>
        <c:ser>
          <c:idx val="0"/>
          <c:order val="0"/>
          <c:tx>
            <c:strRef>
              <c:f>'ERO Catalunya'!$A$575</c:f>
              <c:strCache>
                <c:ptCount val="1"/>
                <c:pt idx="0">
                  <c:v>TOTAL</c:v>
                </c:pt>
              </c:strCache>
            </c:strRef>
          </c:tx>
          <c:invertIfNegative val="0"/>
          <c:dLbls>
            <c:showLegendKey val="0"/>
            <c:showVal val="1"/>
            <c:showCatName val="0"/>
            <c:showSerName val="0"/>
            <c:showPercent val="0"/>
            <c:showBubbleSize val="0"/>
            <c:showLeaderLines val="0"/>
          </c:dLbls>
          <c:cat>
            <c:strRef>
              <c:f>'ERO Catalunya'!$B$561:$M$561</c:f>
              <c:strCache>
                <c:ptCount val="12"/>
                <c:pt idx="0">
                  <c:v>2007</c:v>
                </c:pt>
                <c:pt idx="1">
                  <c:v>2008</c:v>
                </c:pt>
                <c:pt idx="2">
                  <c:v>2009</c:v>
                </c:pt>
                <c:pt idx="3">
                  <c:v>2010</c:v>
                </c:pt>
                <c:pt idx="4">
                  <c:v>2011</c:v>
                </c:pt>
                <c:pt idx="5">
                  <c:v>2012</c:v>
                </c:pt>
                <c:pt idx="6">
                  <c:v>2013</c:v>
                </c:pt>
                <c:pt idx="7">
                  <c:v>2014</c:v>
                </c:pt>
                <c:pt idx="8">
                  <c:v>2015</c:v>
                </c:pt>
                <c:pt idx="9">
                  <c:v>2016</c:v>
                </c:pt>
                <c:pt idx="10">
                  <c:v>2017</c:v>
                </c:pt>
                <c:pt idx="11">
                  <c:v>Acumulat fins a agost 2018</c:v>
                </c:pt>
              </c:strCache>
            </c:strRef>
          </c:cat>
          <c:val>
            <c:numRef>
              <c:f>'ERO Catalunya'!$B$575:$M$575</c:f>
              <c:numCache>
                <c:formatCode>General</c:formatCode>
                <c:ptCount val="12"/>
                <c:pt idx="0">
                  <c:v>293</c:v>
                </c:pt>
                <c:pt idx="1">
                  <c:v>664</c:v>
                </c:pt>
                <c:pt idx="2">
                  <c:v>3565</c:v>
                </c:pt>
                <c:pt idx="3">
                  <c:v>2952</c:v>
                </c:pt>
                <c:pt idx="4">
                  <c:v>3128</c:v>
                </c:pt>
                <c:pt idx="5">
                  <c:v>5669</c:v>
                </c:pt>
                <c:pt idx="6">
                  <c:v>3592</c:v>
                </c:pt>
                <c:pt idx="7">
                  <c:v>1562</c:v>
                </c:pt>
                <c:pt idx="8">
                  <c:v>764</c:v>
                </c:pt>
                <c:pt idx="9">
                  <c:v>517</c:v>
                </c:pt>
                <c:pt idx="10">
                  <c:v>350</c:v>
                </c:pt>
                <c:pt idx="11">
                  <c:v>185</c:v>
                </c:pt>
              </c:numCache>
            </c:numRef>
          </c:val>
        </c:ser>
        <c:dLbls>
          <c:showLegendKey val="0"/>
          <c:showVal val="0"/>
          <c:showCatName val="0"/>
          <c:showSerName val="0"/>
          <c:showPercent val="0"/>
          <c:showBubbleSize val="0"/>
        </c:dLbls>
        <c:gapWidth val="17"/>
        <c:axId val="169390464"/>
        <c:axId val="169392000"/>
      </c:barChart>
      <c:catAx>
        <c:axId val="169390464"/>
        <c:scaling>
          <c:orientation val="minMax"/>
        </c:scaling>
        <c:delete val="0"/>
        <c:axPos val="b"/>
        <c:numFmt formatCode="General" sourceLinked="1"/>
        <c:majorTickMark val="out"/>
        <c:minorTickMark val="none"/>
        <c:tickLblPos val="nextTo"/>
        <c:txPr>
          <a:bodyPr rot="0" vert="horz" anchor="t" anchorCtr="0"/>
          <a:lstStyle/>
          <a:p>
            <a:pPr>
              <a:defRPr sz="900"/>
            </a:pPr>
            <a:endParaRPr lang="es-ES"/>
          </a:p>
        </c:txPr>
        <c:crossAx val="169392000"/>
        <c:crosses val="autoZero"/>
        <c:auto val="1"/>
        <c:lblAlgn val="ctr"/>
        <c:lblOffset val="100"/>
        <c:tickMarkSkip val="1"/>
        <c:noMultiLvlLbl val="0"/>
      </c:catAx>
      <c:valAx>
        <c:axId val="169392000"/>
        <c:scaling>
          <c:orientation val="minMax"/>
        </c:scaling>
        <c:delete val="0"/>
        <c:axPos val="l"/>
        <c:numFmt formatCode="General" sourceLinked="1"/>
        <c:majorTickMark val="out"/>
        <c:minorTickMark val="none"/>
        <c:tickLblPos val="nextTo"/>
        <c:crossAx val="169390464"/>
        <c:crosses val="autoZero"/>
        <c:crossBetween val="between"/>
        <c:majorUnit val="1000"/>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a:pPr>
            <a:r>
              <a:rPr lang="es-ES" sz="1600"/>
              <a:t>Treballadors afectats segons causa alegada. Gener-agost 2018</a:t>
            </a:r>
          </a:p>
        </c:rich>
      </c:tx>
      <c:layout>
        <c:manualLayout>
          <c:xMode val="edge"/>
          <c:yMode val="edge"/>
          <c:x val="0.11227069589274313"/>
          <c:y val="1.9224603617434628E-2"/>
        </c:manualLayout>
      </c:layout>
      <c:overlay val="0"/>
    </c:title>
    <c:autoTitleDeleted val="0"/>
    <c:plotArea>
      <c:layout/>
      <c:pieChart>
        <c:varyColors val="1"/>
        <c:ser>
          <c:idx val="0"/>
          <c:order val="0"/>
          <c:dLbls>
            <c:dLbl>
              <c:idx val="0"/>
              <c:tx>
                <c:rich>
                  <a:bodyPr/>
                  <a:lstStyle/>
                  <a:p>
                    <a:r>
                      <a:rPr lang="en-US"/>
                      <a:t>44,92%</a:t>
                    </a:r>
                  </a:p>
                </c:rich>
              </c:tx>
              <c:showLegendKey val="0"/>
              <c:showVal val="1"/>
              <c:showCatName val="0"/>
              <c:showSerName val="0"/>
              <c:showPercent val="1"/>
              <c:showBubbleSize val="0"/>
            </c:dLbl>
            <c:dLbl>
              <c:idx val="1"/>
              <c:tx>
                <c:rich>
                  <a:bodyPr/>
                  <a:lstStyle/>
                  <a:p>
                    <a:r>
                      <a:rPr lang="en-US"/>
                      <a:t>1,65%</a:t>
                    </a:r>
                  </a:p>
                </c:rich>
              </c:tx>
              <c:showLegendKey val="0"/>
              <c:showVal val="1"/>
              <c:showCatName val="0"/>
              <c:showSerName val="0"/>
              <c:showPercent val="1"/>
              <c:showBubbleSize val="0"/>
            </c:dLbl>
            <c:dLbl>
              <c:idx val="2"/>
              <c:tx>
                <c:rich>
                  <a:bodyPr/>
                  <a:lstStyle/>
                  <a:p>
                    <a:r>
                      <a:rPr lang="en-US"/>
                      <a:t>32,74%</a:t>
                    </a:r>
                  </a:p>
                </c:rich>
              </c:tx>
              <c:showLegendKey val="0"/>
              <c:showVal val="1"/>
              <c:showCatName val="0"/>
              <c:showSerName val="0"/>
              <c:showPercent val="1"/>
              <c:showBubbleSize val="0"/>
            </c:dLbl>
            <c:dLbl>
              <c:idx val="3"/>
              <c:tx>
                <c:rich>
                  <a:bodyPr/>
                  <a:lstStyle/>
                  <a:p>
                    <a:r>
                      <a:rPr lang="en-US"/>
                      <a:t>26,31%</a:t>
                    </a:r>
                  </a:p>
                </c:rich>
              </c:tx>
              <c:showLegendKey val="0"/>
              <c:showVal val="1"/>
              <c:showCatName val="0"/>
              <c:showSerName val="0"/>
              <c:showPercent val="1"/>
              <c:showBubbleSize val="0"/>
            </c:dLbl>
            <c:dLbl>
              <c:idx val="4"/>
              <c:tx>
                <c:rich>
                  <a:bodyPr/>
                  <a:lstStyle/>
                  <a:p>
                    <a:r>
                      <a:rPr lang="en-US"/>
                      <a:t>0,22%</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('ERO Catalunya'!$B$352,'ERO Catalunya'!$D$352,'ERO Catalunya'!$F$352,'ERO Catalunya'!$H$352,'ERO Catalunya'!$J$352)</c:f>
              <c:strCache>
                <c:ptCount val="5"/>
                <c:pt idx="0">
                  <c:v>ECONÒMIQUES</c:v>
                </c:pt>
                <c:pt idx="1">
                  <c:v>TÈCNIQUES</c:v>
                </c:pt>
                <c:pt idx="2">
                  <c:v>ORGANITZATIVES</c:v>
                </c:pt>
                <c:pt idx="3">
                  <c:v>DE PRODUCCIÓ</c:v>
                </c:pt>
                <c:pt idx="4">
                  <c:v>FORÇA MAJOR</c:v>
                </c:pt>
              </c:strCache>
            </c:strRef>
          </c:cat>
          <c:val>
            <c:numRef>
              <c:f>('ERO Catalunya'!$C$365,'ERO Catalunya'!$E$365,'ERO Catalunya'!$G$365,'ERO Catalunya'!$I$365,'ERO Catalunya'!$K$365)</c:f>
              <c:numCache>
                <c:formatCode>0.00</c:formatCode>
                <c:ptCount val="5"/>
                <c:pt idx="0">
                  <c:v>44.917715392061957</c:v>
                </c:pt>
                <c:pt idx="1">
                  <c:v>1.6456921587608906</c:v>
                </c:pt>
                <c:pt idx="2">
                  <c:v>32.744433688286541</c:v>
                </c:pt>
                <c:pt idx="3">
                  <c:v>26.306873184898354</c:v>
                </c:pt>
                <c:pt idx="4">
                  <c:v>0.21781219748305905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8869461587571823"/>
          <c:y val="0.41077619261417975"/>
          <c:w val="0.27345530191678785"/>
          <c:h val="0.35469847798661785"/>
        </c:manualLayout>
      </c:layout>
      <c:overlay val="0"/>
      <c:txPr>
        <a:bodyPr/>
        <a:lstStyle/>
        <a:p>
          <a:pPr rtl="0">
            <a:defRPr/>
          </a:pPr>
          <a:endParaRPr lang="es-ES"/>
        </a:p>
      </c:txPr>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600"/>
            </a:pPr>
            <a:r>
              <a:rPr lang="ca-ES" sz="1600"/>
              <a:t>Atur segons durada de la demanda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138888888888889"/>
          <c:y val="0.34401137357830269"/>
          <c:w val="0.81388888888888888"/>
          <c:h val="0.54929316127150773"/>
        </c:manualLayout>
      </c:layout>
      <c:pie3DChart>
        <c:varyColors val="1"/>
        <c:ser>
          <c:idx val="0"/>
          <c:order val="0"/>
          <c:dLbls>
            <c:dLbl>
              <c:idx val="0"/>
              <c:tx>
                <c:rich>
                  <a:bodyPr/>
                  <a:lstStyle/>
                  <a:p>
                    <a:r>
                      <a:rPr lang="en-US"/>
                      <a:t>44,84%</a:t>
                    </a:r>
                  </a:p>
                </c:rich>
              </c:tx>
              <c:showLegendKey val="0"/>
              <c:showVal val="1"/>
              <c:showCatName val="0"/>
              <c:showSerName val="0"/>
              <c:showPercent val="1"/>
              <c:showBubbleSize val="0"/>
            </c:dLbl>
            <c:dLbl>
              <c:idx val="1"/>
              <c:tx>
                <c:rich>
                  <a:bodyPr/>
                  <a:lstStyle/>
                  <a:p>
                    <a:r>
                      <a:rPr lang="en-US"/>
                      <a:t>15,12%</a:t>
                    </a:r>
                  </a:p>
                </c:rich>
              </c:tx>
              <c:showLegendKey val="0"/>
              <c:showVal val="1"/>
              <c:showCatName val="0"/>
              <c:showSerName val="0"/>
              <c:showPercent val="1"/>
              <c:showBubbleSize val="0"/>
            </c:dLbl>
            <c:dLbl>
              <c:idx val="2"/>
              <c:tx>
                <c:rich>
                  <a:bodyPr/>
                  <a:lstStyle/>
                  <a:p>
                    <a:r>
                      <a:rPr lang="en-US"/>
                      <a:t>40,03%</a:t>
                    </a:r>
                  </a:p>
                </c:rich>
              </c:tx>
              <c:showLegendKey val="0"/>
              <c:showVal val="1"/>
              <c:showCatName val="0"/>
              <c:showSerName val="0"/>
              <c:showPercent val="1"/>
              <c:showBubbleSize val="0"/>
            </c:dLbl>
            <c:showLegendKey val="0"/>
            <c:showVal val="1"/>
            <c:showCatName val="0"/>
            <c:showSerName val="0"/>
            <c:showPercent val="1"/>
            <c:showBubbleSize val="0"/>
            <c:showLeaderLines val="0"/>
          </c:dLbls>
          <c:cat>
            <c:strRef>
              <c:f>('Paro registrado - duración '!$B$3,'Paro registrado - duración '!$D$3,'Paro registrado - duración '!$F$3)</c:f>
              <c:strCache>
                <c:ptCount val="3"/>
                <c:pt idx="0">
                  <c:v>Fins a 6 mesos</c:v>
                </c:pt>
                <c:pt idx="1">
                  <c:v>De 6 a 12 mesos</c:v>
                </c:pt>
                <c:pt idx="2">
                  <c:v>Més de 12 mesos </c:v>
                </c:pt>
              </c:strCache>
            </c:strRef>
          </c:cat>
          <c:val>
            <c:numRef>
              <c:f>('Paro registrado - duración '!$C$7,'Paro registrado - duración '!$E$7,'Paro registrado - duración '!$G$7)</c:f>
              <c:numCache>
                <c:formatCode>#,##0.00</c:formatCode>
                <c:ptCount val="3"/>
                <c:pt idx="0">
                  <c:v>44.843352333676883</c:v>
                </c:pt>
                <c:pt idx="1">
                  <c:v>15.122625833456029</c:v>
                </c:pt>
                <c:pt idx="2">
                  <c:v>40.03402183286709</c:v>
                </c:pt>
              </c:numCache>
            </c:numRef>
          </c:val>
        </c:ser>
        <c:dLbls>
          <c:showLegendKey val="0"/>
          <c:showVal val="0"/>
          <c:showCatName val="0"/>
          <c:showSerName val="0"/>
          <c:showPercent val="1"/>
          <c:showBubbleSize val="0"/>
          <c:showLeaderLines val="0"/>
        </c:dLbls>
      </c:pie3DChart>
    </c:plotArea>
    <c:legend>
      <c:legendPos val="t"/>
      <c:overlay val="0"/>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a:latin typeface="Rotis Sans Serif Std" pitchFamily="34" charset="0"/>
              </a:defRPr>
            </a:pPr>
            <a:r>
              <a:rPr lang="en-US" sz="1600">
                <a:latin typeface="Rotis Sans Serif Std" pitchFamily="34" charset="0"/>
              </a:rPr>
              <a:t>Treballadors afectats segons el sector d'activitat. </a:t>
            </a:r>
            <a:r>
              <a:rPr lang="en-US" sz="1600" baseline="0">
                <a:latin typeface="Rotis Sans Serif Std" pitchFamily="34" charset="0"/>
              </a:rPr>
              <a:t>Gener-agost 2018</a:t>
            </a:r>
            <a:endParaRPr lang="es-ES" sz="1600">
              <a:latin typeface="Rotis Sans Serif Std" pitchFamily="34" charset="0"/>
            </a:endParaRPr>
          </a:p>
        </c:rich>
      </c:tx>
      <c:layout>
        <c:manualLayout>
          <c:xMode val="edge"/>
          <c:yMode val="edge"/>
          <c:x val="0.14695696499649227"/>
          <c:y val="1.2592593571894125E-2"/>
        </c:manualLayout>
      </c:layout>
      <c:overlay val="0"/>
    </c:title>
    <c:autoTitleDeleted val="0"/>
    <c:plotArea>
      <c:layout>
        <c:manualLayout>
          <c:layoutTarget val="inner"/>
          <c:xMode val="edge"/>
          <c:yMode val="edge"/>
          <c:x val="0.17092510996451565"/>
          <c:y val="0.2810220690986347"/>
          <c:w val="0.41659426946631672"/>
          <c:h val="0.69688604280684963"/>
        </c:manualLayout>
      </c:layout>
      <c:pieChart>
        <c:varyColors val="1"/>
        <c:ser>
          <c:idx val="0"/>
          <c:order val="0"/>
          <c:dLbls>
            <c:dLbl>
              <c:idx val="0"/>
              <c:tx>
                <c:rich>
                  <a:bodyPr/>
                  <a:lstStyle/>
                  <a:p>
                    <a:r>
                      <a:rPr lang="en-US">
                        <a:latin typeface="Rotis Sans Serif Std" pitchFamily="34" charset="0"/>
                      </a:rPr>
                      <a:t>1,98%</a:t>
                    </a:r>
                    <a:endParaRPr lang="en-US"/>
                  </a:p>
                </c:rich>
              </c:tx>
              <c:showLegendKey val="0"/>
              <c:showVal val="1"/>
              <c:showCatName val="0"/>
              <c:showSerName val="0"/>
              <c:showPercent val="1"/>
              <c:showBubbleSize val="0"/>
            </c:dLbl>
            <c:dLbl>
              <c:idx val="1"/>
              <c:tx>
                <c:rich>
                  <a:bodyPr/>
                  <a:lstStyle/>
                  <a:p>
                    <a:r>
                      <a:rPr lang="en-US">
                        <a:latin typeface="Rotis Sans Serif Std" pitchFamily="34" charset="0"/>
                      </a:rPr>
                      <a:t>48,02%</a:t>
                    </a:r>
                    <a:endParaRPr lang="en-US"/>
                  </a:p>
                </c:rich>
              </c:tx>
              <c:showLegendKey val="0"/>
              <c:showVal val="1"/>
              <c:showCatName val="0"/>
              <c:showSerName val="0"/>
              <c:showPercent val="1"/>
              <c:showBubbleSize val="0"/>
            </c:dLbl>
            <c:dLbl>
              <c:idx val="2"/>
              <c:tx>
                <c:rich>
                  <a:bodyPr/>
                  <a:lstStyle/>
                  <a:p>
                    <a:r>
                      <a:rPr lang="en-US">
                        <a:latin typeface="Rotis Sans Serif Std" pitchFamily="34" charset="0"/>
                      </a:rPr>
                      <a:t>19,75%</a:t>
                    </a:r>
                    <a:endParaRPr lang="en-US"/>
                  </a:p>
                </c:rich>
              </c:tx>
              <c:showLegendKey val="0"/>
              <c:showVal val="1"/>
              <c:showCatName val="0"/>
              <c:showSerName val="0"/>
              <c:showPercent val="1"/>
              <c:showBubbleSize val="0"/>
            </c:dLbl>
            <c:dLbl>
              <c:idx val="3"/>
              <c:tx>
                <c:rich>
                  <a:bodyPr/>
                  <a:lstStyle/>
                  <a:p>
                    <a:r>
                      <a:rPr lang="en-US">
                        <a:latin typeface="Rotis Sans Serif Std" pitchFamily="34" charset="0"/>
                      </a:rPr>
                      <a:t>30,25%</a:t>
                    </a:r>
                    <a:endParaRPr lang="en-US"/>
                  </a:p>
                </c:rich>
              </c:tx>
              <c:showLegendKey val="0"/>
              <c:showVal val="1"/>
              <c:showCatName val="0"/>
              <c:showSerName val="0"/>
              <c:showPercent val="1"/>
              <c:showBubbleSize val="0"/>
            </c:dLbl>
            <c:txPr>
              <a:bodyPr/>
              <a:lstStyle/>
              <a:p>
                <a:pPr>
                  <a:defRPr>
                    <a:latin typeface="Rotis Sans Serif Std" pitchFamily="34" charset="0"/>
                  </a:defRPr>
                </a:pPr>
                <a:endParaRPr lang="es-ES"/>
              </a:p>
            </c:txPr>
            <c:showLegendKey val="0"/>
            <c:showVal val="1"/>
            <c:showCatName val="0"/>
            <c:showSerName val="0"/>
            <c:showPercent val="1"/>
            <c:showBubbleSize val="0"/>
            <c:showLeaderLines val="1"/>
          </c:dLbls>
          <c:cat>
            <c:strRef>
              <c:f>('ERO Catalunya'!$B$411,'ERO Catalunya'!$D$411,'ERO Catalunya'!$F$411,'ERO Catalunya'!$H$411)</c:f>
              <c:strCache>
                <c:ptCount val="4"/>
                <c:pt idx="0">
                  <c:v>AGRICULTURA</c:v>
                </c:pt>
                <c:pt idx="1">
                  <c:v>INDUSTRIA</c:v>
                </c:pt>
                <c:pt idx="2">
                  <c:v>CONSTRUCCIÓ</c:v>
                </c:pt>
                <c:pt idx="3">
                  <c:v>SERVEIS</c:v>
                </c:pt>
              </c:strCache>
            </c:strRef>
          </c:cat>
          <c:val>
            <c:numRef>
              <c:f>('ERO Catalunya'!$C$443,'ERO Catalunya'!$E$443,'ERO Catalunya'!$G$443,'ERO Catalunya'!$I$443)</c:f>
              <c:numCache>
                <c:formatCode>0.00</c:formatCode>
                <c:ptCount val="4"/>
                <c:pt idx="0">
                  <c:v>1.9845111326234268</c:v>
                </c:pt>
                <c:pt idx="1">
                  <c:v>48.015488867376575</c:v>
                </c:pt>
                <c:pt idx="2">
                  <c:v>3.6786060019361084</c:v>
                </c:pt>
                <c:pt idx="3">
                  <c:v>46.32139399806389</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8829231229277121"/>
          <c:y val="0.45771336915022204"/>
          <c:w val="0.23867870143339762"/>
          <c:h val="0.28044057489255947"/>
        </c:manualLayout>
      </c:layout>
      <c:overlay val="0"/>
      <c:txPr>
        <a:bodyPr/>
        <a:lstStyle/>
        <a:p>
          <a:pPr rtl="0">
            <a:defRPr>
              <a:latin typeface="Rotis Sans Serif Std" pitchFamily="34" charset="0"/>
            </a:defRPr>
          </a:pPr>
          <a:endParaRPr lang="es-ES"/>
        </a:p>
      </c:txPr>
    </c:legend>
    <c:plotVisOnly val="1"/>
    <c:dispBlanksAs val="gap"/>
    <c:showDLblsOverMax val="0"/>
  </c:chart>
  <c:spPr>
    <a:ln>
      <a:solidFill>
        <a:srgbClr val="C00000"/>
      </a:solid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600"/>
            </a:pPr>
            <a:r>
              <a:rPr lang="en-US" sz="1600"/>
              <a:t>Treballadors afectats per sectors i tipus d'expedient. Gener-agost 2018</a:t>
            </a:r>
          </a:p>
        </c:rich>
      </c:tx>
      <c:overlay val="1"/>
    </c:title>
    <c:autoTitleDeleted val="0"/>
    <c:plotArea>
      <c:layout>
        <c:manualLayout>
          <c:layoutTarget val="inner"/>
          <c:xMode val="edge"/>
          <c:yMode val="edge"/>
          <c:x val="9.3236882639879656E-2"/>
          <c:y val="0.22783287079883041"/>
          <c:w val="0.78793022409216817"/>
          <c:h val="0.66709596424860729"/>
        </c:manualLayout>
      </c:layout>
      <c:barChart>
        <c:barDir val="col"/>
        <c:grouping val="clustered"/>
        <c:varyColors val="0"/>
        <c:ser>
          <c:idx val="0"/>
          <c:order val="0"/>
          <c:tx>
            <c:strRef>
              <c:f>'ERO Catalunya'!$D$470</c:f>
              <c:strCache>
                <c:ptCount val="1"/>
                <c:pt idx="0">
                  <c:v>SUSPENSIÓ</c:v>
                </c:pt>
              </c:strCache>
            </c:strRef>
          </c:tx>
          <c:invertIfNegative val="0"/>
          <c:dLbls>
            <c:showLegendKey val="0"/>
            <c:showVal val="1"/>
            <c:showCatName val="0"/>
            <c:showSerName val="0"/>
            <c:showPercent val="0"/>
            <c:showBubbleSize val="0"/>
            <c:showLeaderLines val="0"/>
          </c:dLbls>
          <c:cat>
            <c:strRef>
              <c:f>('ERO Catalunya'!$A$471,'ERO Catalunya'!$A$472,'ERO Catalunya'!$A$474,'ERO Catalunya'!$A$473)</c:f>
              <c:strCache>
                <c:ptCount val="4"/>
                <c:pt idx="0">
                  <c:v>AGRICULTURA</c:v>
                </c:pt>
                <c:pt idx="1">
                  <c:v>INDÚSTRIA</c:v>
                </c:pt>
                <c:pt idx="2">
                  <c:v>SERVEIS</c:v>
                </c:pt>
                <c:pt idx="3">
                  <c:v>CONSTRUCCIÓ</c:v>
                </c:pt>
              </c:strCache>
            </c:strRef>
          </c:cat>
          <c:val>
            <c:numRef>
              <c:f>('ERO Catalunya'!$D$471,'ERO Catalunya'!$D$472,'ERO Catalunya'!$D$473,'ERO Catalunya'!$D$474)</c:f>
              <c:numCache>
                <c:formatCode>General</c:formatCode>
                <c:ptCount val="4"/>
                <c:pt idx="0">
                  <c:v>54</c:v>
                </c:pt>
                <c:pt idx="1">
                  <c:v>1478</c:v>
                </c:pt>
                <c:pt idx="2">
                  <c:v>219</c:v>
                </c:pt>
                <c:pt idx="3">
                  <c:v>509</c:v>
                </c:pt>
              </c:numCache>
            </c:numRef>
          </c:val>
        </c:ser>
        <c:ser>
          <c:idx val="1"/>
          <c:order val="1"/>
          <c:tx>
            <c:strRef>
              <c:f>'ERO Catalunya'!$F$470</c:f>
              <c:strCache>
                <c:ptCount val="1"/>
                <c:pt idx="0">
                  <c:v>REDUCCIÓ</c:v>
                </c:pt>
              </c:strCache>
            </c:strRef>
          </c:tx>
          <c:invertIfNegative val="0"/>
          <c:dLbls>
            <c:showLegendKey val="0"/>
            <c:showVal val="1"/>
            <c:showCatName val="0"/>
            <c:showSerName val="0"/>
            <c:showPercent val="0"/>
            <c:showBubbleSize val="0"/>
            <c:showLeaderLines val="0"/>
          </c:dLbls>
          <c:cat>
            <c:strRef>
              <c:f>('ERO Catalunya'!$A$471,'ERO Catalunya'!$A$472,'ERO Catalunya'!$A$474,'ERO Catalunya'!$A$473)</c:f>
              <c:strCache>
                <c:ptCount val="4"/>
                <c:pt idx="0">
                  <c:v>AGRICULTURA</c:v>
                </c:pt>
                <c:pt idx="1">
                  <c:v>INDÚSTRIA</c:v>
                </c:pt>
                <c:pt idx="2">
                  <c:v>SERVEIS</c:v>
                </c:pt>
                <c:pt idx="3">
                  <c:v>CONSTRUCCIÓ</c:v>
                </c:pt>
              </c:strCache>
            </c:strRef>
          </c:cat>
          <c:val>
            <c:numRef>
              <c:f>('ERO Catalunya'!$F$471,'ERO Catalunya'!$F$472,'ERO Catalunya'!$F$473,'ERO Catalunya'!$F$474)</c:f>
              <c:numCache>
                <c:formatCode>General</c:formatCode>
                <c:ptCount val="4"/>
                <c:pt idx="0">
                  <c:v>10</c:v>
                </c:pt>
                <c:pt idx="1">
                  <c:v>15</c:v>
                </c:pt>
                <c:pt idx="2">
                  <c:v>55</c:v>
                </c:pt>
                <c:pt idx="3">
                  <c:v>77</c:v>
                </c:pt>
              </c:numCache>
            </c:numRef>
          </c:val>
        </c:ser>
        <c:ser>
          <c:idx val="2"/>
          <c:order val="2"/>
          <c:tx>
            <c:strRef>
              <c:f>'ERO Catalunya'!$H$470</c:f>
              <c:strCache>
                <c:ptCount val="1"/>
                <c:pt idx="0">
                  <c:v>EXTINCIÓ</c:v>
                </c:pt>
              </c:strCache>
            </c:strRef>
          </c:tx>
          <c:invertIfNegative val="0"/>
          <c:dLbls>
            <c:showLegendKey val="0"/>
            <c:showVal val="1"/>
            <c:showCatName val="0"/>
            <c:showSerName val="0"/>
            <c:showPercent val="0"/>
            <c:showBubbleSize val="0"/>
            <c:showLeaderLines val="0"/>
          </c:dLbls>
          <c:cat>
            <c:strRef>
              <c:f>('ERO Catalunya'!$A$471,'ERO Catalunya'!$A$472,'ERO Catalunya'!$A$474,'ERO Catalunya'!$A$473)</c:f>
              <c:strCache>
                <c:ptCount val="4"/>
                <c:pt idx="0">
                  <c:v>AGRICULTURA</c:v>
                </c:pt>
                <c:pt idx="1">
                  <c:v>INDÚSTRIA</c:v>
                </c:pt>
                <c:pt idx="2">
                  <c:v>SERVEIS</c:v>
                </c:pt>
                <c:pt idx="3">
                  <c:v>CONSTRUCCIÓ</c:v>
                </c:pt>
              </c:strCache>
            </c:strRef>
          </c:cat>
          <c:val>
            <c:numRef>
              <c:f>('ERO Catalunya'!$H$471,'ERO Catalunya'!$H$472,'ERO Catalunya'!$H$473,'ERO Catalunya'!$H$474)</c:f>
              <c:numCache>
                <c:formatCode>General</c:formatCode>
                <c:ptCount val="4"/>
                <c:pt idx="0">
                  <c:v>18</c:v>
                </c:pt>
                <c:pt idx="1">
                  <c:v>491</c:v>
                </c:pt>
                <c:pt idx="2">
                  <c:v>542</c:v>
                </c:pt>
                <c:pt idx="3">
                  <c:v>664</c:v>
                </c:pt>
              </c:numCache>
            </c:numRef>
          </c:val>
        </c:ser>
        <c:dLbls>
          <c:showLegendKey val="0"/>
          <c:showVal val="0"/>
          <c:showCatName val="0"/>
          <c:showSerName val="0"/>
          <c:showPercent val="0"/>
          <c:showBubbleSize val="0"/>
        </c:dLbls>
        <c:gapWidth val="150"/>
        <c:axId val="169326464"/>
        <c:axId val="169328000"/>
      </c:barChart>
      <c:catAx>
        <c:axId val="169326464"/>
        <c:scaling>
          <c:orientation val="minMax"/>
        </c:scaling>
        <c:delete val="0"/>
        <c:axPos val="b"/>
        <c:majorTickMark val="none"/>
        <c:minorTickMark val="none"/>
        <c:tickLblPos val="nextTo"/>
        <c:crossAx val="169328000"/>
        <c:crosses val="autoZero"/>
        <c:auto val="1"/>
        <c:lblAlgn val="ctr"/>
        <c:lblOffset val="100"/>
        <c:noMultiLvlLbl val="0"/>
      </c:catAx>
      <c:valAx>
        <c:axId val="169328000"/>
        <c:scaling>
          <c:orientation val="minMax"/>
        </c:scaling>
        <c:delete val="0"/>
        <c:axPos val="l"/>
        <c:numFmt formatCode="General" sourceLinked="1"/>
        <c:majorTickMark val="out"/>
        <c:minorTickMark val="none"/>
        <c:tickLblPos val="nextTo"/>
        <c:crossAx val="169326464"/>
        <c:crosses val="autoZero"/>
        <c:crossBetween val="between"/>
      </c:valAx>
    </c:plotArea>
    <c:legend>
      <c:legendPos val="r"/>
      <c:layout>
        <c:manualLayout>
          <c:xMode val="edge"/>
          <c:yMode val="edge"/>
          <c:x val="0.82607954079031687"/>
          <c:y val="0.26255953430672485"/>
          <c:w val="0.16296932094664743"/>
          <c:h val="0.1973298762888413"/>
        </c:manualLayout>
      </c:layout>
      <c:overlay val="0"/>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latin typeface="Rotis Sans Serif Std" pitchFamily="34" charset="0"/>
              </a:defRPr>
            </a:pPr>
            <a:r>
              <a:rPr lang="es-ES">
                <a:solidFill>
                  <a:sysClr val="windowText" lastClr="000000"/>
                </a:solidFill>
                <a:latin typeface="Rotis Sans Serif Std" pitchFamily="34" charset="0"/>
              </a:rPr>
              <a:t>Distri</a:t>
            </a:r>
            <a:r>
              <a:rPr lang="es-ES">
                <a:latin typeface="Rotis Sans Serif Std" pitchFamily="34" charset="0"/>
              </a:rPr>
              <a:t>bució territorial-Expedients.Gener-agost</a:t>
            </a:r>
            <a:r>
              <a:rPr lang="es-ES" baseline="0">
                <a:latin typeface="Rotis Sans Serif Std" pitchFamily="34" charset="0"/>
              </a:rPr>
              <a:t> 2018</a:t>
            </a:r>
            <a:endParaRPr lang="es-ES">
              <a:latin typeface="Rotis Sans Serif Std" pitchFamily="34" charset="0"/>
            </a:endParaRPr>
          </a:p>
        </c:rich>
      </c:tx>
      <c:overlay val="0"/>
    </c:title>
    <c:autoTitleDeleted val="0"/>
    <c:plotArea>
      <c:layout>
        <c:manualLayout>
          <c:layoutTarget val="inner"/>
          <c:xMode val="edge"/>
          <c:yMode val="edge"/>
          <c:x val="0.22759930008748908"/>
          <c:y val="0.34324329250510355"/>
          <c:w val="0.41019138232720909"/>
          <c:h val="0.65675670749489645"/>
        </c:manualLayout>
      </c:layout>
      <c:pieChart>
        <c:varyColors val="1"/>
        <c:ser>
          <c:idx val="0"/>
          <c:order val="0"/>
          <c:dLbls>
            <c:dLbl>
              <c:idx val="0"/>
              <c:tx>
                <c:rich>
                  <a:bodyPr/>
                  <a:lstStyle/>
                  <a:p>
                    <a:r>
                      <a:rPr lang="en-US">
                        <a:latin typeface="Rotis Sans Serif Std" pitchFamily="34" charset="0"/>
                      </a:rPr>
                      <a:t>74,59%</a:t>
                    </a:r>
                    <a:endParaRPr lang="en-US"/>
                  </a:p>
                </c:rich>
              </c:tx>
              <c:showLegendKey val="0"/>
              <c:showVal val="1"/>
              <c:showCatName val="0"/>
              <c:showSerName val="0"/>
              <c:showPercent val="1"/>
              <c:showBubbleSize val="0"/>
            </c:dLbl>
            <c:dLbl>
              <c:idx val="1"/>
              <c:tx>
                <c:rich>
                  <a:bodyPr/>
                  <a:lstStyle/>
                  <a:p>
                    <a:r>
                      <a:rPr lang="en-US">
                        <a:latin typeface="Rotis Sans Serif Std" pitchFamily="34" charset="0"/>
                      </a:rPr>
                      <a:t>9,19%</a:t>
                    </a:r>
                    <a:endParaRPr lang="en-US"/>
                  </a:p>
                </c:rich>
              </c:tx>
              <c:showLegendKey val="0"/>
              <c:showVal val="1"/>
              <c:showCatName val="0"/>
              <c:showSerName val="0"/>
              <c:showPercent val="1"/>
              <c:showBubbleSize val="0"/>
            </c:dLbl>
            <c:dLbl>
              <c:idx val="2"/>
              <c:tx>
                <c:rich>
                  <a:bodyPr/>
                  <a:lstStyle/>
                  <a:p>
                    <a:r>
                      <a:rPr lang="en-US">
                        <a:latin typeface="Rotis Sans Serif Std" pitchFamily="34" charset="0"/>
                      </a:rPr>
                      <a:t>2,70%</a:t>
                    </a:r>
                    <a:endParaRPr lang="en-US"/>
                  </a:p>
                </c:rich>
              </c:tx>
              <c:showLegendKey val="0"/>
              <c:showVal val="1"/>
              <c:showCatName val="0"/>
              <c:showSerName val="0"/>
              <c:showPercent val="1"/>
              <c:showBubbleSize val="0"/>
            </c:dLbl>
            <c:dLbl>
              <c:idx val="3"/>
              <c:tx>
                <c:rich>
                  <a:bodyPr/>
                  <a:lstStyle/>
                  <a:p>
                    <a:r>
                      <a:rPr lang="en-US">
                        <a:latin typeface="Rotis Sans Serif Std" pitchFamily="34" charset="0"/>
                      </a:rPr>
                      <a:t>5,95%</a:t>
                    </a:r>
                    <a:endParaRPr lang="en-US"/>
                  </a:p>
                </c:rich>
              </c:tx>
              <c:showLegendKey val="0"/>
              <c:showVal val="1"/>
              <c:showCatName val="0"/>
              <c:showSerName val="0"/>
              <c:showPercent val="1"/>
              <c:showBubbleSize val="0"/>
            </c:dLbl>
            <c:dLbl>
              <c:idx val="4"/>
              <c:tx>
                <c:rich>
                  <a:bodyPr/>
                  <a:lstStyle/>
                  <a:p>
                    <a:r>
                      <a:rPr lang="en-US">
                        <a:latin typeface="Rotis Sans Serif Std" pitchFamily="34" charset="0"/>
                      </a:rPr>
                      <a:t>5,95%</a:t>
                    </a:r>
                    <a:endParaRPr lang="en-US"/>
                  </a:p>
                </c:rich>
              </c:tx>
              <c:showLegendKey val="0"/>
              <c:showVal val="1"/>
              <c:showCatName val="0"/>
              <c:showSerName val="0"/>
              <c:showPercent val="1"/>
              <c:showBubbleSize val="0"/>
            </c:dLbl>
            <c:dLbl>
              <c:idx val="5"/>
              <c:tx>
                <c:rich>
                  <a:bodyPr/>
                  <a:lstStyle/>
                  <a:p>
                    <a:r>
                      <a:rPr lang="en-US">
                        <a:latin typeface="Rotis Sans Serif Std" pitchFamily="34" charset="0"/>
                      </a:rPr>
                      <a:t>1,62%</a:t>
                    </a:r>
                    <a:endParaRPr lang="en-US"/>
                  </a:p>
                </c:rich>
              </c:tx>
              <c:showLegendKey val="0"/>
              <c:showVal val="1"/>
              <c:showCatName val="0"/>
              <c:showSerName val="0"/>
              <c:showPercent val="1"/>
              <c:showBubbleSize val="0"/>
            </c:dLbl>
            <c:txPr>
              <a:bodyPr/>
              <a:lstStyle/>
              <a:p>
                <a:pPr>
                  <a:defRPr>
                    <a:latin typeface="Rotis Sans Serif Std" pitchFamily="34" charset="0"/>
                  </a:defRPr>
                </a:pPr>
                <a:endParaRPr lang="es-ES"/>
              </a:p>
            </c:txPr>
            <c:showLegendKey val="0"/>
            <c:showVal val="1"/>
            <c:showCatName val="0"/>
            <c:showSerName val="0"/>
            <c:showPercent val="1"/>
            <c:showBubbleSize val="0"/>
            <c:showLeaderLines val="1"/>
          </c:dLbls>
          <c:cat>
            <c:strRef>
              <c:f>('ERO Provincies'!$B$38,'ERO Provincies'!$D$38,'ERO Provincies'!$F$38,'ERO Provincies'!$H$38,'ERO Provincies'!$J$38,'ERO Provincies'!$L$38)</c:f>
              <c:strCache>
                <c:ptCount val="6"/>
                <c:pt idx="0">
                  <c:v>BARCELONA</c:v>
                </c:pt>
                <c:pt idx="1">
                  <c:v>GIRONA</c:v>
                </c:pt>
                <c:pt idx="2">
                  <c:v>LLEIDA</c:v>
                </c:pt>
                <c:pt idx="3">
                  <c:v>TARRAGONA</c:v>
                </c:pt>
                <c:pt idx="4">
                  <c:v>T.EBRE</c:v>
                </c:pt>
                <c:pt idx="5">
                  <c:v>DGRLQT</c:v>
                </c:pt>
              </c:strCache>
            </c:strRef>
          </c:cat>
          <c:val>
            <c:numRef>
              <c:f>('ERO Provincies'!$C$51,'ERO Provincies'!$E$51,'ERO Provincies'!$G$51,'ERO Provincies'!$I$51,'ERO Provincies'!$K$51,'ERO Provincies'!$M$51)</c:f>
              <c:numCache>
                <c:formatCode>0.00</c:formatCode>
                <c:ptCount val="6"/>
                <c:pt idx="0">
                  <c:v>74.594594594594597</c:v>
                </c:pt>
                <c:pt idx="1">
                  <c:v>9.1891891891891895</c:v>
                </c:pt>
                <c:pt idx="2">
                  <c:v>2.7027027027027026</c:v>
                </c:pt>
                <c:pt idx="3">
                  <c:v>5.9459459459459456</c:v>
                </c:pt>
                <c:pt idx="4">
                  <c:v>5.9459459459459456</c:v>
                </c:pt>
                <c:pt idx="5">
                  <c:v>1.6216216216216217</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latin typeface="Rotis Sans Serif Std" pitchFamily="34" charset="0"/>
            </a:defRPr>
          </a:pPr>
          <a:endParaRPr lang="es-ES"/>
        </a:p>
      </c:txPr>
    </c:legend>
    <c:plotVisOnly val="1"/>
    <c:dispBlanksAs val="gap"/>
    <c:showDLblsOverMax val="0"/>
  </c:chart>
  <c:spPr>
    <a:ln>
      <a:solidFill>
        <a:srgbClr val="C00000"/>
      </a:solid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a:pPr>
            <a:r>
              <a:rPr lang="es-ES" sz="1600"/>
              <a:t>Distribució territorial-treballadors.Gener-agost 2018</a:t>
            </a:r>
          </a:p>
        </c:rich>
      </c:tx>
      <c:layout>
        <c:manualLayout>
          <c:xMode val="edge"/>
          <c:yMode val="edge"/>
          <c:x val="0.11533333333333333"/>
          <c:y val="2.7777777777777776E-2"/>
        </c:manualLayout>
      </c:layout>
      <c:overlay val="0"/>
    </c:title>
    <c:autoTitleDeleted val="0"/>
    <c:plotArea>
      <c:layout/>
      <c:pieChart>
        <c:varyColors val="1"/>
        <c:ser>
          <c:idx val="0"/>
          <c:order val="0"/>
          <c:dLbls>
            <c:dLbl>
              <c:idx val="0"/>
              <c:layout>
                <c:manualLayout>
                  <c:x val="-6.2738073923156543E-2"/>
                  <c:y val="-0.26665165569462607"/>
                </c:manualLayout>
              </c:layout>
              <c:tx>
                <c:rich>
                  <a:bodyPr/>
                  <a:lstStyle/>
                  <a:p>
                    <a:r>
                      <a:rPr lang="en-US"/>
                      <a:t>86,52%</a:t>
                    </a:r>
                  </a:p>
                </c:rich>
              </c:tx>
              <c:showLegendKey val="0"/>
              <c:showVal val="1"/>
              <c:showCatName val="0"/>
              <c:showSerName val="0"/>
              <c:showPercent val="1"/>
              <c:showBubbleSize val="0"/>
            </c:dLbl>
            <c:dLbl>
              <c:idx val="1"/>
              <c:tx>
                <c:rich>
                  <a:bodyPr/>
                  <a:lstStyle/>
                  <a:p>
                    <a:r>
                      <a:rPr lang="en-US"/>
                      <a:t>7,58%</a:t>
                    </a:r>
                  </a:p>
                </c:rich>
              </c:tx>
              <c:showLegendKey val="0"/>
              <c:showVal val="0"/>
              <c:showCatName val="0"/>
              <c:showSerName val="0"/>
              <c:showPercent val="1"/>
              <c:showBubbleSize val="0"/>
            </c:dLbl>
            <c:dLbl>
              <c:idx val="2"/>
              <c:tx>
                <c:rich>
                  <a:bodyPr/>
                  <a:lstStyle/>
                  <a:p>
                    <a:r>
                      <a:rPr lang="en-US"/>
                      <a:t>1,28%</a:t>
                    </a:r>
                  </a:p>
                </c:rich>
              </c:tx>
              <c:showLegendKey val="0"/>
              <c:showVal val="0"/>
              <c:showCatName val="0"/>
              <c:showSerName val="0"/>
              <c:showPercent val="1"/>
              <c:showBubbleSize val="0"/>
            </c:dLbl>
            <c:dLbl>
              <c:idx val="3"/>
              <c:tx>
                <c:rich>
                  <a:bodyPr/>
                  <a:lstStyle/>
                  <a:p>
                    <a:r>
                      <a:rPr lang="en-US"/>
                      <a:t>4,62%</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('ERO Provincies'!$A$93,'ERO Provincies'!$A$94,'ERO Provincies'!$A$95,'ERO Provincies'!$A$96)</c:f>
              <c:strCache>
                <c:ptCount val="4"/>
                <c:pt idx="0">
                  <c:v>BARCELONA</c:v>
                </c:pt>
                <c:pt idx="1">
                  <c:v>GIRONA</c:v>
                </c:pt>
                <c:pt idx="2">
                  <c:v>LLEIDA</c:v>
                </c:pt>
                <c:pt idx="3">
                  <c:v>TARRAGONA</c:v>
                </c:pt>
              </c:strCache>
            </c:strRef>
          </c:cat>
          <c:val>
            <c:numRef>
              <c:f>('ERO Provincies'!$C$93,'ERO Provincies'!$C$94,'ERO Provincies'!$C$95,'ERO Provincies'!$C$96)</c:f>
              <c:numCache>
                <c:formatCode>0.00</c:formatCode>
                <c:ptCount val="4"/>
                <c:pt idx="0">
                  <c:v>86.519845111326234</c:v>
                </c:pt>
                <c:pt idx="1">
                  <c:v>7.5750242013552755</c:v>
                </c:pt>
                <c:pt idx="2">
                  <c:v>1.2826718296224588</c:v>
                </c:pt>
                <c:pt idx="3">
                  <c:v>4.6224588576960306</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es-ES"/>
        </a:p>
      </c:txPr>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600">
                <a:latin typeface="Rotis Sans Serif Std" pitchFamily="34" charset="0"/>
              </a:defRPr>
            </a:pPr>
            <a:r>
              <a:rPr lang="en-US" sz="1600">
                <a:latin typeface="Rotis Sans Serif Std" pitchFamily="34" charset="0"/>
              </a:rPr>
              <a:t>Vagues</a:t>
            </a:r>
            <a:r>
              <a:rPr lang="en-US" sz="1600" baseline="0">
                <a:latin typeface="Rotis Sans Serif Std" pitchFamily="34" charset="0"/>
              </a:rPr>
              <a:t> amb incidència</a:t>
            </a:r>
          </a:p>
        </c:rich>
      </c:tx>
      <c:layout/>
      <c:overlay val="0"/>
    </c:title>
    <c:autoTitleDeleted val="0"/>
    <c:plotArea>
      <c:layout/>
      <c:barChart>
        <c:barDir val="col"/>
        <c:grouping val="clustered"/>
        <c:varyColors val="0"/>
        <c:ser>
          <c:idx val="0"/>
          <c:order val="0"/>
          <c:tx>
            <c:strRef>
              <c:f>'Huelgas y cierres patronales '!$B$1</c:f>
              <c:strCache>
                <c:ptCount val="1"/>
                <c:pt idx="0">
                  <c:v>Vagues</c:v>
                </c:pt>
              </c:strCache>
            </c:strRef>
          </c:tx>
          <c:invertIfNegative val="0"/>
          <c:dLbls>
            <c:showLegendKey val="0"/>
            <c:showVal val="1"/>
            <c:showCatName val="0"/>
            <c:showSerName val="0"/>
            <c:showPercent val="0"/>
            <c:showBubbleSize val="0"/>
            <c:showLeaderLines val="0"/>
          </c:dLbls>
          <c:cat>
            <c:strRef>
              <c:f>'Huelgas y cierres patronales '!$A$2:$A$10</c:f>
              <c:strCache>
                <c:ptCount val="9"/>
                <c:pt idx="0">
                  <c:v>2011</c:v>
                </c:pt>
                <c:pt idx="1">
                  <c:v>2012</c:v>
                </c:pt>
                <c:pt idx="2">
                  <c:v>2013</c:v>
                </c:pt>
                <c:pt idx="3">
                  <c:v>2014</c:v>
                </c:pt>
                <c:pt idx="4">
                  <c:v>2015</c:v>
                </c:pt>
                <c:pt idx="5">
                  <c:v>2016</c:v>
                </c:pt>
                <c:pt idx="6">
                  <c:v>2017</c:v>
                </c:pt>
                <c:pt idx="7">
                  <c:v>Acumulat fins al mes de maig 2017</c:v>
                </c:pt>
                <c:pt idx="8">
                  <c:v>Acumulat fins al mes de maig 2018 </c:v>
                </c:pt>
              </c:strCache>
            </c:strRef>
          </c:cat>
          <c:val>
            <c:numRef>
              <c:f>'Huelgas y cierres patronales '!$B$2:$B$10</c:f>
              <c:numCache>
                <c:formatCode>_-* #,##0\ _€_-;\-* #,##0\ _€_-;_-* "-"??\ _€_-;_-@_-</c:formatCode>
                <c:ptCount val="9"/>
                <c:pt idx="0">
                  <c:v>121</c:v>
                </c:pt>
                <c:pt idx="1">
                  <c:v>141</c:v>
                </c:pt>
                <c:pt idx="2">
                  <c:v>188</c:v>
                </c:pt>
                <c:pt idx="3">
                  <c:v>156</c:v>
                </c:pt>
                <c:pt idx="4">
                  <c:v>123</c:v>
                </c:pt>
                <c:pt idx="5">
                  <c:v>130</c:v>
                </c:pt>
                <c:pt idx="6">
                  <c:v>111</c:v>
                </c:pt>
                <c:pt idx="7">
                  <c:v>57</c:v>
                </c:pt>
                <c:pt idx="8">
                  <c:v>44</c:v>
                </c:pt>
              </c:numCache>
            </c:numRef>
          </c:val>
        </c:ser>
        <c:dLbls>
          <c:showLegendKey val="0"/>
          <c:showVal val="0"/>
          <c:showCatName val="0"/>
          <c:showSerName val="0"/>
          <c:showPercent val="0"/>
          <c:showBubbleSize val="0"/>
        </c:dLbls>
        <c:gapWidth val="150"/>
        <c:axId val="168957440"/>
        <c:axId val="168958976"/>
      </c:barChart>
      <c:catAx>
        <c:axId val="168957440"/>
        <c:scaling>
          <c:orientation val="minMax"/>
        </c:scaling>
        <c:delete val="0"/>
        <c:axPos val="b"/>
        <c:numFmt formatCode="General" sourceLinked="1"/>
        <c:majorTickMark val="out"/>
        <c:minorTickMark val="none"/>
        <c:tickLblPos val="nextTo"/>
        <c:txPr>
          <a:bodyPr/>
          <a:lstStyle/>
          <a:p>
            <a:pPr>
              <a:defRPr sz="900">
                <a:latin typeface="Rotis Sans Serif Std" pitchFamily="34" charset="0"/>
              </a:defRPr>
            </a:pPr>
            <a:endParaRPr lang="es-ES"/>
          </a:p>
        </c:txPr>
        <c:crossAx val="168958976"/>
        <c:crosses val="autoZero"/>
        <c:auto val="1"/>
        <c:lblAlgn val="ctr"/>
        <c:lblOffset val="0"/>
        <c:noMultiLvlLbl val="0"/>
      </c:catAx>
      <c:valAx>
        <c:axId val="168958976"/>
        <c:scaling>
          <c:orientation val="minMax"/>
        </c:scaling>
        <c:delete val="0"/>
        <c:axPos val="l"/>
        <c:numFmt formatCode="_-* #,##0\ _€_-;\-* #,##0\ _€_-;_-* &quot;-&quot;??\ _€_-;_-@_-" sourceLinked="1"/>
        <c:majorTickMark val="out"/>
        <c:minorTickMark val="none"/>
        <c:tickLblPos val="nextTo"/>
        <c:txPr>
          <a:bodyPr/>
          <a:lstStyle/>
          <a:p>
            <a:pPr>
              <a:defRPr>
                <a:latin typeface="Rotis Sans Serif Std" pitchFamily="34" charset="0"/>
              </a:defRPr>
            </a:pPr>
            <a:endParaRPr lang="es-ES"/>
          </a:p>
        </c:txPr>
        <c:crossAx val="168957440"/>
        <c:crosses val="autoZero"/>
        <c:crossBetween val="between"/>
      </c:valAx>
    </c:plotArea>
    <c:plotVisOnly val="1"/>
    <c:dispBlanksAs val="gap"/>
    <c:showDLblsOverMax val="0"/>
  </c:chart>
  <c:spPr>
    <a:ln>
      <a:solidFill>
        <a:srgbClr val="C00000"/>
      </a:solidFill>
    </a:ln>
  </c:spPr>
  <c:txPr>
    <a:bodyPr/>
    <a:lstStyle/>
    <a:p>
      <a:pPr algn="ctr">
        <a:defRPr>
          <a:latin typeface="Rotis Sans Serif Std" pitchFamily="34" charset="0"/>
        </a:defRPr>
      </a:pPr>
      <a:endParaRPr lang="es-E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600"/>
            </a:pPr>
            <a:r>
              <a:rPr lang="en-US" sz="1600"/>
              <a:t>Jornades perdudes</a:t>
            </a:r>
          </a:p>
        </c:rich>
      </c:tx>
      <c:layout/>
      <c:overlay val="0"/>
    </c:title>
    <c:autoTitleDeleted val="0"/>
    <c:plotArea>
      <c:layout>
        <c:manualLayout>
          <c:layoutTarget val="inner"/>
          <c:xMode val="edge"/>
          <c:yMode val="edge"/>
          <c:x val="0.120478589317408"/>
          <c:y val="0.20571664122248801"/>
          <c:w val="0.80613908727722094"/>
          <c:h val="0.60222178588061603"/>
        </c:manualLayout>
      </c:layout>
      <c:barChart>
        <c:barDir val="col"/>
        <c:grouping val="clustered"/>
        <c:varyColors val="0"/>
        <c:ser>
          <c:idx val="0"/>
          <c:order val="0"/>
          <c:tx>
            <c:strRef>
              <c:f>'Huelgas y cierres patronales '!$C$1</c:f>
              <c:strCache>
                <c:ptCount val="1"/>
                <c:pt idx="0">
                  <c:v>Jornades Perdudes</c:v>
                </c:pt>
              </c:strCache>
            </c:strRef>
          </c:tx>
          <c:invertIfNegative val="0"/>
          <c:dLbls>
            <c:showLegendKey val="0"/>
            <c:showVal val="1"/>
            <c:showCatName val="0"/>
            <c:showSerName val="0"/>
            <c:showPercent val="0"/>
            <c:showBubbleSize val="0"/>
            <c:showLeaderLines val="0"/>
          </c:dLbls>
          <c:cat>
            <c:strRef>
              <c:f>'Huelgas y cierres patronales '!$A$2:$A$10</c:f>
              <c:strCache>
                <c:ptCount val="9"/>
                <c:pt idx="0">
                  <c:v>2011</c:v>
                </c:pt>
                <c:pt idx="1">
                  <c:v>2012</c:v>
                </c:pt>
                <c:pt idx="2">
                  <c:v>2013</c:v>
                </c:pt>
                <c:pt idx="3">
                  <c:v>2014</c:v>
                </c:pt>
                <c:pt idx="4">
                  <c:v>2015</c:v>
                </c:pt>
                <c:pt idx="5">
                  <c:v>2016</c:v>
                </c:pt>
                <c:pt idx="6">
                  <c:v>2017</c:v>
                </c:pt>
                <c:pt idx="7">
                  <c:v>Acumulat fins al mes de maig 2017</c:v>
                </c:pt>
                <c:pt idx="8">
                  <c:v>Acumulat fins al mes de maig 2018 </c:v>
                </c:pt>
              </c:strCache>
            </c:strRef>
          </c:cat>
          <c:val>
            <c:numRef>
              <c:f>'Huelgas y cierres patronales '!$C$2:$C$10</c:f>
              <c:numCache>
                <c:formatCode>_-* #,##0\ _€_-;\-* #,##0\ _€_-;_-* "-"??\ _€_-;_-@_-</c:formatCode>
                <c:ptCount val="9"/>
                <c:pt idx="0">
                  <c:v>165154</c:v>
                </c:pt>
                <c:pt idx="1">
                  <c:v>102507</c:v>
                </c:pt>
                <c:pt idx="2">
                  <c:v>377547</c:v>
                </c:pt>
                <c:pt idx="3">
                  <c:v>273770</c:v>
                </c:pt>
                <c:pt idx="4">
                  <c:v>200619</c:v>
                </c:pt>
                <c:pt idx="5">
                  <c:v>91697</c:v>
                </c:pt>
                <c:pt idx="6">
                  <c:v>72597</c:v>
                </c:pt>
                <c:pt idx="7">
                  <c:v>31197</c:v>
                </c:pt>
                <c:pt idx="8">
                  <c:v>75773</c:v>
                </c:pt>
              </c:numCache>
            </c:numRef>
          </c:val>
        </c:ser>
        <c:dLbls>
          <c:showLegendKey val="0"/>
          <c:showVal val="0"/>
          <c:showCatName val="0"/>
          <c:showSerName val="0"/>
          <c:showPercent val="0"/>
          <c:showBubbleSize val="0"/>
        </c:dLbls>
        <c:gapWidth val="150"/>
        <c:axId val="168995840"/>
        <c:axId val="168997632"/>
      </c:barChart>
      <c:catAx>
        <c:axId val="168995840"/>
        <c:scaling>
          <c:orientation val="minMax"/>
        </c:scaling>
        <c:delete val="0"/>
        <c:axPos val="b"/>
        <c:numFmt formatCode="General" sourceLinked="1"/>
        <c:majorTickMark val="out"/>
        <c:minorTickMark val="none"/>
        <c:tickLblPos val="nextTo"/>
        <c:txPr>
          <a:bodyPr/>
          <a:lstStyle/>
          <a:p>
            <a:pPr algn="ctr">
              <a:defRPr/>
            </a:pPr>
            <a:endParaRPr lang="es-ES"/>
          </a:p>
        </c:txPr>
        <c:crossAx val="168997632"/>
        <c:crosses val="autoZero"/>
        <c:auto val="1"/>
        <c:lblAlgn val="ctr"/>
        <c:lblOffset val="100"/>
        <c:noMultiLvlLbl val="0"/>
      </c:catAx>
      <c:valAx>
        <c:axId val="168997632"/>
        <c:scaling>
          <c:orientation val="minMax"/>
        </c:scaling>
        <c:delete val="0"/>
        <c:axPos val="l"/>
        <c:numFmt formatCode="_-* #,##0\ _€_-;\-* #,##0\ _€_-;_-* &quot;-&quot;??\ _€_-;_-@_-" sourceLinked="1"/>
        <c:majorTickMark val="out"/>
        <c:minorTickMark val="none"/>
        <c:tickLblPos val="nextTo"/>
        <c:crossAx val="168995840"/>
        <c:crosses val="autoZero"/>
        <c:crossBetween val="between"/>
      </c:valAx>
    </c:plotArea>
    <c:plotVisOnly val="1"/>
    <c:dispBlanksAs val="gap"/>
    <c:showDLblsOverMax val="0"/>
  </c:chart>
  <c:spPr>
    <a:ln>
      <a:solidFill>
        <a:srgbClr val="C00000"/>
      </a:solidFill>
    </a:ln>
  </c:spPr>
  <c:txPr>
    <a:bodyPr/>
    <a:lstStyle/>
    <a:p>
      <a:pPr algn="ctr">
        <a:defRPr>
          <a:latin typeface="Rotis Sans Serif Std" pitchFamily="34" charset="0"/>
        </a:defRPr>
      </a:pPr>
      <a:endParaRPr lang="es-E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s-ES"/>
              <a:t>Vagues segons motivació</a:t>
            </a:r>
          </a:p>
        </c:rich>
      </c:tx>
      <c:layout>
        <c:manualLayout>
          <c:xMode val="edge"/>
          <c:yMode val="edge"/>
          <c:x val="0.33667587462045401"/>
          <c:y val="6.0377334570461197E-2"/>
        </c:manualLayout>
      </c:layout>
      <c:overlay val="0"/>
    </c:title>
    <c:autoTitleDeleted val="0"/>
    <c:plotArea>
      <c:layout/>
      <c:barChart>
        <c:barDir val="col"/>
        <c:grouping val="clustered"/>
        <c:varyColors val="0"/>
        <c:ser>
          <c:idx val="0"/>
          <c:order val="0"/>
          <c:invertIfNegative val="0"/>
          <c:cat>
            <c:strRef>
              <c:f>'Huelgas y cierres patronales '!$B$77:$B$88</c:f>
              <c:strCache>
                <c:ptCount val="12"/>
                <c:pt idx="0">
                  <c:v>Impagament de salaris</c:v>
                </c:pt>
                <c:pt idx="1">
                  <c:v>Incompliment d'acords o normes legals </c:v>
                </c:pt>
                <c:pt idx="2">
                  <c:v>Organització/sistemes de treball</c:v>
                </c:pt>
                <c:pt idx="3">
                  <c:v>conflictes derivats del procès de negociació col·lectiva</c:v>
                </c:pt>
                <c:pt idx="4">
                  <c:v>Altres causes laborals. Tancament patronal</c:v>
                </c:pt>
                <c:pt idx="5">
                  <c:v>Acomiadaments, sancions o altres mesures disciplinàries</c:v>
                </c:pt>
                <c:pt idx="6">
                  <c:v>Accident laboral, seguretat e higiene</c:v>
                </c:pt>
                <c:pt idx="7">
                  <c:v>Regulació d'ocupació</c:v>
                </c:pt>
                <c:pt idx="8">
                  <c:v>Conflicte no derivats del procès de negociació col·lectiva </c:v>
                </c:pt>
                <c:pt idx="9">
                  <c:v>Altres mesures política económico-social</c:v>
                </c:pt>
                <c:pt idx="10">
                  <c:v>Interpretació clàusules conveni vigent </c:v>
                </c:pt>
                <c:pt idx="11">
                  <c:v>Millores independents de conveni</c:v>
                </c:pt>
              </c:strCache>
            </c:strRef>
          </c:cat>
          <c:val>
            <c:numRef>
              <c:f>'Huelgas y cierres patronales '!$C$77:$C$86</c:f>
              <c:numCache>
                <c:formatCode>General</c:formatCode>
                <c:ptCount val="10"/>
              </c:numCache>
            </c:numRef>
          </c:val>
        </c:ser>
        <c:ser>
          <c:idx val="1"/>
          <c:order val="1"/>
          <c:invertIfNegative val="0"/>
          <c:cat>
            <c:strRef>
              <c:f>'Huelgas y cierres patronales '!$B$77:$B$88</c:f>
              <c:strCache>
                <c:ptCount val="12"/>
                <c:pt idx="0">
                  <c:v>Impagament de salaris</c:v>
                </c:pt>
                <c:pt idx="1">
                  <c:v>Incompliment d'acords o normes legals </c:v>
                </c:pt>
                <c:pt idx="2">
                  <c:v>Organització/sistemes de treball</c:v>
                </c:pt>
                <c:pt idx="3">
                  <c:v>conflictes derivats del procès de negociació col·lectiva</c:v>
                </c:pt>
                <c:pt idx="4">
                  <c:v>Altres causes laborals. Tancament patronal</c:v>
                </c:pt>
                <c:pt idx="5">
                  <c:v>Acomiadaments, sancions o altres mesures disciplinàries</c:v>
                </c:pt>
                <c:pt idx="6">
                  <c:v>Accident laboral, seguretat e higiene</c:v>
                </c:pt>
                <c:pt idx="7">
                  <c:v>Regulació d'ocupació</c:v>
                </c:pt>
                <c:pt idx="8">
                  <c:v>Conflicte no derivats del procès de negociació col·lectiva </c:v>
                </c:pt>
                <c:pt idx="9">
                  <c:v>Altres mesures política económico-social</c:v>
                </c:pt>
                <c:pt idx="10">
                  <c:v>Interpretació clàusules conveni vigent </c:v>
                </c:pt>
                <c:pt idx="11">
                  <c:v>Millores independents de conveni</c:v>
                </c:pt>
              </c:strCache>
            </c:strRef>
          </c:cat>
          <c:val>
            <c:numRef>
              <c:f>'Huelgas y cierres patronales '!$D$77:$D$86</c:f>
              <c:numCache>
                <c:formatCode>General</c:formatCode>
                <c:ptCount val="10"/>
              </c:numCache>
            </c:numRef>
          </c:val>
        </c:ser>
        <c:ser>
          <c:idx val="2"/>
          <c:order val="2"/>
          <c:spPr>
            <a:solidFill>
              <a:schemeClr val="accent1">
                <a:alpha val="98000"/>
              </a:schemeClr>
            </a:solidFill>
          </c:spPr>
          <c:invertIfNegative val="0"/>
          <c:dLbls>
            <c:showLegendKey val="0"/>
            <c:showVal val="1"/>
            <c:showCatName val="0"/>
            <c:showSerName val="0"/>
            <c:showPercent val="0"/>
            <c:showBubbleSize val="0"/>
            <c:showLeaderLines val="0"/>
          </c:dLbls>
          <c:cat>
            <c:strRef>
              <c:f>'Huelgas y cierres patronales '!$B$77:$B$88</c:f>
              <c:strCache>
                <c:ptCount val="12"/>
                <c:pt idx="0">
                  <c:v>Impagament de salaris</c:v>
                </c:pt>
                <c:pt idx="1">
                  <c:v>Incompliment d'acords o normes legals </c:v>
                </c:pt>
                <c:pt idx="2">
                  <c:v>Organització/sistemes de treball</c:v>
                </c:pt>
                <c:pt idx="3">
                  <c:v>conflictes derivats del procès de negociació col·lectiva</c:v>
                </c:pt>
                <c:pt idx="4">
                  <c:v>Altres causes laborals. Tancament patronal</c:v>
                </c:pt>
                <c:pt idx="5">
                  <c:v>Acomiadaments, sancions o altres mesures disciplinàries</c:v>
                </c:pt>
                <c:pt idx="6">
                  <c:v>Accident laboral, seguretat e higiene</c:v>
                </c:pt>
                <c:pt idx="7">
                  <c:v>Regulació d'ocupació</c:v>
                </c:pt>
                <c:pt idx="8">
                  <c:v>Conflicte no derivats del procès de negociació col·lectiva </c:v>
                </c:pt>
                <c:pt idx="9">
                  <c:v>Altres mesures política económico-social</c:v>
                </c:pt>
                <c:pt idx="10">
                  <c:v>Interpretació clàusules conveni vigent </c:v>
                </c:pt>
                <c:pt idx="11">
                  <c:v>Millores independents de conveni</c:v>
                </c:pt>
              </c:strCache>
            </c:strRef>
          </c:cat>
          <c:val>
            <c:numRef>
              <c:f>'Huelgas y cierres patronales '!$E$77:$E$88</c:f>
              <c:numCache>
                <c:formatCode>General</c:formatCode>
                <c:ptCount val="12"/>
                <c:pt idx="0">
                  <c:v>4</c:v>
                </c:pt>
                <c:pt idx="1">
                  <c:v>4</c:v>
                </c:pt>
                <c:pt idx="2">
                  <c:v>14</c:v>
                </c:pt>
                <c:pt idx="3">
                  <c:v>4</c:v>
                </c:pt>
                <c:pt idx="4">
                  <c:v>6</c:v>
                </c:pt>
                <c:pt idx="5">
                  <c:v>4</c:v>
                </c:pt>
                <c:pt idx="6">
                  <c:v>10</c:v>
                </c:pt>
                <c:pt idx="7">
                  <c:v>9</c:v>
                </c:pt>
                <c:pt idx="8">
                  <c:v>1</c:v>
                </c:pt>
                <c:pt idx="9">
                  <c:v>0</c:v>
                </c:pt>
                <c:pt idx="10">
                  <c:v>1</c:v>
                </c:pt>
                <c:pt idx="11">
                  <c:v>1</c:v>
                </c:pt>
              </c:numCache>
            </c:numRef>
          </c:val>
        </c:ser>
        <c:dLbls>
          <c:showLegendKey val="0"/>
          <c:showVal val="0"/>
          <c:showCatName val="0"/>
          <c:showSerName val="0"/>
          <c:showPercent val="0"/>
          <c:showBubbleSize val="0"/>
        </c:dLbls>
        <c:gapWidth val="95"/>
        <c:overlap val="87"/>
        <c:axId val="169490688"/>
        <c:axId val="169504768"/>
      </c:barChart>
      <c:catAx>
        <c:axId val="169490688"/>
        <c:scaling>
          <c:orientation val="minMax"/>
        </c:scaling>
        <c:delete val="0"/>
        <c:axPos val="b"/>
        <c:majorTickMark val="none"/>
        <c:minorTickMark val="none"/>
        <c:tickLblPos val="nextTo"/>
        <c:txPr>
          <a:bodyPr rot="-5400000" vert="horz"/>
          <a:lstStyle/>
          <a:p>
            <a:pPr>
              <a:defRPr sz="900"/>
            </a:pPr>
            <a:endParaRPr lang="es-ES"/>
          </a:p>
        </c:txPr>
        <c:crossAx val="169504768"/>
        <c:crosses val="autoZero"/>
        <c:auto val="1"/>
        <c:lblAlgn val="ctr"/>
        <c:lblOffset val="100"/>
        <c:noMultiLvlLbl val="0"/>
      </c:catAx>
      <c:valAx>
        <c:axId val="169504768"/>
        <c:scaling>
          <c:orientation val="minMax"/>
        </c:scaling>
        <c:delete val="0"/>
        <c:axPos val="l"/>
        <c:numFmt formatCode="General" sourceLinked="1"/>
        <c:majorTickMark val="none"/>
        <c:minorTickMark val="none"/>
        <c:tickLblPos val="nextTo"/>
        <c:crossAx val="169490688"/>
        <c:crosses val="autoZero"/>
        <c:crossBetween val="between"/>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dLbls>
            <c:dLbl>
              <c:idx val="26"/>
              <c:spPr/>
              <c:txPr>
                <a:bodyPr/>
                <a:lstStyle/>
                <a:p>
                  <a:pPr>
                    <a:defRPr sz="900" b="1">
                      <a:latin typeface="Rotis Sans Serif Std" pitchFamily="34" charset="0"/>
                    </a:defRPr>
                  </a:pPr>
                  <a:endParaRPr lang="es-ES"/>
                </a:p>
              </c:txPr>
              <c:showLegendKey val="0"/>
              <c:showVal val="1"/>
              <c:showCatName val="0"/>
              <c:showSerName val="0"/>
              <c:showPercent val="0"/>
              <c:showBubbleSize val="0"/>
            </c:dLbl>
            <c:txPr>
              <a:bodyPr/>
              <a:lstStyle/>
              <a:p>
                <a:pPr>
                  <a:defRPr sz="900">
                    <a:latin typeface="Rotis Sans Serif Std" pitchFamily="34" charset="0"/>
                  </a:defRPr>
                </a:pPr>
                <a:endParaRPr lang="es-ES"/>
              </a:p>
            </c:txPr>
            <c:showLegendKey val="0"/>
            <c:showVal val="1"/>
            <c:showCatName val="0"/>
            <c:showSerName val="0"/>
            <c:showPercent val="0"/>
            <c:showBubbleSize val="0"/>
            <c:showLeaderLines val="0"/>
          </c:dLbls>
          <c:cat>
            <c:strRef>
              <c:f>Hoja1!$G$4:$G$30</c:f>
              <c:strCache>
                <c:ptCount val="2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Fins setembre 2018 </c:v>
                </c:pt>
              </c:strCache>
            </c:strRef>
          </c:cat>
          <c:val>
            <c:numRef>
              <c:f>Hoja1!$H$4:$H$30</c:f>
              <c:numCache>
                <c:formatCode>General</c:formatCode>
                <c:ptCount val="27"/>
                <c:pt idx="0">
                  <c:v>11</c:v>
                </c:pt>
                <c:pt idx="1">
                  <c:v>185</c:v>
                </c:pt>
                <c:pt idx="2">
                  <c:v>245</c:v>
                </c:pt>
                <c:pt idx="3">
                  <c:v>308</c:v>
                </c:pt>
                <c:pt idx="4">
                  <c:v>348</c:v>
                </c:pt>
                <c:pt idx="5">
                  <c:v>361</c:v>
                </c:pt>
                <c:pt idx="6">
                  <c:v>364</c:v>
                </c:pt>
                <c:pt idx="7">
                  <c:v>488</c:v>
                </c:pt>
                <c:pt idx="8">
                  <c:v>483</c:v>
                </c:pt>
                <c:pt idx="9">
                  <c:v>579</c:v>
                </c:pt>
                <c:pt idx="10">
                  <c:v>570</c:v>
                </c:pt>
                <c:pt idx="11">
                  <c:v>738</c:v>
                </c:pt>
                <c:pt idx="12">
                  <c:v>716</c:v>
                </c:pt>
                <c:pt idx="13">
                  <c:v>786</c:v>
                </c:pt>
                <c:pt idx="14">
                  <c:v>869</c:v>
                </c:pt>
                <c:pt idx="15">
                  <c:v>807</c:v>
                </c:pt>
                <c:pt idx="16">
                  <c:v>925</c:v>
                </c:pt>
                <c:pt idx="17">
                  <c:v>997</c:v>
                </c:pt>
                <c:pt idx="18">
                  <c:v>1157</c:v>
                </c:pt>
                <c:pt idx="19">
                  <c:v>1015</c:v>
                </c:pt>
                <c:pt idx="20">
                  <c:v>1021</c:v>
                </c:pt>
                <c:pt idx="21">
                  <c:v>1298</c:v>
                </c:pt>
                <c:pt idx="22">
                  <c:v>962</c:v>
                </c:pt>
                <c:pt idx="23">
                  <c:v>853</c:v>
                </c:pt>
                <c:pt idx="24">
                  <c:v>966</c:v>
                </c:pt>
                <c:pt idx="25">
                  <c:v>1027</c:v>
                </c:pt>
                <c:pt idx="26">
                  <c:v>675</c:v>
                </c:pt>
              </c:numCache>
            </c:numRef>
          </c:val>
        </c:ser>
        <c:dLbls>
          <c:showLegendKey val="0"/>
          <c:showVal val="0"/>
          <c:showCatName val="0"/>
          <c:showSerName val="0"/>
          <c:showPercent val="0"/>
          <c:showBubbleSize val="0"/>
        </c:dLbls>
        <c:gapWidth val="48"/>
        <c:overlap val="17"/>
        <c:axId val="169534208"/>
        <c:axId val="169535744"/>
      </c:barChart>
      <c:catAx>
        <c:axId val="169534208"/>
        <c:scaling>
          <c:orientation val="minMax"/>
        </c:scaling>
        <c:delete val="0"/>
        <c:axPos val="b"/>
        <c:numFmt formatCode="General" sourceLinked="1"/>
        <c:majorTickMark val="out"/>
        <c:minorTickMark val="none"/>
        <c:tickLblPos val="nextTo"/>
        <c:txPr>
          <a:bodyPr/>
          <a:lstStyle/>
          <a:p>
            <a:pPr>
              <a:defRPr>
                <a:latin typeface="Rotis Sans Serif Std" pitchFamily="34" charset="0"/>
              </a:defRPr>
            </a:pPr>
            <a:endParaRPr lang="es-ES"/>
          </a:p>
        </c:txPr>
        <c:crossAx val="169535744"/>
        <c:crosses val="autoZero"/>
        <c:auto val="1"/>
        <c:lblAlgn val="ctr"/>
        <c:lblOffset val="100"/>
        <c:noMultiLvlLbl val="0"/>
      </c:catAx>
      <c:valAx>
        <c:axId val="169535744"/>
        <c:scaling>
          <c:orientation val="minMax"/>
        </c:scaling>
        <c:delete val="0"/>
        <c:axPos val="l"/>
        <c:numFmt formatCode="General" sourceLinked="1"/>
        <c:majorTickMark val="out"/>
        <c:minorTickMark val="none"/>
        <c:tickLblPos val="nextTo"/>
        <c:txPr>
          <a:bodyPr/>
          <a:lstStyle/>
          <a:p>
            <a:pPr>
              <a:defRPr>
                <a:latin typeface="Rotis Sans Serif Std" pitchFamily="34" charset="0"/>
              </a:defRPr>
            </a:pPr>
            <a:endParaRPr lang="es-ES"/>
          </a:p>
        </c:txPr>
        <c:crossAx val="169534208"/>
        <c:crosses val="autoZero"/>
        <c:crossBetween val="between"/>
        <c:majorUnit val="100"/>
        <c:minorUnit val="50"/>
      </c:valAx>
    </c:plotArea>
    <c:plotVisOnly val="1"/>
    <c:dispBlanksAs val="gap"/>
    <c:showDLblsOverMax val="0"/>
  </c:chart>
  <c:spPr>
    <a:ln>
      <a:solidFill>
        <a:srgbClr val="C00000"/>
      </a:solid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latin typeface="Rotis Sans Serif Std" pitchFamily="34" charset="0"/>
              </a:defRPr>
            </a:pPr>
            <a:r>
              <a:rPr lang="en-US">
                <a:latin typeface="Rotis Sans Serif Std" pitchFamily="34" charset="0"/>
              </a:rPr>
              <a:t>Procediments per tamany d'empresa. Gener-setembre 2018</a:t>
            </a:r>
          </a:p>
        </c:rich>
      </c:tx>
      <c:overlay val="0"/>
    </c:title>
    <c:autoTitleDeleted val="0"/>
    <c:plotArea>
      <c:layout>
        <c:manualLayout>
          <c:layoutTarget val="inner"/>
          <c:xMode val="edge"/>
          <c:yMode val="edge"/>
          <c:x val="0.15251574803149606"/>
          <c:y val="0.26453958880139983"/>
          <c:w val="0.40463582677165355"/>
          <c:h val="0.67439304461942262"/>
        </c:manualLayout>
      </c:layout>
      <c:pieChart>
        <c:varyColors val="1"/>
        <c:ser>
          <c:idx val="0"/>
          <c:order val="0"/>
          <c:dLbls>
            <c:txPr>
              <a:bodyPr/>
              <a:lstStyle/>
              <a:p>
                <a:pPr>
                  <a:defRPr>
                    <a:latin typeface="Rotis Sans Serif Std" pitchFamily="34" charset="0"/>
                  </a:defRPr>
                </a:pPr>
                <a:endParaRPr lang="es-ES"/>
              </a:p>
            </c:txPr>
            <c:showLegendKey val="0"/>
            <c:showVal val="0"/>
            <c:showCatName val="0"/>
            <c:showSerName val="0"/>
            <c:showPercent val="1"/>
            <c:showBubbleSize val="0"/>
            <c:showLeaderLines val="1"/>
          </c:dLbls>
          <c:cat>
            <c:strRef>
              <c:f>Hoja1!$I$69:$I$73</c:f>
              <c:strCache>
                <c:ptCount val="5"/>
                <c:pt idx="0">
                  <c:v>Menys de 50 treballadors</c:v>
                </c:pt>
                <c:pt idx="1">
                  <c:v>De 50 a 100 treballadors</c:v>
                </c:pt>
                <c:pt idx="2">
                  <c:v>De 101 a 250 treballadors</c:v>
                </c:pt>
                <c:pt idx="3">
                  <c:v>De 251 a 500 treballadors</c:v>
                </c:pt>
                <c:pt idx="4">
                  <c:v>Més de 500 treballadors</c:v>
                </c:pt>
              </c:strCache>
            </c:strRef>
          </c:cat>
          <c:val>
            <c:numRef>
              <c:f>Hoja1!$J$69:$J$73</c:f>
              <c:numCache>
                <c:formatCode>0.00</c:formatCode>
                <c:ptCount val="5"/>
                <c:pt idx="0">
                  <c:v>23</c:v>
                </c:pt>
                <c:pt idx="1">
                  <c:v>20</c:v>
                </c:pt>
                <c:pt idx="2">
                  <c:v>27</c:v>
                </c:pt>
                <c:pt idx="3">
                  <c:v>14</c:v>
                </c:pt>
                <c:pt idx="4">
                  <c:v>16</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a:latin typeface="Rotis Sans Serif Std" pitchFamily="34" charset="0"/>
            </a:defRPr>
          </a:pPr>
          <a:endParaRPr lang="es-ES"/>
        </a:p>
      </c:txPr>
    </c:legend>
    <c:plotVisOnly val="1"/>
    <c:dispBlanksAs val="gap"/>
    <c:showDLblsOverMax val="0"/>
  </c:chart>
  <c:spPr>
    <a:ln>
      <a:solidFill>
        <a:srgbClr val="C00000"/>
      </a:solidFill>
    </a:ln>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a:pPr>
            <a:r>
              <a:rPr lang="es-ES" sz="1600"/>
              <a:t>Conciliacions individuals per motiu</a:t>
            </a:r>
          </a:p>
        </c:rich>
      </c:tx>
      <c:layout>
        <c:manualLayout>
          <c:xMode val="edge"/>
          <c:yMode val="edge"/>
          <c:x val="0.20379482366028701"/>
          <c:y val="3.8507223068697298E-2"/>
        </c:manualLayout>
      </c:layout>
      <c:overlay val="0"/>
    </c:title>
    <c:autoTitleDeleted val="0"/>
    <c:plotArea>
      <c:layout>
        <c:manualLayout>
          <c:layoutTarget val="inner"/>
          <c:xMode val="edge"/>
          <c:yMode val="edge"/>
          <c:x val="0.123724569990629"/>
          <c:y val="0.21030286202576101"/>
          <c:w val="0.58648357433272502"/>
          <c:h val="0.54862326236530901"/>
        </c:manualLayout>
      </c:layout>
      <c:barChart>
        <c:barDir val="col"/>
        <c:grouping val="stacked"/>
        <c:varyColors val="0"/>
        <c:ser>
          <c:idx val="0"/>
          <c:order val="0"/>
          <c:tx>
            <c:strRef>
              <c:f>'Conciliaciones  SMAC'!$B$37</c:f>
              <c:strCache>
                <c:ptCount val="1"/>
                <c:pt idx="0">
                  <c:v>Acomiadaments</c:v>
                </c:pt>
              </c:strCache>
            </c:strRef>
          </c:tx>
          <c:invertIfNegative val="0"/>
          <c:dLbls>
            <c:dLbl>
              <c:idx val="0"/>
              <c:layout>
                <c:manualLayout>
                  <c:x val="3.8742098916156099E-3"/>
                  <c:y val="-0.44581922933252699"/>
                </c:manualLayout>
              </c:layout>
              <c:tx>
                <c:rich>
                  <a:bodyPr/>
                  <a:lstStyle/>
                  <a:p>
                    <a:r>
                      <a:rPr lang="en-US" sz="800" b="1" cap="none" spc="0">
                        <a:ln w="6350">
                          <a:solidFill>
                            <a:sysClr val="windowText" lastClr="000000"/>
                          </a:solidFill>
                          <a:prstDash val="solid"/>
                        </a:ln>
                        <a:solidFill>
                          <a:schemeClr val="bg2">
                            <a:tint val="85000"/>
                            <a:satMod val="155000"/>
                          </a:schemeClr>
                        </a:solidFill>
                        <a:effectLst/>
                      </a:rPr>
                      <a:t> Total</a:t>
                    </a:r>
                  </a:p>
                  <a:p>
                    <a:r>
                      <a:rPr lang="en-US" sz="800" b="1" cap="none" spc="0">
                        <a:ln w="6350">
                          <a:solidFill>
                            <a:sysClr val="windowText" lastClr="000000"/>
                          </a:solidFill>
                          <a:prstDash val="solid"/>
                        </a:ln>
                        <a:solidFill>
                          <a:schemeClr val="bg2">
                            <a:tint val="85000"/>
                            <a:satMod val="155000"/>
                          </a:schemeClr>
                        </a:solidFill>
                        <a:effectLst/>
                      </a:rPr>
                      <a:t>88.941   </a:t>
                    </a:r>
                    <a:endParaRPr lang="en-US"/>
                  </a:p>
                </c:rich>
              </c:tx>
              <c:showLegendKey val="0"/>
              <c:showVal val="1"/>
              <c:showCatName val="0"/>
              <c:showSerName val="0"/>
              <c:showPercent val="0"/>
              <c:showBubbleSize val="0"/>
            </c:dLbl>
            <c:dLbl>
              <c:idx val="1"/>
              <c:layout>
                <c:manualLayout>
                  <c:x val="2.29969562329743E-4"/>
                  <c:y val="-0.42697576109437901"/>
                </c:manualLayout>
              </c:layout>
              <c:tx>
                <c:rich>
                  <a:bodyPr/>
                  <a:lstStyle/>
                  <a:p>
                    <a:r>
                      <a:rPr lang="en-US" sz="800" b="1" cap="none" spc="0">
                        <a:ln w="6350">
                          <a:solidFill>
                            <a:sysClr val="windowText" lastClr="000000"/>
                          </a:solidFill>
                          <a:prstDash val="solid"/>
                        </a:ln>
                        <a:solidFill>
                          <a:schemeClr val="bg2">
                            <a:tint val="85000"/>
                            <a:satMod val="155000"/>
                          </a:schemeClr>
                        </a:solidFill>
                        <a:effectLst/>
                      </a:rPr>
                      <a:t> Total</a:t>
                    </a:r>
                  </a:p>
                  <a:p>
                    <a:r>
                      <a:rPr lang="en-US" sz="800" b="1" cap="none" spc="0">
                        <a:ln w="6350">
                          <a:solidFill>
                            <a:sysClr val="windowText" lastClr="000000"/>
                          </a:solidFill>
                          <a:prstDash val="solid"/>
                        </a:ln>
                        <a:solidFill>
                          <a:schemeClr val="bg2">
                            <a:tint val="85000"/>
                            <a:satMod val="155000"/>
                          </a:schemeClr>
                        </a:solidFill>
                        <a:effectLst/>
                      </a:rPr>
                      <a:t>85.673</a:t>
                    </a:r>
                    <a:endParaRPr lang="en-US"/>
                  </a:p>
                </c:rich>
              </c:tx>
              <c:showLegendKey val="0"/>
              <c:showVal val="1"/>
              <c:showCatName val="0"/>
              <c:showSerName val="0"/>
              <c:showPercent val="0"/>
              <c:showBubbleSize val="0"/>
            </c:dLbl>
            <c:dLbl>
              <c:idx val="2"/>
              <c:layout>
                <c:manualLayout>
                  <c:x val="1.6372277789601E-3"/>
                  <c:y val="-0.41703335145926601"/>
                </c:manualLayout>
              </c:layout>
              <c:tx>
                <c:rich>
                  <a:bodyPr/>
                  <a:lstStyle/>
                  <a:p>
                    <a:r>
                      <a:rPr lang="en-US" sz="800" b="1" cap="none" spc="0">
                        <a:ln w="6350">
                          <a:solidFill>
                            <a:sysClr val="windowText" lastClr="000000"/>
                          </a:solidFill>
                          <a:prstDash val="solid"/>
                        </a:ln>
                        <a:solidFill>
                          <a:schemeClr val="bg2">
                            <a:tint val="85000"/>
                            <a:satMod val="155000"/>
                          </a:schemeClr>
                        </a:solidFill>
                        <a:effectLst/>
                      </a:rPr>
                      <a:t> Total</a:t>
                    </a:r>
                  </a:p>
                  <a:p>
                    <a:r>
                      <a:rPr lang="en-US" sz="800" b="1" cap="none" spc="0">
                        <a:ln w="6350">
                          <a:solidFill>
                            <a:sysClr val="windowText" lastClr="000000"/>
                          </a:solidFill>
                          <a:prstDash val="solid"/>
                        </a:ln>
                        <a:solidFill>
                          <a:schemeClr val="bg2">
                            <a:tint val="85000"/>
                            <a:satMod val="155000"/>
                          </a:schemeClr>
                        </a:solidFill>
                        <a:effectLst/>
                      </a:rPr>
                      <a:t>93.254   </a:t>
                    </a:r>
                    <a:endParaRPr lang="en-US"/>
                  </a:p>
                </c:rich>
              </c:tx>
              <c:showLegendKey val="0"/>
              <c:showVal val="1"/>
              <c:showCatName val="0"/>
              <c:showSerName val="0"/>
              <c:showPercent val="0"/>
              <c:showBubbleSize val="0"/>
            </c:dLbl>
            <c:dLbl>
              <c:idx val="3"/>
              <c:layout>
                <c:manualLayout>
                  <c:x val="4.4149744439839801E-3"/>
                  <c:y val="-0.44331133865522998"/>
                </c:manualLayout>
              </c:layout>
              <c:tx>
                <c:rich>
                  <a:bodyPr/>
                  <a:lstStyle/>
                  <a:p>
                    <a:pPr algn="ctr" rtl="0">
                      <a:defRPr sz="900" b="1" cap="none" spc="0">
                        <a:ln w="6350">
                          <a:solidFill>
                            <a:sysClr val="windowText" lastClr="000000"/>
                          </a:solidFill>
                          <a:prstDash val="solid"/>
                        </a:ln>
                        <a:solidFill>
                          <a:schemeClr val="bg2">
                            <a:tint val="85000"/>
                            <a:satMod val="155000"/>
                          </a:schemeClr>
                        </a:solidFill>
                        <a:effectLst/>
                      </a:defRPr>
                    </a:pPr>
                    <a:r>
                      <a:rPr lang="en-US" sz="900" b="1" cap="none" spc="0">
                        <a:ln w="6350">
                          <a:solidFill>
                            <a:sysClr val="windowText" lastClr="000000"/>
                          </a:solidFill>
                          <a:prstDash val="solid"/>
                        </a:ln>
                        <a:solidFill>
                          <a:schemeClr val="bg2">
                            <a:tint val="85000"/>
                            <a:satMod val="155000"/>
                          </a:schemeClr>
                        </a:solidFill>
                        <a:effectLst/>
                      </a:rPr>
                      <a:t> Total</a:t>
                    </a:r>
                  </a:p>
                  <a:p>
                    <a:pPr algn="ctr" rtl="0">
                      <a:defRPr sz="900" b="1" cap="none" spc="0">
                        <a:ln w="6350">
                          <a:solidFill>
                            <a:sysClr val="windowText" lastClr="000000"/>
                          </a:solidFill>
                          <a:prstDash val="solid"/>
                        </a:ln>
                        <a:solidFill>
                          <a:schemeClr val="bg2">
                            <a:tint val="85000"/>
                            <a:satMod val="155000"/>
                          </a:schemeClr>
                        </a:solidFill>
                        <a:effectLst/>
                      </a:defRPr>
                    </a:pPr>
                    <a:r>
                      <a:rPr lang="en-US" sz="900" b="1" cap="none" spc="0">
                        <a:ln w="6350">
                          <a:solidFill>
                            <a:sysClr val="windowText" lastClr="000000"/>
                          </a:solidFill>
                          <a:prstDash val="solid"/>
                        </a:ln>
                        <a:solidFill>
                          <a:schemeClr val="bg2">
                            <a:tint val="85000"/>
                            <a:satMod val="155000"/>
                          </a:schemeClr>
                        </a:solidFill>
                        <a:effectLst/>
                      </a:rPr>
                      <a:t>92.658   </a:t>
                    </a:r>
                    <a:endParaRPr lang="en-US" sz="900" b="1"/>
                  </a:p>
                </c:rich>
              </c:tx>
              <c:spPr/>
              <c:showLegendKey val="0"/>
              <c:showVal val="1"/>
              <c:showCatName val="0"/>
              <c:showSerName val="0"/>
              <c:showPercent val="0"/>
              <c:showBubbleSize val="0"/>
            </c:dLbl>
            <c:dLbl>
              <c:idx val="4"/>
              <c:layout>
                <c:manualLayout>
                  <c:x val="1.8966334755808399E-3"/>
                  <c:y val="-0.34952771306366998"/>
                </c:manualLayout>
              </c:layout>
              <c:tx>
                <c:rich>
                  <a:bodyPr/>
                  <a:lstStyle/>
                  <a:p>
                    <a:pPr algn="ctr" rtl="0">
                      <a:defRPr sz="900" b="1" cap="none" spc="0">
                        <a:ln w="6350">
                          <a:solidFill>
                            <a:sysClr val="windowText" lastClr="000000"/>
                          </a:solidFill>
                          <a:prstDash val="solid"/>
                        </a:ln>
                        <a:solidFill>
                          <a:schemeClr val="bg2">
                            <a:tint val="85000"/>
                            <a:satMod val="155000"/>
                          </a:schemeClr>
                        </a:solidFill>
                        <a:effectLst/>
                      </a:defRPr>
                    </a:pPr>
                    <a:r>
                      <a:rPr lang="en-US" sz="900" b="1" cap="none" spc="0">
                        <a:ln w="6350">
                          <a:solidFill>
                            <a:sysClr val="windowText" lastClr="000000"/>
                          </a:solidFill>
                          <a:prstDash val="solid"/>
                        </a:ln>
                        <a:solidFill>
                          <a:schemeClr val="bg2">
                            <a:tint val="85000"/>
                            <a:satMod val="155000"/>
                          </a:schemeClr>
                        </a:solidFill>
                        <a:effectLst/>
                      </a:rPr>
                      <a:t> Total</a:t>
                    </a:r>
                  </a:p>
                  <a:p>
                    <a:pPr algn="ctr" rtl="0">
                      <a:defRPr sz="900" b="1" cap="none" spc="0">
                        <a:ln w="6350">
                          <a:solidFill>
                            <a:sysClr val="windowText" lastClr="000000"/>
                          </a:solidFill>
                          <a:prstDash val="solid"/>
                        </a:ln>
                        <a:solidFill>
                          <a:schemeClr val="bg2">
                            <a:tint val="85000"/>
                            <a:satMod val="155000"/>
                          </a:schemeClr>
                        </a:solidFill>
                        <a:effectLst/>
                      </a:defRPr>
                    </a:pPr>
                    <a:r>
                      <a:rPr lang="en-US" sz="900" b="1" cap="none" spc="0">
                        <a:ln w="6350">
                          <a:solidFill>
                            <a:sysClr val="windowText" lastClr="000000"/>
                          </a:solidFill>
                          <a:prstDash val="solid"/>
                        </a:ln>
                        <a:solidFill>
                          <a:schemeClr val="bg2">
                            <a:tint val="85000"/>
                            <a:satMod val="155000"/>
                          </a:schemeClr>
                        </a:solidFill>
                        <a:effectLst/>
                      </a:rPr>
                      <a:t>74.889</a:t>
                    </a:r>
                    <a:endParaRPr lang="en-US" sz="900"/>
                  </a:p>
                </c:rich>
              </c:tx>
              <c:spPr/>
              <c:showLegendKey val="0"/>
              <c:showVal val="1"/>
              <c:showCatName val="0"/>
              <c:showSerName val="0"/>
              <c:showPercent val="0"/>
              <c:showBubbleSize val="0"/>
            </c:dLbl>
            <c:dLbl>
              <c:idx val="5"/>
              <c:layout>
                <c:manualLayout>
                  <c:x val="0"/>
                  <c:y val="-0.30932019036587499"/>
                </c:manualLayout>
              </c:layout>
              <c:tx>
                <c:rich>
                  <a:bodyPr/>
                  <a:lstStyle/>
                  <a:p>
                    <a:pPr algn="ctr" rtl="0">
                      <a:defRPr sz="900" b="1" cap="none" spc="0">
                        <a:ln w="6350">
                          <a:solidFill>
                            <a:sysClr val="windowText" lastClr="000000"/>
                          </a:solidFill>
                          <a:prstDash val="solid"/>
                        </a:ln>
                        <a:solidFill>
                          <a:schemeClr val="bg2">
                            <a:tint val="85000"/>
                            <a:satMod val="155000"/>
                          </a:schemeClr>
                        </a:solidFill>
                        <a:effectLst/>
                      </a:defRPr>
                    </a:pPr>
                    <a:r>
                      <a:rPr lang="en-US" sz="900" b="1" cap="none" spc="0">
                        <a:ln w="6350">
                          <a:solidFill>
                            <a:sysClr val="windowText" lastClr="000000"/>
                          </a:solidFill>
                          <a:prstDash val="solid"/>
                        </a:ln>
                        <a:solidFill>
                          <a:schemeClr val="bg2">
                            <a:tint val="85000"/>
                            <a:satMod val="155000"/>
                          </a:schemeClr>
                        </a:solidFill>
                        <a:effectLst/>
                      </a:rPr>
                      <a:t> Total</a:t>
                    </a:r>
                  </a:p>
                  <a:p>
                    <a:pPr algn="ctr" rtl="0">
                      <a:defRPr sz="900" b="1" cap="none" spc="0">
                        <a:ln w="6350">
                          <a:solidFill>
                            <a:sysClr val="windowText" lastClr="000000"/>
                          </a:solidFill>
                          <a:prstDash val="solid"/>
                        </a:ln>
                        <a:solidFill>
                          <a:schemeClr val="bg2">
                            <a:tint val="85000"/>
                            <a:satMod val="155000"/>
                          </a:schemeClr>
                        </a:solidFill>
                        <a:effectLst/>
                      </a:defRPr>
                    </a:pPr>
                    <a:r>
                      <a:rPr lang="en-US" sz="900" b="1" cap="none" spc="0">
                        <a:ln w="6350">
                          <a:solidFill>
                            <a:sysClr val="windowText" lastClr="000000"/>
                          </a:solidFill>
                          <a:prstDash val="solid"/>
                        </a:ln>
                        <a:solidFill>
                          <a:schemeClr val="bg2">
                            <a:tint val="85000"/>
                            <a:satMod val="155000"/>
                          </a:schemeClr>
                        </a:solidFill>
                        <a:effectLst/>
                      </a:rPr>
                      <a:t>70.288</a:t>
                    </a:r>
                    <a:endParaRPr lang="en-US" sz="900"/>
                  </a:p>
                </c:rich>
              </c:tx>
              <c:spPr/>
              <c:showLegendKey val="0"/>
              <c:showVal val="1"/>
              <c:showCatName val="0"/>
              <c:showSerName val="0"/>
              <c:showPercent val="0"/>
              <c:showBubbleSize val="0"/>
            </c:dLbl>
            <c:dLbl>
              <c:idx val="6"/>
              <c:layout>
                <c:manualLayout>
                  <c:x val="-1.8966334755808399E-3"/>
                  <c:y val="-0.31583219437357701"/>
                </c:manualLayout>
              </c:layout>
              <c:tx>
                <c:rich>
                  <a:bodyPr/>
                  <a:lstStyle/>
                  <a:p>
                    <a:pPr algn="ctr" rtl="0">
                      <a:defRPr sz="900" b="1" cap="none" spc="0">
                        <a:ln w="6350">
                          <a:solidFill>
                            <a:sysClr val="windowText" lastClr="000000"/>
                          </a:solidFill>
                          <a:prstDash val="solid"/>
                        </a:ln>
                        <a:solidFill>
                          <a:schemeClr val="bg2">
                            <a:tint val="85000"/>
                            <a:satMod val="155000"/>
                          </a:schemeClr>
                        </a:solidFill>
                        <a:effectLst/>
                      </a:defRPr>
                    </a:pPr>
                    <a:r>
                      <a:rPr lang="en-US" sz="900" b="1" cap="none" spc="0">
                        <a:ln w="6350">
                          <a:solidFill>
                            <a:sysClr val="windowText" lastClr="000000"/>
                          </a:solidFill>
                          <a:prstDash val="solid"/>
                        </a:ln>
                        <a:solidFill>
                          <a:schemeClr val="bg2">
                            <a:tint val="85000"/>
                            <a:satMod val="155000"/>
                          </a:schemeClr>
                        </a:solidFill>
                        <a:effectLst/>
                      </a:rPr>
                      <a:t> Total</a:t>
                    </a:r>
                  </a:p>
                  <a:p>
                    <a:pPr algn="ctr" rtl="0">
                      <a:defRPr sz="900" b="1" cap="none" spc="0">
                        <a:ln w="6350">
                          <a:solidFill>
                            <a:sysClr val="windowText" lastClr="000000"/>
                          </a:solidFill>
                          <a:prstDash val="solid"/>
                        </a:ln>
                        <a:solidFill>
                          <a:schemeClr val="bg2">
                            <a:tint val="85000"/>
                            <a:satMod val="155000"/>
                          </a:schemeClr>
                        </a:solidFill>
                        <a:effectLst/>
                      </a:defRPr>
                    </a:pPr>
                    <a:r>
                      <a:rPr lang="en-US" sz="900" b="1" cap="none" spc="0">
                        <a:ln w="6350">
                          <a:solidFill>
                            <a:sysClr val="windowText" lastClr="000000"/>
                          </a:solidFill>
                          <a:prstDash val="solid"/>
                        </a:ln>
                        <a:solidFill>
                          <a:schemeClr val="bg2">
                            <a:tint val="85000"/>
                            <a:satMod val="155000"/>
                          </a:schemeClr>
                        </a:solidFill>
                        <a:effectLst/>
                      </a:rPr>
                      <a:t>71.612</a:t>
                    </a:r>
                    <a:endParaRPr lang="en-US" sz="900"/>
                  </a:p>
                </c:rich>
              </c:tx>
              <c:spPr/>
              <c:showLegendKey val="0"/>
              <c:showVal val="1"/>
              <c:showCatName val="0"/>
              <c:showSerName val="0"/>
              <c:showPercent val="0"/>
              <c:showBubbleSize val="0"/>
            </c:dLbl>
            <c:dLbl>
              <c:idx val="7"/>
              <c:layout>
                <c:manualLayout>
                  <c:x val="2.210170726368615E-3"/>
                  <c:y val="-0.15820887752325496"/>
                </c:manualLayout>
              </c:layout>
              <c:tx>
                <c:rich>
                  <a:bodyPr/>
                  <a:lstStyle/>
                  <a:p>
                    <a:pPr algn="ctr" rtl="0">
                      <a:defRPr sz="900" b="1" cap="none" spc="0">
                        <a:ln w="6350">
                          <a:solidFill>
                            <a:sysClr val="windowText" lastClr="000000"/>
                          </a:solidFill>
                          <a:prstDash val="solid"/>
                        </a:ln>
                        <a:solidFill>
                          <a:schemeClr val="bg2">
                            <a:tint val="85000"/>
                            <a:satMod val="155000"/>
                          </a:schemeClr>
                        </a:solidFill>
                        <a:effectLst/>
                      </a:defRPr>
                    </a:pPr>
                    <a:r>
                      <a:rPr lang="en-US" sz="900" b="1" cap="none" spc="0">
                        <a:ln w="6350">
                          <a:solidFill>
                            <a:sysClr val="windowText" lastClr="000000"/>
                          </a:solidFill>
                          <a:prstDash val="solid"/>
                        </a:ln>
                        <a:solidFill>
                          <a:schemeClr val="bg2">
                            <a:tint val="85000"/>
                            <a:satMod val="155000"/>
                          </a:schemeClr>
                        </a:solidFill>
                        <a:effectLst/>
                      </a:rPr>
                      <a:t> Total</a:t>
                    </a:r>
                    <a:endParaRPr lang="ca-ES" sz="900" b="1" cap="none" spc="0">
                      <a:ln w="6350">
                        <a:solidFill>
                          <a:sysClr val="windowText" lastClr="000000"/>
                        </a:solidFill>
                        <a:prstDash val="solid"/>
                      </a:ln>
                      <a:solidFill>
                        <a:schemeClr val="bg2">
                          <a:tint val="85000"/>
                          <a:satMod val="155000"/>
                        </a:schemeClr>
                      </a:solidFill>
                      <a:effectLst/>
                    </a:endParaRPr>
                  </a:p>
                  <a:p>
                    <a:pPr algn="ctr" rtl="0">
                      <a:defRPr sz="900" b="1" cap="none" spc="0">
                        <a:ln w="6350">
                          <a:solidFill>
                            <a:sysClr val="windowText" lastClr="000000"/>
                          </a:solidFill>
                          <a:prstDash val="solid"/>
                        </a:ln>
                        <a:solidFill>
                          <a:schemeClr val="bg2">
                            <a:tint val="85000"/>
                            <a:satMod val="155000"/>
                          </a:schemeClr>
                        </a:solidFill>
                        <a:effectLst/>
                      </a:defRPr>
                    </a:pPr>
                    <a:r>
                      <a:rPr lang="es-ES" sz="900" b="1" cap="none" spc="0">
                        <a:ln w="6350">
                          <a:solidFill>
                            <a:sysClr val="windowText" lastClr="000000"/>
                          </a:solidFill>
                          <a:prstDash val="solid"/>
                        </a:ln>
                        <a:solidFill>
                          <a:schemeClr val="bg2">
                            <a:tint val="85000"/>
                            <a:satMod val="155000"/>
                          </a:schemeClr>
                        </a:solidFill>
                        <a:effectLst/>
                      </a:rPr>
                      <a:t>32.917</a:t>
                    </a:r>
                    <a:endParaRPr lang="ca-ES" sz="900" b="1" cap="none" spc="0">
                      <a:ln w="6350">
                        <a:solidFill>
                          <a:sysClr val="windowText" lastClr="000000"/>
                        </a:solidFill>
                        <a:prstDash val="solid"/>
                      </a:ln>
                      <a:solidFill>
                        <a:schemeClr val="bg2">
                          <a:tint val="85000"/>
                          <a:satMod val="155000"/>
                        </a:schemeClr>
                      </a:solidFill>
                      <a:effectLst/>
                    </a:endParaRPr>
                  </a:p>
                  <a:p>
                    <a:pPr algn="ctr" rtl="0">
                      <a:defRPr sz="900" b="1" cap="none" spc="0">
                        <a:ln w="6350">
                          <a:solidFill>
                            <a:sysClr val="windowText" lastClr="000000"/>
                          </a:solidFill>
                          <a:prstDash val="solid"/>
                        </a:ln>
                        <a:solidFill>
                          <a:schemeClr val="bg2">
                            <a:tint val="85000"/>
                            <a:satMod val="155000"/>
                          </a:schemeClr>
                        </a:solidFill>
                        <a:effectLst/>
                      </a:defRPr>
                    </a:pPr>
                    <a:endParaRPr lang="en-US" sz="900"/>
                  </a:p>
                </c:rich>
              </c:tx>
              <c:spPr/>
              <c:showLegendKey val="0"/>
              <c:showVal val="1"/>
              <c:showCatName val="0"/>
              <c:showSerName val="0"/>
              <c:showPercent val="0"/>
              <c:showBubbleSize val="0"/>
            </c:dLbl>
            <c:dLbl>
              <c:idx val="8"/>
              <c:layout>
                <c:manualLayout>
                  <c:x val="-1.7752375312197711E-7"/>
                  <c:y val="-0.15529415539191813"/>
                </c:manualLayout>
              </c:layout>
              <c:tx>
                <c:rich>
                  <a:bodyPr/>
                  <a:lstStyle/>
                  <a:p>
                    <a:r>
                      <a:rPr lang="en-US" sz="800" b="1" cap="none" spc="0">
                        <a:ln w="6350">
                          <a:solidFill>
                            <a:sysClr val="windowText" lastClr="000000"/>
                          </a:solidFill>
                          <a:prstDash val="solid"/>
                        </a:ln>
                        <a:solidFill>
                          <a:schemeClr val="bg2">
                            <a:tint val="85000"/>
                            <a:satMod val="155000"/>
                          </a:schemeClr>
                        </a:solidFill>
                        <a:effectLst/>
                      </a:rPr>
                      <a:t> </a:t>
                    </a:r>
                    <a:r>
                      <a:rPr lang="en-US" sz="800" b="1" i="0" kern="1200" cap="none" spc="0" baseline="0">
                        <a:ln w="6350">
                          <a:solidFill>
                            <a:sysClr val="windowText" lastClr="000000"/>
                          </a:solidFill>
                          <a:prstDash val="solid"/>
                        </a:ln>
                        <a:solidFill>
                          <a:schemeClr val="bg2">
                            <a:tint val="85000"/>
                            <a:satMod val="155000"/>
                          </a:schemeClr>
                        </a:solidFill>
                        <a:effectLst/>
                        <a:latin typeface="Rotis Sans Serif Std"/>
                      </a:rPr>
                      <a:t>Total</a:t>
                    </a:r>
                    <a:endParaRPr lang="ca-ES" sz="800" b="1" cap="none" spc="0">
                      <a:ln w="6350">
                        <a:solidFill>
                          <a:sysClr val="windowText" lastClr="000000"/>
                        </a:solidFill>
                        <a:prstDash val="solid"/>
                      </a:ln>
                      <a:solidFill>
                        <a:schemeClr val="bg2">
                          <a:tint val="85000"/>
                          <a:satMod val="155000"/>
                        </a:schemeClr>
                      </a:solidFill>
                      <a:effectLst/>
                    </a:endParaRPr>
                  </a:p>
                  <a:p>
                    <a:r>
                      <a:rPr lang="es-ES" sz="800" b="1" i="0" kern="1200" cap="none" spc="0" baseline="0">
                        <a:ln w="6350">
                          <a:solidFill>
                            <a:sysClr val="windowText" lastClr="000000"/>
                          </a:solidFill>
                          <a:prstDash val="solid"/>
                        </a:ln>
                        <a:solidFill>
                          <a:schemeClr val="bg2">
                            <a:tint val="85000"/>
                            <a:satMod val="155000"/>
                          </a:schemeClr>
                        </a:solidFill>
                        <a:effectLst/>
                        <a:latin typeface="Rotis Sans Serif Std"/>
                      </a:rPr>
                      <a:t>33.606</a:t>
                    </a:r>
                    <a:endParaRPr lang="ca-ES" sz="800" b="1" cap="none" spc="0">
                      <a:ln w="6350">
                        <a:solidFill>
                          <a:sysClr val="windowText" lastClr="000000"/>
                        </a:solidFill>
                        <a:prstDash val="solid"/>
                      </a:ln>
                      <a:solidFill>
                        <a:schemeClr val="bg2">
                          <a:tint val="85000"/>
                          <a:satMod val="155000"/>
                        </a:schemeClr>
                      </a:solidFill>
                      <a:effectLst/>
                    </a:endParaRPr>
                  </a:p>
                  <a:p>
                    <a:r>
                      <a:rPr lang="en-US" sz="800" b="1" cap="none" spc="0">
                        <a:ln w="6350">
                          <a:solidFill>
                            <a:sysClr val="windowText" lastClr="000000"/>
                          </a:solidFill>
                          <a:prstDash val="solid"/>
                        </a:ln>
                        <a:solidFill>
                          <a:schemeClr val="bg2">
                            <a:tint val="85000"/>
                            <a:satMod val="155000"/>
                          </a:schemeClr>
                        </a:solidFill>
                        <a:effectLst/>
                      </a:rPr>
                      <a:t>  </a:t>
                    </a:r>
                    <a:endParaRPr lang="en-US" b="0"/>
                  </a:p>
                </c:rich>
              </c:tx>
              <c:showLegendKey val="0"/>
              <c:showVal val="1"/>
              <c:showCatName val="0"/>
              <c:showSerName val="0"/>
              <c:showPercent val="0"/>
              <c:showBubbleSize val="0"/>
            </c:dLbl>
            <c:txPr>
              <a:bodyPr/>
              <a:lstStyle/>
              <a:p>
                <a:pPr>
                  <a:defRPr b="1" cap="none" spc="0">
                    <a:ln w="6350">
                      <a:solidFill>
                        <a:sysClr val="windowText" lastClr="000000"/>
                      </a:solidFill>
                      <a:prstDash val="solid"/>
                    </a:ln>
                    <a:solidFill>
                      <a:schemeClr val="bg2">
                        <a:tint val="85000"/>
                        <a:satMod val="155000"/>
                      </a:schemeClr>
                    </a:solidFill>
                    <a:effectLst/>
                  </a:defRPr>
                </a:pPr>
                <a:endParaRPr lang="es-ES"/>
              </a:p>
            </c:txPr>
            <c:showLegendKey val="0"/>
            <c:showVal val="1"/>
            <c:showCatName val="0"/>
            <c:showSerName val="0"/>
            <c:showPercent val="0"/>
            <c:showBubbleSize val="0"/>
            <c:showLeaderLines val="0"/>
          </c:dLbls>
          <c:cat>
            <c:strRef>
              <c:f>'Conciliaciones  SMAC'!$A$38:$A$46</c:f>
              <c:strCache>
                <c:ptCount val="9"/>
                <c:pt idx="0">
                  <c:v>2011</c:v>
                </c:pt>
                <c:pt idx="1">
                  <c:v>2012</c:v>
                </c:pt>
                <c:pt idx="2">
                  <c:v>2013</c:v>
                </c:pt>
                <c:pt idx="3">
                  <c:v>2014</c:v>
                </c:pt>
                <c:pt idx="4">
                  <c:v>2015</c:v>
                </c:pt>
                <c:pt idx="5">
                  <c:v>2016</c:v>
                </c:pt>
                <c:pt idx="6">
                  <c:v>2017</c:v>
                </c:pt>
                <c:pt idx="7">
                  <c:v>Acumulat maig 18</c:v>
                </c:pt>
                <c:pt idx="8">
                  <c:v>Acumulat maig 17</c:v>
                </c:pt>
              </c:strCache>
            </c:strRef>
          </c:cat>
          <c:val>
            <c:numRef>
              <c:f>'Conciliaciones  SMAC'!$B$38:$B$46</c:f>
              <c:numCache>
                <c:formatCode>_-* #,##0\ _€_-;\-* #,##0\ _€_-;_-* "-"??\ _€_-;_-@_-</c:formatCode>
                <c:ptCount val="9"/>
                <c:pt idx="0">
                  <c:v>34871</c:v>
                </c:pt>
                <c:pt idx="1">
                  <c:v>42515</c:v>
                </c:pt>
                <c:pt idx="2">
                  <c:v>54576</c:v>
                </c:pt>
                <c:pt idx="3">
                  <c:v>48904</c:v>
                </c:pt>
                <c:pt idx="4">
                  <c:v>44284</c:v>
                </c:pt>
                <c:pt idx="5">
                  <c:v>44297</c:v>
                </c:pt>
                <c:pt idx="6">
                  <c:v>44035</c:v>
                </c:pt>
                <c:pt idx="7">
                  <c:v>21090</c:v>
                </c:pt>
                <c:pt idx="8">
                  <c:v>20358</c:v>
                </c:pt>
              </c:numCache>
            </c:numRef>
          </c:val>
        </c:ser>
        <c:ser>
          <c:idx val="1"/>
          <c:order val="1"/>
          <c:tx>
            <c:strRef>
              <c:f>'Conciliaciones  SMAC'!$C$37</c:f>
              <c:strCache>
                <c:ptCount val="1"/>
                <c:pt idx="0">
                  <c:v>Sancions </c:v>
                </c:pt>
              </c:strCache>
            </c:strRef>
          </c:tx>
          <c:invertIfNegative val="0"/>
          <c:cat>
            <c:strRef>
              <c:f>'Conciliaciones  SMAC'!$A$38:$A$46</c:f>
              <c:strCache>
                <c:ptCount val="9"/>
                <c:pt idx="0">
                  <c:v>2011</c:v>
                </c:pt>
                <c:pt idx="1">
                  <c:v>2012</c:v>
                </c:pt>
                <c:pt idx="2">
                  <c:v>2013</c:v>
                </c:pt>
                <c:pt idx="3">
                  <c:v>2014</c:v>
                </c:pt>
                <c:pt idx="4">
                  <c:v>2015</c:v>
                </c:pt>
                <c:pt idx="5">
                  <c:v>2016</c:v>
                </c:pt>
                <c:pt idx="6">
                  <c:v>2017</c:v>
                </c:pt>
                <c:pt idx="7">
                  <c:v>Acumulat maig 18</c:v>
                </c:pt>
                <c:pt idx="8">
                  <c:v>Acumulat maig 17</c:v>
                </c:pt>
              </c:strCache>
            </c:strRef>
          </c:cat>
          <c:val>
            <c:numRef>
              <c:f>'Conciliaciones  SMAC'!$C$38:$C$46</c:f>
              <c:numCache>
                <c:formatCode>_-* #,##0\ _€_-;\-* #,##0\ _€_-;_-* "-"??\ _€_-;_-@_-</c:formatCode>
                <c:ptCount val="9"/>
                <c:pt idx="0">
                  <c:v>2799</c:v>
                </c:pt>
                <c:pt idx="1">
                  <c:v>2456</c:v>
                </c:pt>
                <c:pt idx="2">
                  <c:v>2624</c:v>
                </c:pt>
                <c:pt idx="3">
                  <c:v>2622</c:v>
                </c:pt>
                <c:pt idx="4">
                  <c:v>2451</c:v>
                </c:pt>
                <c:pt idx="5">
                  <c:v>2343</c:v>
                </c:pt>
                <c:pt idx="6">
                  <c:v>2153</c:v>
                </c:pt>
                <c:pt idx="7">
                  <c:v>875</c:v>
                </c:pt>
                <c:pt idx="8">
                  <c:v>1024</c:v>
                </c:pt>
              </c:numCache>
            </c:numRef>
          </c:val>
        </c:ser>
        <c:ser>
          <c:idx val="2"/>
          <c:order val="2"/>
          <c:tx>
            <c:strRef>
              <c:f>'Conciliaciones  SMAC'!$D$37</c:f>
              <c:strCache>
                <c:ptCount val="1"/>
                <c:pt idx="0">
                  <c:v>Reclamacions de quantitat</c:v>
                </c:pt>
              </c:strCache>
            </c:strRef>
          </c:tx>
          <c:invertIfNegative val="0"/>
          <c:cat>
            <c:strRef>
              <c:f>'Conciliaciones  SMAC'!$A$38:$A$46</c:f>
              <c:strCache>
                <c:ptCount val="9"/>
                <c:pt idx="0">
                  <c:v>2011</c:v>
                </c:pt>
                <c:pt idx="1">
                  <c:v>2012</c:v>
                </c:pt>
                <c:pt idx="2">
                  <c:v>2013</c:v>
                </c:pt>
                <c:pt idx="3">
                  <c:v>2014</c:v>
                </c:pt>
                <c:pt idx="4">
                  <c:v>2015</c:v>
                </c:pt>
                <c:pt idx="5">
                  <c:v>2016</c:v>
                </c:pt>
                <c:pt idx="6">
                  <c:v>2017</c:v>
                </c:pt>
                <c:pt idx="7">
                  <c:v>Acumulat maig 18</c:v>
                </c:pt>
                <c:pt idx="8">
                  <c:v>Acumulat maig 17</c:v>
                </c:pt>
              </c:strCache>
            </c:strRef>
          </c:cat>
          <c:val>
            <c:numRef>
              <c:f>'Conciliaciones  SMAC'!$D$38:$D$46</c:f>
              <c:numCache>
                <c:formatCode>_-* #,##0\ _€_-;\-* #,##0\ _€_-;_-* "-"??\ _€_-;_-@_-</c:formatCode>
                <c:ptCount val="9"/>
                <c:pt idx="0">
                  <c:v>44930</c:v>
                </c:pt>
                <c:pt idx="1">
                  <c:v>34830</c:v>
                </c:pt>
                <c:pt idx="2">
                  <c:v>31042</c:v>
                </c:pt>
                <c:pt idx="3">
                  <c:v>36529</c:v>
                </c:pt>
                <c:pt idx="4">
                  <c:v>24399</c:v>
                </c:pt>
                <c:pt idx="5">
                  <c:v>19527</c:v>
                </c:pt>
                <c:pt idx="6">
                  <c:v>21925</c:v>
                </c:pt>
                <c:pt idx="7">
                  <c:v>9369</c:v>
                </c:pt>
                <c:pt idx="8">
                  <c:v>10634</c:v>
                </c:pt>
              </c:numCache>
            </c:numRef>
          </c:val>
        </c:ser>
        <c:ser>
          <c:idx val="3"/>
          <c:order val="3"/>
          <c:tx>
            <c:strRef>
              <c:f>'Conciliaciones  SMAC'!$E$37</c:f>
              <c:strCache>
                <c:ptCount val="1"/>
                <c:pt idx="0">
                  <c:v>Diversos</c:v>
                </c:pt>
              </c:strCache>
            </c:strRef>
          </c:tx>
          <c:invertIfNegative val="0"/>
          <c:cat>
            <c:strRef>
              <c:f>'Conciliaciones  SMAC'!$A$38:$A$46</c:f>
              <c:strCache>
                <c:ptCount val="9"/>
                <c:pt idx="0">
                  <c:v>2011</c:v>
                </c:pt>
                <c:pt idx="1">
                  <c:v>2012</c:v>
                </c:pt>
                <c:pt idx="2">
                  <c:v>2013</c:v>
                </c:pt>
                <c:pt idx="3">
                  <c:v>2014</c:v>
                </c:pt>
                <c:pt idx="4">
                  <c:v>2015</c:v>
                </c:pt>
                <c:pt idx="5">
                  <c:v>2016</c:v>
                </c:pt>
                <c:pt idx="6">
                  <c:v>2017</c:v>
                </c:pt>
                <c:pt idx="7">
                  <c:v>Acumulat maig 18</c:v>
                </c:pt>
                <c:pt idx="8">
                  <c:v>Acumulat maig 17</c:v>
                </c:pt>
              </c:strCache>
            </c:strRef>
          </c:cat>
          <c:val>
            <c:numRef>
              <c:f>'Conciliaciones  SMAC'!$E$38:$E$46</c:f>
              <c:numCache>
                <c:formatCode>_-* #,##0\ _€_-;\-* #,##0\ _€_-;_-* "-"??\ _€_-;_-@_-</c:formatCode>
                <c:ptCount val="9"/>
                <c:pt idx="0">
                  <c:v>6341</c:v>
                </c:pt>
                <c:pt idx="1">
                  <c:v>5872</c:v>
                </c:pt>
                <c:pt idx="2">
                  <c:v>5012</c:v>
                </c:pt>
                <c:pt idx="3">
                  <c:v>4603</c:v>
                </c:pt>
                <c:pt idx="4">
                  <c:v>3755</c:v>
                </c:pt>
                <c:pt idx="5">
                  <c:v>4121</c:v>
                </c:pt>
                <c:pt idx="6">
                  <c:v>3499</c:v>
                </c:pt>
                <c:pt idx="7">
                  <c:v>1583</c:v>
                </c:pt>
                <c:pt idx="8">
                  <c:v>1590</c:v>
                </c:pt>
              </c:numCache>
            </c:numRef>
          </c:val>
        </c:ser>
        <c:dLbls>
          <c:showLegendKey val="0"/>
          <c:showVal val="0"/>
          <c:showCatName val="0"/>
          <c:showSerName val="0"/>
          <c:showPercent val="0"/>
          <c:showBubbleSize val="0"/>
        </c:dLbls>
        <c:gapWidth val="83"/>
        <c:overlap val="100"/>
        <c:axId val="169706624"/>
        <c:axId val="169708160"/>
      </c:barChart>
      <c:catAx>
        <c:axId val="169706624"/>
        <c:scaling>
          <c:orientation val="minMax"/>
        </c:scaling>
        <c:delete val="0"/>
        <c:axPos val="b"/>
        <c:numFmt formatCode="General" sourceLinked="1"/>
        <c:majorTickMark val="out"/>
        <c:minorTickMark val="none"/>
        <c:tickLblPos val="nextTo"/>
        <c:txPr>
          <a:bodyPr/>
          <a:lstStyle/>
          <a:p>
            <a:pPr>
              <a:defRPr sz="800"/>
            </a:pPr>
            <a:endParaRPr lang="es-ES"/>
          </a:p>
        </c:txPr>
        <c:crossAx val="169708160"/>
        <c:crosses val="autoZero"/>
        <c:auto val="1"/>
        <c:lblAlgn val="ctr"/>
        <c:lblOffset val="100"/>
        <c:noMultiLvlLbl val="0"/>
      </c:catAx>
      <c:valAx>
        <c:axId val="169708160"/>
        <c:scaling>
          <c:orientation val="minMax"/>
        </c:scaling>
        <c:delete val="0"/>
        <c:axPos val="l"/>
        <c:numFmt formatCode="_-* #,##0\ _€_-;\-* #,##0\ _€_-;_-* &quot;-&quot;??\ _€_-;_-@_-" sourceLinked="1"/>
        <c:majorTickMark val="out"/>
        <c:minorTickMark val="none"/>
        <c:tickLblPos val="nextTo"/>
        <c:spPr>
          <a:ln w="3175"/>
        </c:spPr>
        <c:txPr>
          <a:bodyPr/>
          <a:lstStyle/>
          <a:p>
            <a:pPr>
              <a:defRPr sz="900"/>
            </a:pPr>
            <a:endParaRPr lang="es-ES"/>
          </a:p>
        </c:txPr>
        <c:crossAx val="169706624"/>
        <c:crosses val="autoZero"/>
        <c:crossBetween val="between"/>
      </c:valAx>
    </c:plotArea>
    <c:legend>
      <c:legendPos val="r"/>
      <c:layout>
        <c:manualLayout>
          <c:xMode val="edge"/>
          <c:yMode val="edge"/>
          <c:x val="0.719640193982375"/>
          <c:y val="0.25089384448864283"/>
          <c:w val="0.26711477290504299"/>
          <c:h val="0.47410855590941953"/>
        </c:manualLayout>
      </c:layout>
      <c:overlay val="0"/>
    </c:legend>
    <c:plotVisOnly val="1"/>
    <c:dispBlanksAs val="gap"/>
    <c:showDLblsOverMax val="0"/>
  </c:chart>
  <c:spPr>
    <a:solidFill>
      <a:schemeClr val="lt1"/>
    </a:solidFill>
    <a:ln w="6350" cap="flat" cmpd="sng" algn="ctr">
      <a:solidFill>
        <a:schemeClr val="accent2"/>
      </a:solidFill>
      <a:prstDash val="solid"/>
    </a:ln>
    <a:effectLst/>
  </c:spPr>
  <c:txPr>
    <a:bodyPr/>
    <a:lstStyle/>
    <a:p>
      <a:pPr>
        <a:defRPr>
          <a:solidFill>
            <a:schemeClr val="dk1"/>
          </a:solidFill>
          <a:latin typeface="Rotis Sans Serif Std" pitchFamily="34" charset="0"/>
          <a:ea typeface="+mn-ea"/>
          <a:cs typeface="+mn-cs"/>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8.1995921538095096E-2"/>
          <c:y val="8.2672691481746594E-2"/>
          <c:w val="0.90051239747405898"/>
          <c:h val="0.70488589741437802"/>
        </c:manualLayout>
      </c:layout>
      <c:lineChart>
        <c:grouping val="standard"/>
        <c:varyColors val="0"/>
        <c:ser>
          <c:idx val="0"/>
          <c:order val="0"/>
          <c:marker>
            <c:symbol val="square"/>
            <c:size val="4"/>
            <c:spPr>
              <a:solidFill>
                <a:schemeClr val="accent2"/>
              </a:solidFill>
            </c:spPr>
          </c:marker>
          <c:dPt>
            <c:idx val="3"/>
            <c:bubble3D val="0"/>
          </c:dPt>
          <c:dPt>
            <c:idx val="7"/>
            <c:bubble3D val="0"/>
          </c:dPt>
          <c:dPt>
            <c:idx val="11"/>
            <c:bubble3D val="0"/>
          </c:dPt>
          <c:dPt>
            <c:idx val="15"/>
            <c:bubble3D val="0"/>
          </c:dPt>
          <c:dPt>
            <c:idx val="19"/>
            <c:bubble3D val="0"/>
          </c:dPt>
          <c:dPt>
            <c:idx val="23"/>
            <c:bubble3D val="0"/>
          </c:dPt>
          <c:dPt>
            <c:idx val="27"/>
            <c:bubble3D val="0"/>
          </c:dPt>
          <c:dPt>
            <c:idx val="31"/>
            <c:bubble3D val="0"/>
          </c:dPt>
          <c:dPt>
            <c:idx val="35"/>
            <c:bubble3D val="0"/>
          </c:dPt>
          <c:dLbls>
            <c:dLbl>
              <c:idx val="0"/>
              <c:delete val="1"/>
            </c:dLbl>
            <c:dLbl>
              <c:idx val="1"/>
              <c:layout>
                <c:manualLayout>
                  <c:x val="-2.21918427760875E-2"/>
                  <c:y val="-4.0897633277577602E-2"/>
                </c:manualLayout>
              </c:layout>
              <c:showLegendKey val="0"/>
              <c:showVal val="1"/>
              <c:showCatName val="0"/>
              <c:showSerName val="0"/>
              <c:showPercent val="0"/>
              <c:showBubbleSize val="0"/>
            </c:dLbl>
            <c:dLbl>
              <c:idx val="2"/>
              <c:delete val="1"/>
            </c:dLbl>
            <c:dLbl>
              <c:idx val="3"/>
              <c:delete val="1"/>
            </c:dLbl>
            <c:dLbl>
              <c:idx val="4"/>
              <c:delete val="1"/>
            </c:dLbl>
            <c:dLbl>
              <c:idx val="5"/>
              <c:layout/>
              <c:showLegendKey val="0"/>
              <c:showVal val="1"/>
              <c:showCatName val="0"/>
              <c:showSerName val="0"/>
              <c:showPercent val="0"/>
              <c:showBubbleSize val="0"/>
            </c:dLbl>
            <c:dLbl>
              <c:idx val="6"/>
              <c:delete val="1"/>
            </c:dLbl>
            <c:dLbl>
              <c:idx val="7"/>
              <c:delete val="1"/>
            </c:dLbl>
            <c:dLbl>
              <c:idx val="8"/>
              <c:delete val="1"/>
            </c:dLbl>
            <c:dLbl>
              <c:idx val="9"/>
              <c:layout>
                <c:manualLayout>
                  <c:x val="0"/>
                  <c:y val="2.72650888517184E-2"/>
                </c:manualLayout>
              </c:layout>
              <c:showLegendKey val="0"/>
              <c:showVal val="1"/>
              <c:showCatName val="0"/>
              <c:showSerName val="0"/>
              <c:showPercent val="0"/>
              <c:showBubbleSize val="0"/>
            </c:dLbl>
            <c:dLbl>
              <c:idx val="10"/>
              <c:delete val="1"/>
            </c:dLbl>
            <c:dLbl>
              <c:idx val="11"/>
              <c:delete val="1"/>
            </c:dLbl>
            <c:dLbl>
              <c:idx val="12"/>
              <c:delete val="1"/>
            </c:dLbl>
            <c:dLbl>
              <c:idx val="13"/>
              <c:layout>
                <c:manualLayout>
                  <c:x val="0"/>
                  <c:y val="2.72650888517184E-2"/>
                </c:manualLayout>
              </c:layout>
              <c:showLegendKey val="0"/>
              <c:showVal val="1"/>
              <c:showCatName val="0"/>
              <c:showSerName val="0"/>
              <c:showPercent val="0"/>
              <c:showBubbleSize val="0"/>
            </c:dLbl>
            <c:dLbl>
              <c:idx val="14"/>
              <c:delete val="1"/>
            </c:dLbl>
            <c:dLbl>
              <c:idx val="15"/>
              <c:delete val="1"/>
            </c:dLbl>
            <c:dLbl>
              <c:idx val="16"/>
              <c:delete val="1"/>
            </c:dLbl>
            <c:dLbl>
              <c:idx val="17"/>
              <c:layout/>
              <c:showLegendKey val="0"/>
              <c:showVal val="1"/>
              <c:showCatName val="0"/>
              <c:showSerName val="0"/>
              <c:showPercent val="0"/>
              <c:showBubbleSize val="0"/>
            </c:dLbl>
            <c:dLbl>
              <c:idx val="18"/>
              <c:delete val="1"/>
            </c:dLbl>
            <c:dLbl>
              <c:idx val="19"/>
              <c:delete val="1"/>
            </c:dLbl>
            <c:dLbl>
              <c:idx val="20"/>
              <c:delete val="1"/>
            </c:dLbl>
            <c:dLbl>
              <c:idx val="21"/>
              <c:layout/>
              <c:showLegendKey val="0"/>
              <c:showVal val="1"/>
              <c:showCatName val="0"/>
              <c:showSerName val="0"/>
              <c:showPercent val="0"/>
              <c:showBubbleSize val="0"/>
            </c:dLbl>
            <c:dLbl>
              <c:idx val="22"/>
              <c:delete val="1"/>
            </c:dLbl>
            <c:dLbl>
              <c:idx val="23"/>
              <c:delete val="1"/>
            </c:dLbl>
            <c:dLbl>
              <c:idx val="24"/>
              <c:delete val="1"/>
            </c:dLbl>
            <c:dLbl>
              <c:idx val="25"/>
              <c:layout/>
              <c:showLegendKey val="0"/>
              <c:showVal val="1"/>
              <c:showCatName val="0"/>
              <c:showSerName val="0"/>
              <c:showPercent val="0"/>
              <c:showBubbleSize val="0"/>
            </c:dLbl>
            <c:dLbl>
              <c:idx val="26"/>
              <c:delete val="1"/>
            </c:dLbl>
            <c:dLbl>
              <c:idx val="27"/>
              <c:delete val="1"/>
            </c:dLbl>
            <c:dLbl>
              <c:idx val="28"/>
              <c:delete val="1"/>
            </c:dLbl>
            <c:dLbl>
              <c:idx val="29"/>
              <c:layout>
                <c:manualLayout>
                  <c:x val="-5.2216100649617597E-3"/>
                  <c:y val="-1.36325444258592E-2"/>
                </c:manualLayout>
              </c:layout>
              <c:showLegendKey val="0"/>
              <c:showVal val="1"/>
              <c:showCatName val="0"/>
              <c:showSerName val="0"/>
              <c:showPercent val="0"/>
              <c:showBubbleSize val="0"/>
            </c:dLbl>
            <c:dLbl>
              <c:idx val="30"/>
              <c:delete val="1"/>
            </c:dLbl>
            <c:dLbl>
              <c:idx val="31"/>
              <c:delete val="1"/>
            </c:dLbl>
            <c:dLbl>
              <c:idx val="32"/>
              <c:delete val="1"/>
            </c:dLbl>
            <c:dLbl>
              <c:idx val="33"/>
              <c:layout/>
              <c:showLegendKey val="0"/>
              <c:showVal val="1"/>
              <c:showCatName val="0"/>
              <c:showSerName val="0"/>
              <c:showPercent val="0"/>
              <c:showBubbleSize val="0"/>
            </c:dLbl>
            <c:dLbl>
              <c:idx val="34"/>
              <c:delete val="1"/>
            </c:dLbl>
            <c:dLbl>
              <c:idx val="35"/>
              <c:delete val="1"/>
            </c:dLbl>
            <c:dLbl>
              <c:idx val="36"/>
              <c:delete val="1"/>
            </c:dLbl>
            <c:dLbl>
              <c:idx val="37"/>
              <c:layout/>
              <c:showLegendKey val="0"/>
              <c:showVal val="1"/>
              <c:showCatName val="0"/>
              <c:showSerName val="0"/>
              <c:showPercent val="0"/>
              <c:showBubbleSize val="0"/>
            </c:dLbl>
            <c:dLbl>
              <c:idx val="38"/>
              <c:delete val="1"/>
            </c:dLbl>
            <c:dLbl>
              <c:idx val="39"/>
              <c:delete val="1"/>
            </c:dLbl>
            <c:dLbl>
              <c:idx val="40"/>
              <c:delete val="1"/>
            </c:dLbl>
            <c:dLbl>
              <c:idx val="41"/>
              <c:layout>
                <c:manualLayout>
                  <c:x val="-5.2216100649617597E-3"/>
                  <c:y val="-2.72650888517184E-2"/>
                </c:manualLayout>
              </c:layout>
              <c:showLegendKey val="0"/>
              <c:showVal val="1"/>
              <c:showCatName val="0"/>
              <c:showSerName val="0"/>
              <c:showPercent val="0"/>
              <c:showBubbleSize val="0"/>
            </c:dLbl>
            <c:dLbl>
              <c:idx val="42"/>
              <c:delete val="1"/>
            </c:dLbl>
            <c:dLbl>
              <c:idx val="43"/>
              <c:delete val="1"/>
            </c:dLbl>
            <c:dLbl>
              <c:idx val="44"/>
              <c:delete val="1"/>
            </c:dLbl>
            <c:dLbl>
              <c:idx val="45"/>
              <c:layout>
                <c:manualLayout>
                  <c:x val="-4.2715442808981402E-3"/>
                  <c:y val="3.5785429117880303E-2"/>
                </c:manualLayout>
              </c:layout>
              <c:spPr/>
              <c:txPr>
                <a:bodyPr/>
                <a:lstStyle/>
                <a:p>
                  <a:pPr>
                    <a:defRPr sz="1000" b="1"/>
                  </a:pPr>
                  <a:endParaRPr lang="es-ES"/>
                </a:p>
              </c:txPr>
              <c:dLblPos val="r"/>
              <c:showLegendKey val="0"/>
              <c:showVal val="1"/>
              <c:showCatName val="0"/>
              <c:showSerName val="0"/>
              <c:showPercent val="0"/>
              <c:showBubbleSize val="0"/>
              <c:separator>
</c:separator>
            </c:dLbl>
            <c:txPr>
              <a:bodyPr/>
              <a:lstStyle/>
              <a:p>
                <a:pPr>
                  <a:defRPr sz="1000"/>
                </a:pPr>
                <a:endParaRPr lang="es-ES"/>
              </a:p>
            </c:txPr>
            <c:dLblPos val="t"/>
            <c:showLegendKey val="0"/>
            <c:showVal val="1"/>
            <c:showCatName val="0"/>
            <c:showSerName val="0"/>
            <c:showPercent val="0"/>
            <c:showBubbleSize val="0"/>
            <c:separator>
</c:separator>
            <c:showLeaderLines val="0"/>
          </c:dLbls>
          <c:cat>
            <c:strRef>
              <c:f>'EPA. Cataluña - parados y tasa'!$A$127:$A$172</c:f>
              <c:strCache>
                <c:ptCount val="46"/>
                <c:pt idx="0">
                  <c:v>2007 1T</c:v>
                </c:pt>
                <c:pt idx="1">
                  <c:v>2007 2T</c:v>
                </c:pt>
                <c:pt idx="2">
                  <c:v>2007 3T</c:v>
                </c:pt>
                <c:pt idx="3">
                  <c:v>2007 4T</c:v>
                </c:pt>
                <c:pt idx="4">
                  <c:v>2008 1T</c:v>
                </c:pt>
                <c:pt idx="5">
                  <c:v>2008 2T</c:v>
                </c:pt>
                <c:pt idx="6">
                  <c:v>2008 3T</c:v>
                </c:pt>
                <c:pt idx="7">
                  <c:v>2008 4T</c:v>
                </c:pt>
                <c:pt idx="8">
                  <c:v>2009 1T</c:v>
                </c:pt>
                <c:pt idx="9">
                  <c:v>2009 2T</c:v>
                </c:pt>
                <c:pt idx="10">
                  <c:v>2009 3T</c:v>
                </c:pt>
                <c:pt idx="11">
                  <c:v>2009 4T</c:v>
                </c:pt>
                <c:pt idx="12">
                  <c:v>2010 1T</c:v>
                </c:pt>
                <c:pt idx="13">
                  <c:v>2010 2T</c:v>
                </c:pt>
                <c:pt idx="14">
                  <c:v>2010 3T</c:v>
                </c:pt>
                <c:pt idx="15">
                  <c:v>2010 4T</c:v>
                </c:pt>
                <c:pt idx="16">
                  <c:v>2011 1T</c:v>
                </c:pt>
                <c:pt idx="17">
                  <c:v>2011 2T</c:v>
                </c:pt>
                <c:pt idx="18">
                  <c:v>2011 3T</c:v>
                </c:pt>
                <c:pt idx="19">
                  <c:v>2011 4T</c:v>
                </c:pt>
                <c:pt idx="20">
                  <c:v>2012 1T</c:v>
                </c:pt>
                <c:pt idx="21">
                  <c:v>2012 2T</c:v>
                </c:pt>
                <c:pt idx="22">
                  <c:v>2012 3T</c:v>
                </c:pt>
                <c:pt idx="23">
                  <c:v>2012 4T</c:v>
                </c:pt>
                <c:pt idx="24">
                  <c:v>2013 1T</c:v>
                </c:pt>
                <c:pt idx="25">
                  <c:v>2013 2T</c:v>
                </c:pt>
                <c:pt idx="26">
                  <c:v>2013 3T</c:v>
                </c:pt>
                <c:pt idx="27">
                  <c:v>2013 4T</c:v>
                </c:pt>
                <c:pt idx="28">
                  <c:v>2014 1T</c:v>
                </c:pt>
                <c:pt idx="29">
                  <c:v>2014 2T</c:v>
                </c:pt>
                <c:pt idx="30">
                  <c:v>2014 3T</c:v>
                </c:pt>
                <c:pt idx="31">
                  <c:v>2014 4T</c:v>
                </c:pt>
                <c:pt idx="32">
                  <c:v>2015 1T</c:v>
                </c:pt>
                <c:pt idx="33">
                  <c:v>2015 2T</c:v>
                </c:pt>
                <c:pt idx="34">
                  <c:v>2015 3T</c:v>
                </c:pt>
                <c:pt idx="35">
                  <c:v>2015 4T</c:v>
                </c:pt>
                <c:pt idx="36">
                  <c:v>2016 1T</c:v>
                </c:pt>
                <c:pt idx="37">
                  <c:v>2016 2T</c:v>
                </c:pt>
                <c:pt idx="38">
                  <c:v>2016 3T</c:v>
                </c:pt>
                <c:pt idx="39">
                  <c:v>2016 4T</c:v>
                </c:pt>
                <c:pt idx="40">
                  <c:v>2017 1T</c:v>
                </c:pt>
                <c:pt idx="41">
                  <c:v>2017 2T</c:v>
                </c:pt>
                <c:pt idx="42">
                  <c:v>2017 3 T</c:v>
                </c:pt>
                <c:pt idx="43">
                  <c:v>2017 4T</c:v>
                </c:pt>
                <c:pt idx="44">
                  <c:v>2018 1T</c:v>
                </c:pt>
                <c:pt idx="45">
                  <c:v>2018 2T</c:v>
                </c:pt>
              </c:strCache>
            </c:strRef>
          </c:cat>
          <c:val>
            <c:numRef>
              <c:f>'EPA. Cataluña - parados y tasa'!$C$127:$C$172</c:f>
              <c:numCache>
                <c:formatCode>_(* #,##0.00_);_(* \(#,##0.00\);_(* "-"??_);_(@_)</c:formatCode>
                <c:ptCount val="46"/>
                <c:pt idx="0">
                  <c:v>6.65</c:v>
                </c:pt>
                <c:pt idx="1">
                  <c:v>6.06</c:v>
                </c:pt>
                <c:pt idx="2">
                  <c:v>6.69</c:v>
                </c:pt>
                <c:pt idx="3">
                  <c:v>6.5</c:v>
                </c:pt>
                <c:pt idx="4">
                  <c:v>7.52</c:v>
                </c:pt>
                <c:pt idx="5">
                  <c:v>7.47</c:v>
                </c:pt>
                <c:pt idx="6">
                  <c:v>8.8000000000000007</c:v>
                </c:pt>
                <c:pt idx="7">
                  <c:v>11.75</c:v>
                </c:pt>
                <c:pt idx="8">
                  <c:v>16.16</c:v>
                </c:pt>
                <c:pt idx="9">
                  <c:v>15.92</c:v>
                </c:pt>
                <c:pt idx="10">
                  <c:v>15.89</c:v>
                </c:pt>
                <c:pt idx="11">
                  <c:v>16.899999999999999</c:v>
                </c:pt>
                <c:pt idx="12">
                  <c:v>17.899999999999999</c:v>
                </c:pt>
                <c:pt idx="13">
                  <c:v>17.559999999999999</c:v>
                </c:pt>
                <c:pt idx="14">
                  <c:v>17.309999999999999</c:v>
                </c:pt>
                <c:pt idx="15">
                  <c:v>17.86</c:v>
                </c:pt>
                <c:pt idx="16">
                  <c:v>18.93</c:v>
                </c:pt>
                <c:pt idx="17">
                  <c:v>17.93</c:v>
                </c:pt>
                <c:pt idx="18">
                  <c:v>19.38</c:v>
                </c:pt>
                <c:pt idx="19">
                  <c:v>20.399999999999999</c:v>
                </c:pt>
                <c:pt idx="20">
                  <c:v>22</c:v>
                </c:pt>
                <c:pt idx="21">
                  <c:v>21.79</c:v>
                </c:pt>
                <c:pt idx="22">
                  <c:v>22.46</c:v>
                </c:pt>
                <c:pt idx="23">
                  <c:v>23.81</c:v>
                </c:pt>
                <c:pt idx="24">
                  <c:v>24.45</c:v>
                </c:pt>
                <c:pt idx="25">
                  <c:v>23.61</c:v>
                </c:pt>
                <c:pt idx="26">
                  <c:v>22.55</c:v>
                </c:pt>
                <c:pt idx="27">
                  <c:v>21.87</c:v>
                </c:pt>
                <c:pt idx="28">
                  <c:v>22.1</c:v>
                </c:pt>
                <c:pt idx="29">
                  <c:v>20.22</c:v>
                </c:pt>
                <c:pt idx="30">
                  <c:v>19.100000000000001</c:v>
                </c:pt>
                <c:pt idx="31">
                  <c:v>19.88</c:v>
                </c:pt>
                <c:pt idx="32">
                  <c:v>20.05</c:v>
                </c:pt>
                <c:pt idx="33">
                  <c:v>19.100000000000001</c:v>
                </c:pt>
                <c:pt idx="34">
                  <c:v>17.489999999999998</c:v>
                </c:pt>
                <c:pt idx="35">
                  <c:v>17.73</c:v>
                </c:pt>
                <c:pt idx="36">
                  <c:v>17.420000000000002</c:v>
                </c:pt>
                <c:pt idx="37">
                  <c:v>15.95</c:v>
                </c:pt>
                <c:pt idx="38">
                  <c:v>14.63</c:v>
                </c:pt>
                <c:pt idx="39">
                  <c:v>14.85</c:v>
                </c:pt>
                <c:pt idx="40">
                  <c:v>15.28</c:v>
                </c:pt>
                <c:pt idx="41">
                  <c:v>13.2</c:v>
                </c:pt>
                <c:pt idx="42">
                  <c:v>12.54</c:v>
                </c:pt>
                <c:pt idx="43">
                  <c:v>12.63</c:v>
                </c:pt>
                <c:pt idx="44">
                  <c:v>12.19</c:v>
                </c:pt>
                <c:pt idx="45">
                  <c:v>11.4</c:v>
                </c:pt>
              </c:numCache>
            </c:numRef>
          </c:val>
          <c:smooth val="0"/>
        </c:ser>
        <c:dLbls>
          <c:showLegendKey val="0"/>
          <c:showVal val="1"/>
          <c:showCatName val="0"/>
          <c:showSerName val="0"/>
          <c:showPercent val="0"/>
          <c:showBubbleSize val="0"/>
        </c:dLbls>
        <c:marker val="1"/>
        <c:smooth val="0"/>
        <c:axId val="147000320"/>
        <c:axId val="147001728"/>
      </c:lineChart>
      <c:catAx>
        <c:axId val="147000320"/>
        <c:scaling>
          <c:orientation val="minMax"/>
        </c:scaling>
        <c:delete val="0"/>
        <c:axPos val="b"/>
        <c:majorTickMark val="out"/>
        <c:minorTickMark val="none"/>
        <c:tickLblPos val="nextTo"/>
        <c:txPr>
          <a:bodyPr/>
          <a:lstStyle/>
          <a:p>
            <a:pPr>
              <a:defRPr sz="800"/>
            </a:pPr>
            <a:endParaRPr lang="es-ES"/>
          </a:p>
        </c:txPr>
        <c:crossAx val="147001728"/>
        <c:crosses val="autoZero"/>
        <c:auto val="1"/>
        <c:lblAlgn val="ctr"/>
        <c:lblOffset val="100"/>
        <c:noMultiLvlLbl val="0"/>
      </c:catAx>
      <c:valAx>
        <c:axId val="147001728"/>
        <c:scaling>
          <c:orientation val="minMax"/>
        </c:scaling>
        <c:delete val="0"/>
        <c:axPos val="l"/>
        <c:majorGridlines>
          <c:spPr>
            <a:ln>
              <a:solidFill>
                <a:schemeClr val="accent2">
                  <a:lumMod val="20000"/>
                  <a:lumOff val="80000"/>
                </a:schemeClr>
              </a:solidFill>
            </a:ln>
          </c:spPr>
        </c:majorGridlines>
        <c:numFmt formatCode="_(* #,##0.00_);_(* \(#,##0.00\);_(* &quot;-&quot;??_);_(@_)" sourceLinked="1"/>
        <c:majorTickMark val="out"/>
        <c:minorTickMark val="none"/>
        <c:tickLblPos val="nextTo"/>
        <c:crossAx val="147000320"/>
        <c:crosses val="autoZero"/>
        <c:crossBetween val="between"/>
        <c:majorUnit val="2.5"/>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600"/>
            </a:pPr>
            <a:r>
              <a:rPr lang="en-US" sz="1600"/>
              <a:t>Evolució conciliacions col·lectives</a:t>
            </a:r>
          </a:p>
        </c:rich>
      </c:tx>
      <c:overlay val="0"/>
    </c:title>
    <c:autoTitleDeleted val="0"/>
    <c:plotArea>
      <c:layout/>
      <c:barChart>
        <c:barDir val="col"/>
        <c:grouping val="clustered"/>
        <c:varyColors val="0"/>
        <c:ser>
          <c:idx val="0"/>
          <c:order val="0"/>
          <c:tx>
            <c:strRef>
              <c:f>'Conciliaciones  SMAC'!$B$2</c:f>
              <c:strCache>
                <c:ptCount val="1"/>
                <c:pt idx="0">
                  <c:v>Conflictes col·lectius</c:v>
                </c:pt>
              </c:strCache>
            </c:strRef>
          </c:tx>
          <c:invertIfNegative val="0"/>
          <c:dLbls>
            <c:txPr>
              <a:bodyPr/>
              <a:lstStyle/>
              <a:p>
                <a:pPr>
                  <a:defRPr b="1"/>
                </a:pPr>
                <a:endParaRPr lang="es-ES"/>
              </a:p>
            </c:txPr>
            <c:showLegendKey val="0"/>
            <c:showVal val="1"/>
            <c:showCatName val="0"/>
            <c:showSerName val="0"/>
            <c:showPercent val="0"/>
            <c:showBubbleSize val="0"/>
            <c:showLeaderLines val="0"/>
          </c:dLbls>
          <c:cat>
            <c:strRef>
              <c:f>'Conciliaciones  SMAC'!$A$3:$A$11</c:f>
              <c:strCache>
                <c:ptCount val="9"/>
                <c:pt idx="0">
                  <c:v>2011</c:v>
                </c:pt>
                <c:pt idx="1">
                  <c:v>2012</c:v>
                </c:pt>
                <c:pt idx="2">
                  <c:v>2013</c:v>
                </c:pt>
                <c:pt idx="3">
                  <c:v>2014</c:v>
                </c:pt>
                <c:pt idx="4">
                  <c:v>2015</c:v>
                </c:pt>
                <c:pt idx="5">
                  <c:v>2016</c:v>
                </c:pt>
                <c:pt idx="6">
                  <c:v>2017</c:v>
                </c:pt>
                <c:pt idx="7">
                  <c:v>Acumulat maig 18</c:v>
                </c:pt>
                <c:pt idx="8">
                  <c:v>Acumulat maig 17</c:v>
                </c:pt>
              </c:strCache>
            </c:strRef>
          </c:cat>
          <c:val>
            <c:numRef>
              <c:f>'Conciliaciones  SMAC'!$B$3:$B$11</c:f>
              <c:numCache>
                <c:formatCode>General</c:formatCode>
                <c:ptCount val="9"/>
                <c:pt idx="0">
                  <c:v>176</c:v>
                </c:pt>
                <c:pt idx="1">
                  <c:v>193</c:v>
                </c:pt>
                <c:pt idx="2">
                  <c:v>226</c:v>
                </c:pt>
                <c:pt idx="3">
                  <c:v>178</c:v>
                </c:pt>
                <c:pt idx="4">
                  <c:v>122</c:v>
                </c:pt>
                <c:pt idx="5">
                  <c:v>118</c:v>
                </c:pt>
                <c:pt idx="6">
                  <c:v>102</c:v>
                </c:pt>
                <c:pt idx="7">
                  <c:v>45</c:v>
                </c:pt>
                <c:pt idx="8">
                  <c:v>52</c:v>
                </c:pt>
              </c:numCache>
            </c:numRef>
          </c:val>
        </c:ser>
        <c:dLbls>
          <c:showLegendKey val="0"/>
          <c:showVal val="0"/>
          <c:showCatName val="0"/>
          <c:showSerName val="0"/>
          <c:showPercent val="0"/>
          <c:showBubbleSize val="0"/>
        </c:dLbls>
        <c:gapWidth val="46"/>
        <c:overlap val="-33"/>
        <c:axId val="169544320"/>
        <c:axId val="169546112"/>
      </c:barChart>
      <c:catAx>
        <c:axId val="169544320"/>
        <c:scaling>
          <c:orientation val="minMax"/>
        </c:scaling>
        <c:delete val="0"/>
        <c:axPos val="b"/>
        <c:numFmt formatCode="General" sourceLinked="1"/>
        <c:majorTickMark val="out"/>
        <c:minorTickMark val="none"/>
        <c:tickLblPos val="nextTo"/>
        <c:crossAx val="169546112"/>
        <c:crosses val="autoZero"/>
        <c:auto val="1"/>
        <c:lblAlgn val="ctr"/>
        <c:lblOffset val="100"/>
        <c:noMultiLvlLbl val="0"/>
      </c:catAx>
      <c:valAx>
        <c:axId val="169546112"/>
        <c:scaling>
          <c:orientation val="minMax"/>
        </c:scaling>
        <c:delete val="0"/>
        <c:axPos val="l"/>
        <c:numFmt formatCode="General" sourceLinked="1"/>
        <c:majorTickMark val="out"/>
        <c:minorTickMark val="none"/>
        <c:tickLblPos val="nextTo"/>
        <c:crossAx val="169544320"/>
        <c:crosses val="autoZero"/>
        <c:crossBetween val="between"/>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400">
                <a:latin typeface="Rotis Sans Serif Std" pitchFamily="34" charset="0"/>
              </a:defRPr>
            </a:pPr>
            <a:r>
              <a:rPr lang="es-ES" sz="1400">
                <a:latin typeface="Rotis Sans Serif Std" pitchFamily="34" charset="0"/>
              </a:rPr>
              <a:t>% d'empreses que apliquen mesures de flexibilitat interna. Catalunya </a:t>
            </a:r>
          </a:p>
          <a:p>
            <a:pPr>
              <a:defRPr sz="1400">
                <a:latin typeface="Rotis Sans Serif Std" pitchFamily="34" charset="0"/>
              </a:defRPr>
            </a:pPr>
            <a:endParaRPr lang="es-ES" sz="1400">
              <a:latin typeface="Rotis Sans Serif Std" pitchFamily="34" charset="0"/>
            </a:endParaRPr>
          </a:p>
        </c:rich>
      </c:tx>
      <c:overlay val="0"/>
    </c:title>
    <c:autoTitleDeleted val="0"/>
    <c:plotArea>
      <c:layout>
        <c:manualLayout>
          <c:layoutTarget val="inner"/>
          <c:xMode val="edge"/>
          <c:yMode val="edge"/>
          <c:x val="0.51053215223097115"/>
          <c:y val="0.35108814523184606"/>
          <c:w val="0.43032983377077871"/>
          <c:h val="0.52759222805482653"/>
        </c:manualLayout>
      </c:layout>
      <c:barChart>
        <c:barDir val="bar"/>
        <c:grouping val="clustered"/>
        <c:varyColors val="0"/>
        <c:ser>
          <c:idx val="0"/>
          <c:order val="0"/>
          <c:invertIfNegative val="0"/>
          <c:dLbls>
            <c:dLbl>
              <c:idx val="1"/>
              <c:spPr/>
              <c:txPr>
                <a:bodyPr/>
                <a:lstStyle/>
                <a:p>
                  <a:pPr>
                    <a:defRPr b="1">
                      <a:latin typeface="Rotis Sans Serif Std" pitchFamily="34" charset="0"/>
                    </a:defRPr>
                  </a:pPr>
                  <a:endParaRPr lang="es-ES"/>
                </a:p>
              </c:txPr>
              <c:showLegendKey val="0"/>
              <c:showVal val="1"/>
              <c:showCatName val="0"/>
              <c:showSerName val="0"/>
              <c:showPercent val="0"/>
              <c:showBubbleSize val="0"/>
            </c:dLbl>
            <c:dLbl>
              <c:idx val="2"/>
              <c:spPr/>
              <c:txPr>
                <a:bodyPr/>
                <a:lstStyle/>
                <a:p>
                  <a:pPr>
                    <a:defRPr b="1">
                      <a:latin typeface="Rotis Sans Serif Std" pitchFamily="34" charset="0"/>
                    </a:defRPr>
                  </a:pPr>
                  <a:endParaRPr lang="es-ES"/>
                </a:p>
              </c:txPr>
              <c:showLegendKey val="0"/>
              <c:showVal val="1"/>
              <c:showCatName val="0"/>
              <c:showSerName val="0"/>
              <c:showPercent val="0"/>
              <c:showBubbleSize val="0"/>
            </c:dLbl>
            <c:txPr>
              <a:bodyPr/>
              <a:lstStyle/>
              <a:p>
                <a:pPr>
                  <a:defRPr>
                    <a:latin typeface="Rotis Sans Serif Std" pitchFamily="34" charset="0"/>
                  </a:defRPr>
                </a:pPr>
                <a:endParaRPr lang="es-ES"/>
              </a:p>
            </c:txPr>
            <c:showLegendKey val="0"/>
            <c:showVal val="1"/>
            <c:showCatName val="0"/>
            <c:showSerName val="0"/>
            <c:showPercent val="0"/>
            <c:showBubbleSize val="0"/>
            <c:showLeaderLines val="0"/>
          </c:dLbls>
          <c:cat>
            <c:strRef>
              <c:f>Hoja1!$A$1:$A$5</c:f>
              <c:strCache>
                <c:ptCount val="5"/>
                <c:pt idx="0">
                  <c:v>Mobilitat geogràfica</c:v>
                </c:pt>
                <c:pt idx="1">
                  <c:v> Jornada laboral</c:v>
                </c:pt>
                <c:pt idx="2">
                  <c:v>Canvi de contracte segons tipus de jornada</c:v>
                </c:pt>
                <c:pt idx="3">
                  <c:v>Mobilitat funcional</c:v>
                </c:pt>
                <c:pt idx="4">
                  <c:v>Sistema de remuneració i quantia salarial</c:v>
                </c:pt>
              </c:strCache>
            </c:strRef>
          </c:cat>
          <c:val>
            <c:numRef>
              <c:f>Hoja1!$B$1:$B$5</c:f>
              <c:numCache>
                <c:formatCode>0.00%</c:formatCode>
                <c:ptCount val="5"/>
                <c:pt idx="0">
                  <c:v>1.7000000000000001E-2</c:v>
                </c:pt>
                <c:pt idx="1">
                  <c:v>0.124</c:v>
                </c:pt>
                <c:pt idx="2" formatCode="0.0%">
                  <c:v>0.16500000000000001</c:v>
                </c:pt>
                <c:pt idx="3">
                  <c:v>2.5000000000000001E-2</c:v>
                </c:pt>
                <c:pt idx="4">
                  <c:v>3.9E-2</c:v>
                </c:pt>
              </c:numCache>
            </c:numRef>
          </c:val>
        </c:ser>
        <c:dLbls>
          <c:showLegendKey val="0"/>
          <c:showVal val="0"/>
          <c:showCatName val="0"/>
          <c:showSerName val="0"/>
          <c:showPercent val="0"/>
          <c:showBubbleSize val="0"/>
        </c:dLbls>
        <c:gapWidth val="150"/>
        <c:axId val="169571456"/>
        <c:axId val="169572992"/>
      </c:barChart>
      <c:catAx>
        <c:axId val="169571456"/>
        <c:scaling>
          <c:orientation val="minMax"/>
        </c:scaling>
        <c:delete val="0"/>
        <c:axPos val="l"/>
        <c:majorTickMark val="none"/>
        <c:minorTickMark val="none"/>
        <c:tickLblPos val="nextTo"/>
        <c:spPr>
          <a:ln>
            <a:solidFill>
              <a:srgbClr val="C00000"/>
            </a:solidFill>
          </a:ln>
        </c:spPr>
        <c:txPr>
          <a:bodyPr/>
          <a:lstStyle/>
          <a:p>
            <a:pPr>
              <a:defRPr>
                <a:latin typeface="Rotis Sans Serif Std" pitchFamily="34" charset="0"/>
              </a:defRPr>
            </a:pPr>
            <a:endParaRPr lang="es-ES"/>
          </a:p>
        </c:txPr>
        <c:crossAx val="169572992"/>
        <c:crosses val="autoZero"/>
        <c:auto val="1"/>
        <c:lblAlgn val="ctr"/>
        <c:lblOffset val="100"/>
        <c:noMultiLvlLbl val="0"/>
      </c:catAx>
      <c:valAx>
        <c:axId val="169572992"/>
        <c:scaling>
          <c:orientation val="minMax"/>
        </c:scaling>
        <c:delete val="1"/>
        <c:axPos val="b"/>
        <c:numFmt formatCode="0.00%" sourceLinked="1"/>
        <c:majorTickMark val="out"/>
        <c:minorTickMark val="none"/>
        <c:tickLblPos val="nextTo"/>
        <c:crossAx val="169571456"/>
        <c:crosses val="autoZero"/>
        <c:crossBetween val="between"/>
      </c:valAx>
    </c:plotArea>
    <c:plotVisOnly val="1"/>
    <c:dispBlanksAs val="gap"/>
    <c:showDLblsOverMax val="0"/>
  </c:chart>
  <c:spPr>
    <a:ln>
      <a:solidFill>
        <a:srgbClr val="C00000"/>
      </a:solidFill>
    </a:ln>
  </c:sp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latin typeface="Rotis Sans Serif Std" pitchFamily="34" charset="0"/>
              </a:defRPr>
            </a:pPr>
            <a:r>
              <a:rPr lang="es-ES">
                <a:latin typeface="Rotis Sans Serif Std" pitchFamily="34" charset="0"/>
              </a:rPr>
              <a:t>Jornada laboral. Mesures</a:t>
            </a:r>
            <a:r>
              <a:rPr lang="es-ES" baseline="0">
                <a:latin typeface="Rotis Sans Serif Std" pitchFamily="34" charset="0"/>
              </a:rPr>
              <a:t> de flexibilitat interna. Catalunya</a:t>
            </a:r>
            <a:endParaRPr lang="es-ES">
              <a:latin typeface="Rotis Sans Serif Std" pitchFamily="34" charset="0"/>
            </a:endParaRPr>
          </a:p>
        </c:rich>
      </c:tx>
      <c:overlay val="0"/>
    </c:title>
    <c:autoTitleDeleted val="0"/>
    <c:plotArea>
      <c:layout/>
      <c:barChart>
        <c:barDir val="col"/>
        <c:grouping val="clustered"/>
        <c:varyColors val="0"/>
        <c:ser>
          <c:idx val="0"/>
          <c:order val="0"/>
          <c:invertIfNegative val="0"/>
          <c:dLbls>
            <c:txPr>
              <a:bodyPr/>
              <a:lstStyle/>
              <a:p>
                <a:pPr>
                  <a:defRPr>
                    <a:latin typeface="Rotis Sans Serif Std" pitchFamily="34" charset="0"/>
                  </a:defRPr>
                </a:pPr>
                <a:endParaRPr lang="es-ES"/>
              </a:p>
            </c:txPr>
            <c:dLblPos val="inEnd"/>
            <c:showLegendKey val="0"/>
            <c:showVal val="1"/>
            <c:showCatName val="0"/>
            <c:showSerName val="0"/>
            <c:showPercent val="0"/>
            <c:showBubbleSize val="0"/>
            <c:showLeaderLines val="0"/>
          </c:dLbls>
          <c:cat>
            <c:strRef>
              <c:f>Hoja3!$A$2:$A$6</c:f>
              <c:strCache>
                <c:ptCount val="5"/>
                <c:pt idx="0">
                  <c:v>ERO Reducció jornada</c:v>
                </c:pt>
                <c:pt idx="1">
                  <c:v>ERO Suspensió del contracte de treball</c:v>
                </c:pt>
                <c:pt idx="2">
                  <c:v>Ampliació de jornada</c:v>
                </c:pt>
                <c:pt idx="3">
                  <c:v>Introducció o modificació de la distribució irregular</c:v>
                </c:pt>
                <c:pt idx="4">
                  <c:v>Altres mesures de flexibilitat de la jornada</c:v>
                </c:pt>
              </c:strCache>
            </c:strRef>
          </c:cat>
          <c:val>
            <c:numRef>
              <c:f>Hoja3!$B$2:$B$6</c:f>
              <c:numCache>
                <c:formatCode>0.00%</c:formatCode>
                <c:ptCount val="5"/>
                <c:pt idx="0">
                  <c:v>8.8800000000000004E-2</c:v>
                </c:pt>
                <c:pt idx="1">
                  <c:v>1.61E-2</c:v>
                </c:pt>
                <c:pt idx="2">
                  <c:v>0.38719999999999999</c:v>
                </c:pt>
                <c:pt idx="3" formatCode="0%">
                  <c:v>0.17</c:v>
                </c:pt>
                <c:pt idx="4" formatCode="0%">
                  <c:v>0.54</c:v>
                </c:pt>
              </c:numCache>
            </c:numRef>
          </c:val>
        </c:ser>
        <c:dLbls>
          <c:showLegendKey val="0"/>
          <c:showVal val="0"/>
          <c:showCatName val="0"/>
          <c:showSerName val="0"/>
          <c:showPercent val="0"/>
          <c:showBubbleSize val="0"/>
        </c:dLbls>
        <c:gapWidth val="75"/>
        <c:overlap val="40"/>
        <c:axId val="169593472"/>
        <c:axId val="170017152"/>
      </c:barChart>
      <c:catAx>
        <c:axId val="169593472"/>
        <c:scaling>
          <c:orientation val="minMax"/>
        </c:scaling>
        <c:delete val="0"/>
        <c:axPos val="b"/>
        <c:majorTickMark val="none"/>
        <c:minorTickMark val="none"/>
        <c:tickLblPos val="nextTo"/>
        <c:txPr>
          <a:bodyPr/>
          <a:lstStyle/>
          <a:p>
            <a:pPr>
              <a:defRPr>
                <a:latin typeface="Rotis Sans Serif Std" pitchFamily="34" charset="0"/>
              </a:defRPr>
            </a:pPr>
            <a:endParaRPr lang="es-ES"/>
          </a:p>
        </c:txPr>
        <c:crossAx val="170017152"/>
        <c:crosses val="autoZero"/>
        <c:auto val="1"/>
        <c:lblAlgn val="ctr"/>
        <c:lblOffset val="100"/>
        <c:noMultiLvlLbl val="0"/>
      </c:catAx>
      <c:valAx>
        <c:axId val="170017152"/>
        <c:scaling>
          <c:orientation val="minMax"/>
        </c:scaling>
        <c:delete val="1"/>
        <c:axPos val="l"/>
        <c:numFmt formatCode="0.00%" sourceLinked="1"/>
        <c:majorTickMark val="none"/>
        <c:minorTickMark val="none"/>
        <c:tickLblPos val="nextTo"/>
        <c:crossAx val="169593472"/>
        <c:crosses val="autoZero"/>
        <c:crossBetween val="between"/>
      </c:valAx>
    </c:plotArea>
    <c:plotVisOnly val="1"/>
    <c:dispBlanksAs val="gap"/>
    <c:showDLblsOverMax val="0"/>
  </c:chart>
  <c:spPr>
    <a:ln>
      <a:solidFill>
        <a:srgbClr val="C00000"/>
      </a:solidFill>
    </a:ln>
  </c:sp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latin typeface="Rotis Sans Serif Std" pitchFamily="34" charset="0"/>
              </a:defRPr>
            </a:pPr>
            <a:r>
              <a:rPr lang="es-ES">
                <a:latin typeface="Rotis Sans Serif Std" pitchFamily="34" charset="0"/>
              </a:rPr>
              <a:t>Participació i durada mitjana de les activitats diàries detallades</a:t>
            </a:r>
          </a:p>
        </c:rich>
      </c:tx>
      <c:overlay val="0"/>
    </c:title>
    <c:autoTitleDeleted val="0"/>
    <c:plotArea>
      <c:layout>
        <c:manualLayout>
          <c:layoutTarget val="inner"/>
          <c:xMode val="edge"/>
          <c:yMode val="edge"/>
          <c:x val="1.8949181739879414E-2"/>
          <c:y val="0.20493327516118531"/>
          <c:w val="0.96189333365786778"/>
          <c:h val="0.48130416415626148"/>
        </c:manualLayout>
      </c:layout>
      <c:barChart>
        <c:barDir val="col"/>
        <c:grouping val="clustered"/>
        <c:varyColors val="0"/>
        <c:ser>
          <c:idx val="0"/>
          <c:order val="0"/>
          <c:tx>
            <c:strRef>
              <c:f>'t949'!$B$1:$B$7</c:f>
              <c:strCache>
                <c:ptCount val="1"/>
                <c:pt idx="0">
                  <c:v>Homes</c:v>
                </c:pt>
              </c:strCache>
            </c:strRef>
          </c:tx>
          <c:invertIfNegative val="0"/>
          <c:dLbls>
            <c:txPr>
              <a:bodyPr rot="-5400000" vert="horz"/>
              <a:lstStyle/>
              <a:p>
                <a:pPr>
                  <a:defRPr>
                    <a:latin typeface="Rotis Sans Serif Std" pitchFamily="34" charset="0"/>
                  </a:defRPr>
                </a:pPr>
                <a:endParaRPr lang="es-ES"/>
              </a:p>
            </c:txPr>
            <c:dLblPos val="outEnd"/>
            <c:showLegendKey val="0"/>
            <c:showVal val="1"/>
            <c:showCatName val="0"/>
            <c:showSerName val="0"/>
            <c:showPercent val="0"/>
            <c:showBubbleSize val="0"/>
            <c:showLeaderLines val="0"/>
          </c:dLbls>
          <c:cat>
            <c:strRef>
              <c:f>'t949'!$A$8:$A$17</c:f>
              <c:strCache>
                <c:ptCount val="10"/>
                <c:pt idx="0">
                  <c:v>Cures personals</c:v>
                </c:pt>
                <c:pt idx="1">
                  <c:v>Treball remunerat</c:v>
                </c:pt>
                <c:pt idx="2">
                  <c:v>Estudis</c:v>
                </c:pt>
                <c:pt idx="3">
                  <c:v>Llar i família</c:v>
                </c:pt>
                <c:pt idx="4">
                  <c:v>Treballs voluntaris i reunions</c:v>
                </c:pt>
                <c:pt idx="5">
                  <c:v>Vida social i diversió</c:v>
                </c:pt>
                <c:pt idx="6">
                  <c:v>Esports i activitats a l'aire lliure</c:v>
                </c:pt>
                <c:pt idx="7">
                  <c:v>Aficions i informàtica</c:v>
                </c:pt>
                <c:pt idx="8">
                  <c:v>Mitjans de comunicació</c:v>
                </c:pt>
                <c:pt idx="9">
                  <c:v>Trajectes i ús del temps no especificat</c:v>
                </c:pt>
              </c:strCache>
            </c:strRef>
          </c:cat>
          <c:val>
            <c:numRef>
              <c:f>'t949'!$B$8:$B$17</c:f>
              <c:numCache>
                <c:formatCode>h:mm</c:formatCode>
                <c:ptCount val="10"/>
                <c:pt idx="0">
                  <c:v>0.48055555555555557</c:v>
                </c:pt>
                <c:pt idx="1">
                  <c:v>0.32708333333333334</c:v>
                </c:pt>
                <c:pt idx="2">
                  <c:v>0.20902777777777778</c:v>
                </c:pt>
                <c:pt idx="3">
                  <c:v>0.1076388888888889</c:v>
                </c:pt>
                <c:pt idx="4">
                  <c:v>7.9861111111111105E-2</c:v>
                </c:pt>
                <c:pt idx="5">
                  <c:v>7.9861111111111105E-2</c:v>
                </c:pt>
                <c:pt idx="6">
                  <c:v>8.6805555555555566E-2</c:v>
                </c:pt>
                <c:pt idx="7">
                  <c:v>8.4722222222222213E-2</c:v>
                </c:pt>
                <c:pt idx="8">
                  <c:v>0.11388888888888889</c:v>
                </c:pt>
                <c:pt idx="9">
                  <c:v>6.3888888888888884E-2</c:v>
                </c:pt>
              </c:numCache>
            </c:numRef>
          </c:val>
        </c:ser>
        <c:ser>
          <c:idx val="1"/>
          <c:order val="1"/>
          <c:tx>
            <c:strRef>
              <c:f>'t949'!$C$1:$C$7</c:f>
              <c:strCache>
                <c:ptCount val="1"/>
                <c:pt idx="0">
                  <c:v>Dones</c:v>
                </c:pt>
              </c:strCache>
            </c:strRef>
          </c:tx>
          <c:invertIfNegative val="0"/>
          <c:dLbls>
            <c:txPr>
              <a:bodyPr rot="-5400000" vert="horz"/>
              <a:lstStyle/>
              <a:p>
                <a:pPr>
                  <a:defRPr>
                    <a:latin typeface="Rotis Sans Serif Std" pitchFamily="34" charset="0"/>
                  </a:defRPr>
                </a:pPr>
                <a:endParaRPr lang="es-ES"/>
              </a:p>
            </c:txPr>
            <c:showLegendKey val="0"/>
            <c:showVal val="1"/>
            <c:showCatName val="0"/>
            <c:showSerName val="0"/>
            <c:showPercent val="0"/>
            <c:showBubbleSize val="0"/>
            <c:showLeaderLines val="0"/>
          </c:dLbls>
          <c:cat>
            <c:strRef>
              <c:f>'t949'!$A$8:$A$17</c:f>
              <c:strCache>
                <c:ptCount val="10"/>
                <c:pt idx="0">
                  <c:v>Cures personals</c:v>
                </c:pt>
                <c:pt idx="1">
                  <c:v>Treball remunerat</c:v>
                </c:pt>
                <c:pt idx="2">
                  <c:v>Estudis</c:v>
                </c:pt>
                <c:pt idx="3">
                  <c:v>Llar i família</c:v>
                </c:pt>
                <c:pt idx="4">
                  <c:v>Treballs voluntaris i reunions</c:v>
                </c:pt>
                <c:pt idx="5">
                  <c:v>Vida social i diversió</c:v>
                </c:pt>
                <c:pt idx="6">
                  <c:v>Esports i activitats a l'aire lliure</c:v>
                </c:pt>
                <c:pt idx="7">
                  <c:v>Aficions i informàtica</c:v>
                </c:pt>
                <c:pt idx="8">
                  <c:v>Mitjans de comunicació</c:v>
                </c:pt>
                <c:pt idx="9">
                  <c:v>Trajectes i ús del temps no especificat</c:v>
                </c:pt>
              </c:strCache>
            </c:strRef>
          </c:cat>
          <c:val>
            <c:numRef>
              <c:f>'t949'!$C$8:$C$17</c:f>
              <c:numCache>
                <c:formatCode>h:mm</c:formatCode>
                <c:ptCount val="10"/>
                <c:pt idx="0">
                  <c:v>0.48194444444444445</c:v>
                </c:pt>
                <c:pt idx="1">
                  <c:v>0.28472222222222221</c:v>
                </c:pt>
                <c:pt idx="2">
                  <c:v>0.19513888888888889</c:v>
                </c:pt>
                <c:pt idx="3">
                  <c:v>0.1763888888888889</c:v>
                </c:pt>
                <c:pt idx="4">
                  <c:v>7.9166666666666663E-2</c:v>
                </c:pt>
                <c:pt idx="5">
                  <c:v>8.0555555555555561E-2</c:v>
                </c:pt>
                <c:pt idx="6">
                  <c:v>7.4305555555555555E-2</c:v>
                </c:pt>
                <c:pt idx="7">
                  <c:v>6.6666666666666666E-2</c:v>
                </c:pt>
                <c:pt idx="8">
                  <c:v>0.10416666666666667</c:v>
                </c:pt>
                <c:pt idx="9">
                  <c:v>6.25E-2</c:v>
                </c:pt>
              </c:numCache>
            </c:numRef>
          </c:val>
        </c:ser>
        <c:ser>
          <c:idx val="2"/>
          <c:order val="2"/>
          <c:tx>
            <c:strRef>
              <c:f>'t949'!$D$1:$D$7</c:f>
              <c:strCache>
                <c:ptCount val="1"/>
                <c:pt idx="0">
                  <c:v>Total</c:v>
                </c:pt>
              </c:strCache>
            </c:strRef>
          </c:tx>
          <c:invertIfNegative val="0"/>
          <c:dLbls>
            <c:txPr>
              <a:bodyPr rot="-5400000" vert="horz"/>
              <a:lstStyle/>
              <a:p>
                <a:pPr>
                  <a:defRPr b="1">
                    <a:latin typeface="Rotis Sans Serif Std" pitchFamily="34" charset="0"/>
                  </a:defRPr>
                </a:pPr>
                <a:endParaRPr lang="es-ES"/>
              </a:p>
            </c:txPr>
            <c:showLegendKey val="0"/>
            <c:showVal val="1"/>
            <c:showCatName val="0"/>
            <c:showSerName val="0"/>
            <c:showPercent val="0"/>
            <c:showBubbleSize val="0"/>
            <c:showLeaderLines val="0"/>
          </c:dLbls>
          <c:cat>
            <c:strRef>
              <c:f>'t949'!$A$8:$A$17</c:f>
              <c:strCache>
                <c:ptCount val="10"/>
                <c:pt idx="0">
                  <c:v>Cures personals</c:v>
                </c:pt>
                <c:pt idx="1">
                  <c:v>Treball remunerat</c:v>
                </c:pt>
                <c:pt idx="2">
                  <c:v>Estudis</c:v>
                </c:pt>
                <c:pt idx="3">
                  <c:v>Llar i família</c:v>
                </c:pt>
                <c:pt idx="4">
                  <c:v>Treballs voluntaris i reunions</c:v>
                </c:pt>
                <c:pt idx="5">
                  <c:v>Vida social i diversió</c:v>
                </c:pt>
                <c:pt idx="6">
                  <c:v>Esports i activitats a l'aire lliure</c:v>
                </c:pt>
                <c:pt idx="7">
                  <c:v>Aficions i informàtica</c:v>
                </c:pt>
                <c:pt idx="8">
                  <c:v>Mitjans de comunicació</c:v>
                </c:pt>
                <c:pt idx="9">
                  <c:v>Trajectes i ús del temps no especificat</c:v>
                </c:pt>
              </c:strCache>
            </c:strRef>
          </c:cat>
          <c:val>
            <c:numRef>
              <c:f>'t949'!$D$8:$D$17</c:f>
              <c:numCache>
                <c:formatCode>h:mm</c:formatCode>
                <c:ptCount val="10"/>
                <c:pt idx="0">
                  <c:v>0.48125000000000001</c:v>
                </c:pt>
                <c:pt idx="1">
                  <c:v>0.30833333333333335</c:v>
                </c:pt>
                <c:pt idx="2">
                  <c:v>0.20208333333333331</c:v>
                </c:pt>
                <c:pt idx="3">
                  <c:v>0.1451388888888889</c:v>
                </c:pt>
                <c:pt idx="4">
                  <c:v>7.9166666666666663E-2</c:v>
                </c:pt>
                <c:pt idx="5">
                  <c:v>8.0555555555555561E-2</c:v>
                </c:pt>
                <c:pt idx="6">
                  <c:v>8.0555555555555561E-2</c:v>
                </c:pt>
                <c:pt idx="7">
                  <c:v>7.7083333333333337E-2</c:v>
                </c:pt>
                <c:pt idx="8">
                  <c:v>0.10902777777777778</c:v>
                </c:pt>
                <c:pt idx="9">
                  <c:v>6.3194444444444442E-2</c:v>
                </c:pt>
              </c:numCache>
            </c:numRef>
          </c:val>
        </c:ser>
        <c:dLbls>
          <c:showLegendKey val="0"/>
          <c:showVal val="0"/>
          <c:showCatName val="0"/>
          <c:showSerName val="0"/>
          <c:showPercent val="0"/>
          <c:showBubbleSize val="0"/>
        </c:dLbls>
        <c:gapWidth val="47"/>
        <c:overlap val="5"/>
        <c:axId val="170048128"/>
        <c:axId val="170058112"/>
      </c:barChart>
      <c:catAx>
        <c:axId val="170048128"/>
        <c:scaling>
          <c:orientation val="minMax"/>
        </c:scaling>
        <c:delete val="0"/>
        <c:axPos val="b"/>
        <c:majorTickMark val="none"/>
        <c:minorTickMark val="none"/>
        <c:tickLblPos val="nextTo"/>
        <c:txPr>
          <a:bodyPr rot="-5400000" vert="horz"/>
          <a:lstStyle/>
          <a:p>
            <a:pPr>
              <a:defRPr sz="900">
                <a:latin typeface="Rotis Sans Serif Std" pitchFamily="34" charset="0"/>
              </a:defRPr>
            </a:pPr>
            <a:endParaRPr lang="es-ES"/>
          </a:p>
        </c:txPr>
        <c:crossAx val="170058112"/>
        <c:crosses val="autoZero"/>
        <c:auto val="1"/>
        <c:lblAlgn val="ctr"/>
        <c:lblOffset val="100"/>
        <c:noMultiLvlLbl val="0"/>
      </c:catAx>
      <c:valAx>
        <c:axId val="170058112"/>
        <c:scaling>
          <c:orientation val="minMax"/>
        </c:scaling>
        <c:delete val="1"/>
        <c:axPos val="l"/>
        <c:numFmt formatCode="h:mm" sourceLinked="1"/>
        <c:majorTickMark val="none"/>
        <c:minorTickMark val="none"/>
        <c:tickLblPos val="nextTo"/>
        <c:crossAx val="170048128"/>
        <c:crosses val="autoZero"/>
        <c:crossBetween val="between"/>
      </c:valAx>
    </c:plotArea>
    <c:legend>
      <c:legendPos val="r"/>
      <c:layout>
        <c:manualLayout>
          <c:xMode val="edge"/>
          <c:yMode val="edge"/>
          <c:x val="0.85056009869304372"/>
          <c:y val="0.25588269997718815"/>
          <c:w val="0.10841490680929293"/>
          <c:h val="0.23715376345100111"/>
        </c:manualLayout>
      </c:layout>
      <c:overlay val="0"/>
      <c:txPr>
        <a:bodyPr/>
        <a:lstStyle/>
        <a:p>
          <a:pPr>
            <a:defRPr>
              <a:latin typeface="Rotis Sans Serif Std" pitchFamily="34" charset="0"/>
            </a:defRPr>
          </a:pPr>
          <a:endParaRPr lang="es-ES"/>
        </a:p>
      </c:txPr>
    </c:legend>
    <c:plotVisOnly val="1"/>
    <c:dispBlanksAs val="gap"/>
    <c:showDLblsOverMax val="0"/>
  </c:chart>
  <c:spPr>
    <a:ln>
      <a:solidFill>
        <a:srgbClr val="C00000"/>
      </a:solidFill>
    </a:ln>
  </c:sp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latin typeface="Rotis Sans Serif Std" pitchFamily="34" charset="0"/>
              </a:defRPr>
            </a:pPr>
            <a:r>
              <a:rPr lang="es-ES" sz="1400" b="1" i="0" u="none" strike="noStrike" baseline="0" smtClean="0">
                <a:latin typeface="Rotis Sans Serif Std" pitchFamily="34" charset="0"/>
              </a:rPr>
              <a:t>En quina mesura s'adapta l'horari laboral als compromisos socials i familiars fora del treball?</a:t>
            </a:r>
            <a:endParaRPr lang="es-ES" sz="1400">
              <a:latin typeface="Rotis Sans Serif Std" pitchFamily="34" charset="0"/>
            </a:endParaRPr>
          </a:p>
        </c:rich>
      </c:tx>
      <c:overlay val="0"/>
    </c:title>
    <c:autoTitleDeleted val="0"/>
    <c:plotArea>
      <c:layout/>
      <c:pieChart>
        <c:varyColors val="1"/>
        <c:ser>
          <c:idx val="0"/>
          <c:order val="0"/>
          <c:dLbls>
            <c:dLbl>
              <c:idx val="0"/>
              <c:tx>
                <c:rich>
                  <a:bodyPr/>
                  <a:lstStyle/>
                  <a:p>
                    <a:r>
                      <a:rPr lang="en-US">
                        <a:latin typeface="Rotis Sans Serif Std" pitchFamily="34" charset="0"/>
                      </a:rPr>
                      <a:t>23,7%</a:t>
                    </a:r>
                    <a:endParaRPr lang="en-US"/>
                  </a:p>
                </c:rich>
              </c:tx>
              <c:showLegendKey val="0"/>
              <c:showVal val="1"/>
              <c:showCatName val="0"/>
              <c:showSerName val="0"/>
              <c:showPercent val="1"/>
              <c:showBubbleSize val="0"/>
            </c:dLbl>
            <c:dLbl>
              <c:idx val="1"/>
              <c:tx>
                <c:rich>
                  <a:bodyPr/>
                  <a:lstStyle/>
                  <a:p>
                    <a:r>
                      <a:rPr lang="en-US">
                        <a:latin typeface="Rotis Sans Serif Std" pitchFamily="34" charset="0"/>
                      </a:rPr>
                      <a:t>51,6%</a:t>
                    </a:r>
                    <a:endParaRPr lang="en-US"/>
                  </a:p>
                </c:rich>
              </c:tx>
              <c:showLegendKey val="0"/>
              <c:showVal val="1"/>
              <c:showCatName val="0"/>
              <c:showSerName val="0"/>
              <c:showPercent val="1"/>
              <c:showBubbleSize val="0"/>
            </c:dLbl>
            <c:dLbl>
              <c:idx val="2"/>
              <c:tx>
                <c:rich>
                  <a:bodyPr/>
                  <a:lstStyle/>
                  <a:p>
                    <a:r>
                      <a:rPr lang="en-US">
                        <a:latin typeface="Rotis Sans Serif Std" pitchFamily="34" charset="0"/>
                      </a:rPr>
                      <a:t>16,7%</a:t>
                    </a:r>
                    <a:endParaRPr lang="en-US"/>
                  </a:p>
                </c:rich>
              </c:tx>
              <c:showLegendKey val="0"/>
              <c:showVal val="1"/>
              <c:showCatName val="0"/>
              <c:showSerName val="0"/>
              <c:showPercent val="1"/>
              <c:showBubbleSize val="0"/>
            </c:dLbl>
            <c:dLbl>
              <c:idx val="3"/>
              <c:tx>
                <c:rich>
                  <a:bodyPr/>
                  <a:lstStyle/>
                  <a:p>
                    <a:r>
                      <a:rPr lang="en-US">
                        <a:latin typeface="Rotis Sans Serif Std" pitchFamily="34" charset="0"/>
                      </a:rPr>
                      <a:t>7,9%</a:t>
                    </a:r>
                    <a:endParaRPr lang="en-US"/>
                  </a:p>
                </c:rich>
              </c:tx>
              <c:showLegendKey val="0"/>
              <c:showVal val="1"/>
              <c:showCatName val="0"/>
              <c:showSerName val="0"/>
              <c:showPercent val="1"/>
              <c:showBubbleSize val="0"/>
            </c:dLbl>
            <c:dLbl>
              <c:idx val="4"/>
              <c:tx>
                <c:rich>
                  <a:bodyPr/>
                  <a:lstStyle/>
                  <a:p>
                    <a:r>
                      <a:rPr lang="en-US">
                        <a:latin typeface="Rotis Sans Serif Std" pitchFamily="34" charset="0"/>
                      </a:rPr>
                      <a:t>0,1%</a:t>
                    </a:r>
                    <a:endParaRPr lang="en-US"/>
                  </a:p>
                </c:rich>
              </c:tx>
              <c:showLegendKey val="0"/>
              <c:showVal val="1"/>
              <c:showCatName val="0"/>
              <c:showSerName val="0"/>
              <c:showPercent val="1"/>
              <c:showBubbleSize val="0"/>
            </c:dLbl>
            <c:dLbl>
              <c:idx val="5"/>
              <c:tx>
                <c:rich>
                  <a:bodyPr/>
                  <a:lstStyle/>
                  <a:p>
                    <a:r>
                      <a:rPr lang="en-US">
                        <a:latin typeface="Rotis Sans Serif Std" pitchFamily="34" charset="0"/>
                      </a:rPr>
                      <a:t> 0%</a:t>
                    </a:r>
                    <a:endParaRPr lang="en-US"/>
                  </a:p>
                </c:rich>
              </c:tx>
              <c:showLegendKey val="0"/>
              <c:showVal val="1"/>
              <c:showCatName val="0"/>
              <c:showSerName val="0"/>
              <c:showPercent val="1"/>
              <c:showBubbleSize val="0"/>
            </c:dLbl>
            <c:txPr>
              <a:bodyPr/>
              <a:lstStyle/>
              <a:p>
                <a:pPr>
                  <a:defRPr>
                    <a:latin typeface="Rotis Sans Serif Std" pitchFamily="34" charset="0"/>
                  </a:defRPr>
                </a:pPr>
                <a:endParaRPr lang="es-ES"/>
              </a:p>
            </c:txPr>
            <c:showLegendKey val="0"/>
            <c:showVal val="1"/>
            <c:showCatName val="0"/>
            <c:showSerName val="0"/>
            <c:showPercent val="1"/>
            <c:showBubbleSize val="0"/>
            <c:showLeaderLines val="1"/>
          </c:dLbls>
          <c:cat>
            <c:strRef>
              <c:f>Hoja2!$A$1:$A$6</c:f>
              <c:strCache>
                <c:ptCount val="6"/>
                <c:pt idx="0">
                  <c:v>Molt bé</c:v>
                </c:pt>
                <c:pt idx="1">
                  <c:v>Bé</c:v>
                </c:pt>
                <c:pt idx="2">
                  <c:v>No gaire bé</c:v>
                </c:pt>
                <c:pt idx="3">
                  <c:v>Gens bé</c:v>
                </c:pt>
                <c:pt idx="4">
                  <c:v>No sap</c:v>
                </c:pt>
                <c:pt idx="5">
                  <c:v>No respon </c:v>
                </c:pt>
              </c:strCache>
            </c:strRef>
          </c:cat>
          <c:val>
            <c:numRef>
              <c:f>Hoja2!$B$1:$B$6</c:f>
              <c:numCache>
                <c:formatCode>General</c:formatCode>
                <c:ptCount val="6"/>
                <c:pt idx="0">
                  <c:v>23.7</c:v>
                </c:pt>
                <c:pt idx="1">
                  <c:v>51.6</c:v>
                </c:pt>
                <c:pt idx="2">
                  <c:v>16.7</c:v>
                </c:pt>
                <c:pt idx="3">
                  <c:v>7.9</c:v>
                </c:pt>
                <c:pt idx="4">
                  <c:v>0.1</c:v>
                </c:pt>
                <c:pt idx="5">
                  <c:v>0</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a:latin typeface="Rotis Sans Serif Std" pitchFamily="34" charset="0"/>
            </a:defRPr>
          </a:pPr>
          <a:endParaRPr lang="es-ES"/>
        </a:p>
      </c:txPr>
    </c:legend>
    <c:plotVisOnly val="1"/>
    <c:dispBlanksAs val="gap"/>
    <c:showDLblsOverMax val="0"/>
  </c:chart>
  <c:spPr>
    <a:ln>
      <a:solidFill>
        <a:srgbClr val="C00000"/>
      </a:solidFill>
    </a:ln>
  </c:sp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400"/>
            </a:pPr>
            <a:r>
              <a:rPr lang="en-US" sz="1400"/>
              <a:t>Hores no treballades 2017</a:t>
            </a:r>
          </a:p>
        </c:rich>
      </c:tx>
      <c:layout>
        <c:manualLayout>
          <c:xMode val="edge"/>
          <c:yMode val="edge"/>
          <c:x val="0.24286524822695035"/>
          <c:y val="3.7429819089207735E-2"/>
        </c:manualLayout>
      </c:layout>
      <c:overlay val="0"/>
    </c:title>
    <c:autoTitleDeleted val="0"/>
    <c:plotArea>
      <c:layout>
        <c:manualLayout>
          <c:layoutTarget val="inner"/>
          <c:xMode val="edge"/>
          <c:yMode val="edge"/>
          <c:x val="0.51006073114129424"/>
          <c:y val="0.29108119127030518"/>
          <c:w val="0.30918121405037136"/>
          <c:h val="0.67989006832661203"/>
        </c:manualLayout>
      </c:layout>
      <c:pieChart>
        <c:varyColors val="1"/>
        <c:ser>
          <c:idx val="0"/>
          <c:order val="0"/>
          <c:dLbls>
            <c:dLbl>
              <c:idx val="2"/>
              <c:layout/>
              <c:tx>
                <c:rich>
                  <a:bodyPr/>
                  <a:lstStyle/>
                  <a:p>
                    <a:r>
                      <a:rPr lang="en-US"/>
                      <a:t>0,43%</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'España- horas no trabajadas '!$A$25:$F$27</c:f>
              <c:strCache>
                <c:ptCount val="3"/>
                <c:pt idx="0">
                  <c:v>Temps pactat que no es treballa i es retribueix, amb justificació</c:v>
                </c:pt>
                <c:pt idx="1">
                  <c:v>Temps pactat que no es treballa i no es retribueix</c:v>
                </c:pt>
                <c:pt idx="2">
                  <c:v>Temps pactat que no es treballa i es retribueix, sense justificació </c:v>
                </c:pt>
              </c:strCache>
            </c:strRef>
          </c:cat>
          <c:val>
            <c:numRef>
              <c:f>'España- horas no trabajadas '!$G$25:$G$27</c:f>
              <c:numCache>
                <c:formatCode>0.0%</c:formatCode>
                <c:ptCount val="3"/>
                <c:pt idx="0" formatCode="0%">
                  <c:v>0.71699999999999997</c:v>
                </c:pt>
                <c:pt idx="1">
                  <c:v>0.27</c:v>
                </c:pt>
                <c:pt idx="2" formatCode="0.00%">
                  <c:v>1.29E-2</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5.7051399825021873E-2"/>
          <c:y val="0.2552483468017937"/>
          <c:w val="0.36036943911422836"/>
          <c:h val="0.62806741610563532"/>
        </c:manualLayout>
      </c:layout>
      <c:overlay val="0"/>
      <c:txPr>
        <a:bodyPr/>
        <a:lstStyle/>
        <a:p>
          <a:pPr>
            <a:defRPr sz="900"/>
          </a:pPr>
          <a:endParaRPr lang="es-ES"/>
        </a:p>
      </c:txPr>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600"/>
            </a:pPr>
            <a:r>
              <a:rPr lang="es-ES" sz="1600"/>
              <a:t>Temps de treball </a:t>
            </a:r>
          </a:p>
        </c:rich>
      </c:tx>
      <c:overlay val="1"/>
    </c:title>
    <c:autoTitleDeleted val="0"/>
    <c:plotArea>
      <c:layout>
        <c:manualLayout>
          <c:layoutTarget val="inner"/>
          <c:xMode val="edge"/>
          <c:yMode val="edge"/>
          <c:x val="5.323009920154851E-2"/>
          <c:y val="0.14571948998178508"/>
          <c:w val="0.8790584234813944"/>
          <c:h val="0.706079202219973"/>
        </c:manualLayout>
      </c:layout>
      <c:barChart>
        <c:barDir val="col"/>
        <c:grouping val="clustered"/>
        <c:varyColors val="0"/>
        <c:ser>
          <c:idx val="0"/>
          <c:order val="0"/>
          <c:invertIfNegative val="0"/>
          <c:dLbls>
            <c:dLbl>
              <c:idx val="0"/>
              <c:tx>
                <c:rich>
                  <a:bodyPr/>
                  <a:lstStyle/>
                  <a:p>
                    <a:r>
                      <a:rPr lang="en-US"/>
                      <a:t>45,21%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C12-4038-852C-C4124BB562D7}"/>
                </c:ext>
              </c:extLst>
            </c:dLbl>
            <c:dLbl>
              <c:idx val="1"/>
              <c:tx>
                <c:rich>
                  <a:bodyPr/>
                  <a:lstStyle/>
                  <a:p>
                    <a:r>
                      <a:rPr lang="en-US"/>
                      <a:t>7,31%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C12-4038-852C-C4124BB562D7}"/>
                </c:ext>
              </c:extLst>
            </c:dLbl>
            <c:dLbl>
              <c:idx val="2"/>
              <c:tx>
                <c:rich>
                  <a:bodyPr/>
                  <a:lstStyle/>
                  <a:p>
                    <a:r>
                      <a:rPr lang="en-US"/>
                      <a:t>44,29%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C12-4038-852C-C4124BB562D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('Tiempo de Trabajo'!$A$4,'Tiempo de Trabajo'!$A$5,'Tiempo de Trabajo'!$A$6)</c:f>
              <c:strCache>
                <c:ptCount val="3"/>
                <c:pt idx="0">
                  <c:v>Jornada anual </c:v>
                </c:pt>
                <c:pt idx="1">
                  <c:v>Jornada setmanal</c:v>
                </c:pt>
                <c:pt idx="2">
                  <c:v>Jornada anual i setmanal</c:v>
                </c:pt>
              </c:strCache>
            </c:strRef>
          </c:cat>
          <c:val>
            <c:numRef>
              <c:f>'Tiempo de Trabajo'!$O$4:$O$6</c:f>
              <c:numCache>
                <c:formatCode>0.00</c:formatCode>
                <c:ptCount val="3"/>
                <c:pt idx="0">
                  <c:v>45.205479452054803</c:v>
                </c:pt>
                <c:pt idx="1">
                  <c:v>7.3059360730593594</c:v>
                </c:pt>
                <c:pt idx="2">
                  <c:v>44.292237442922371</c:v>
                </c:pt>
              </c:numCache>
            </c:numRef>
          </c:val>
          <c:extLst xmlns:c16r2="http://schemas.microsoft.com/office/drawing/2015/06/chart">
            <c:ext xmlns:c16="http://schemas.microsoft.com/office/drawing/2014/chart" uri="{C3380CC4-5D6E-409C-BE32-E72D297353CC}">
              <c16:uniqueId val="{00000003-CC12-4038-852C-C4124BB562D7}"/>
            </c:ext>
          </c:extLst>
        </c:ser>
        <c:dLbls>
          <c:showLegendKey val="0"/>
          <c:showVal val="0"/>
          <c:showCatName val="0"/>
          <c:showSerName val="0"/>
          <c:showPercent val="0"/>
          <c:showBubbleSize val="0"/>
        </c:dLbls>
        <c:gapWidth val="150"/>
        <c:axId val="171610112"/>
        <c:axId val="171611648"/>
      </c:barChart>
      <c:catAx>
        <c:axId val="171610112"/>
        <c:scaling>
          <c:orientation val="minMax"/>
        </c:scaling>
        <c:delete val="0"/>
        <c:axPos val="b"/>
        <c:numFmt formatCode="General" sourceLinked="0"/>
        <c:majorTickMark val="out"/>
        <c:minorTickMark val="none"/>
        <c:tickLblPos val="nextTo"/>
        <c:crossAx val="171611648"/>
        <c:crosses val="autoZero"/>
        <c:auto val="1"/>
        <c:lblAlgn val="ctr"/>
        <c:lblOffset val="100"/>
        <c:noMultiLvlLbl val="0"/>
      </c:catAx>
      <c:valAx>
        <c:axId val="171611648"/>
        <c:scaling>
          <c:orientation val="minMax"/>
        </c:scaling>
        <c:delete val="1"/>
        <c:axPos val="l"/>
        <c:numFmt formatCode="0.00" sourceLinked="1"/>
        <c:majorTickMark val="out"/>
        <c:minorTickMark val="none"/>
        <c:tickLblPos val="nextTo"/>
        <c:crossAx val="171610112"/>
        <c:crosses val="autoZero"/>
        <c:crossBetween val="between"/>
      </c:valAx>
    </c:plotArea>
    <c:plotVisOnly val="1"/>
    <c:dispBlanksAs val="gap"/>
    <c:showDLblsOverMax val="0"/>
  </c:chart>
  <c:spPr>
    <a:ln>
      <a:solidFill>
        <a:srgbClr val="C00000"/>
      </a:solidFill>
    </a:ln>
  </c:spPr>
  <c:txPr>
    <a:bodyPr/>
    <a:lstStyle/>
    <a:p>
      <a:pPr>
        <a:defRPr>
          <a:latin typeface="Rotis Sans Serif Std Light" pitchFamily="34" charset="0"/>
        </a:defRPr>
      </a:pPr>
      <a:endParaRPr lang="es-E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Variació de la jornada respecte en els últims 5 anys</a:t>
            </a:r>
          </a:p>
        </c:rich>
      </c:tx>
      <c:layout>
        <c:manualLayout>
          <c:xMode val="edge"/>
          <c:yMode val="edge"/>
          <c:x val="0.112652822182299"/>
          <c:y val="5.6388369612635603E-2"/>
        </c:manualLayout>
      </c:layout>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9.8685712510531598E-2"/>
          <c:y val="0.24242281490672102"/>
          <c:w val="0.53365672792753738"/>
          <c:h val="0.66871310351004953"/>
        </c:manualLayout>
      </c:layout>
      <c:pie3DChart>
        <c:varyColors val="1"/>
        <c:ser>
          <c:idx val="0"/>
          <c:order val="0"/>
          <c:dLbls>
            <c:dLbl>
              <c:idx val="0"/>
              <c:tx>
                <c:rich>
                  <a:bodyPr/>
                  <a:lstStyle/>
                  <a:p>
                    <a:r>
                      <a:rPr lang="en-US"/>
                      <a:t>95,43%</a:t>
                    </a:r>
                  </a:p>
                </c:rich>
              </c:tx>
              <c:showLegendKey val="0"/>
              <c:showVal val="1"/>
              <c:showCatName val="0"/>
              <c:showSerName val="0"/>
              <c:showPercent val="1"/>
              <c:showBubbleSize val="0"/>
            </c:dLbl>
            <c:dLbl>
              <c:idx val="1"/>
              <c:layout>
                <c:manualLayout>
                  <c:x val="-3.5696510673063703E-2"/>
                  <c:y val="-9.4511411268451296E-3"/>
                </c:manualLayout>
              </c:layout>
              <c:tx>
                <c:rich>
                  <a:bodyPr/>
                  <a:lstStyle/>
                  <a:p>
                    <a:r>
                      <a:rPr lang="en-US"/>
                      <a:t>4,57%</a:t>
                    </a:r>
                  </a:p>
                </c:rich>
              </c:tx>
              <c:showLegendKey val="0"/>
              <c:showVal val="1"/>
              <c:showCatName val="0"/>
              <c:showSerName val="0"/>
              <c:showPercent val="1"/>
              <c:showBubbleSize val="0"/>
            </c:dLbl>
            <c:dLbl>
              <c:idx val="2"/>
              <c:layout>
                <c:manualLayout>
                  <c:x val="1.23067448093604E-2"/>
                  <c:y val="1.2115401521723601E-3"/>
                </c:manualLayout>
              </c:layout>
              <c:tx>
                <c:rich>
                  <a:bodyPr/>
                  <a:lstStyle/>
                  <a:p>
                    <a:r>
                      <a:rPr lang="en-US"/>
                      <a:t>2,74%</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'Tiempo de Trabajo'!$N$9:$N$11</c:f>
              <c:strCache>
                <c:ptCount val="3"/>
                <c:pt idx="0">
                  <c:v>No ha variat la jornada</c:v>
                </c:pt>
                <c:pt idx="1">
                  <c:v>S'ha reduït la jornada</c:v>
                </c:pt>
                <c:pt idx="2">
                  <c:v>Ha augmentat la jornada</c:v>
                </c:pt>
              </c:strCache>
            </c:strRef>
          </c:cat>
          <c:val>
            <c:numRef>
              <c:f>'Tiempo de Trabajo'!$O$9:$O$11</c:f>
              <c:numCache>
                <c:formatCode>0.00</c:formatCode>
                <c:ptCount val="3"/>
                <c:pt idx="0">
                  <c:v>95.433789954337897</c:v>
                </c:pt>
                <c:pt idx="1">
                  <c:v>4.5662100456621033</c:v>
                </c:pt>
                <c:pt idx="2">
                  <c:v>2.739726027397253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solidFill>
      <a:schemeClr val="lt1"/>
    </a:solidFill>
    <a:ln w="3175" cap="flat" cmpd="sng" algn="ctr">
      <a:solidFill>
        <a:schemeClr val="accent2"/>
      </a:solidFill>
      <a:prstDash val="solid"/>
    </a:ln>
    <a:effectLst/>
  </c:spPr>
  <c:txPr>
    <a:bodyPr/>
    <a:lstStyle/>
    <a:p>
      <a:pPr>
        <a:defRPr>
          <a:solidFill>
            <a:schemeClr val="dk1"/>
          </a:solidFill>
          <a:latin typeface="Rotis Sans Serif Std" pitchFamily="34" charset="0"/>
          <a:ea typeface="+mn-ea"/>
          <a:cs typeface="+mn-cs"/>
        </a:defRPr>
      </a:pPr>
      <a:endParaRPr lang="es-E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9.6810024085909593E-2"/>
          <c:y val="0.12780960775672101"/>
          <c:w val="0.86727091699192005"/>
          <c:h val="0.76048208826254604"/>
        </c:manualLayout>
      </c:layout>
      <c:barChart>
        <c:barDir val="col"/>
        <c:grouping val="clustered"/>
        <c:varyColors val="0"/>
        <c:ser>
          <c:idx val="0"/>
          <c:order val="0"/>
          <c:tx>
            <c:strRef>
              <c:f>'Distribución irregular jornada'!$E$45</c:f>
              <c:strCache>
                <c:ptCount val="1"/>
                <c:pt idx="0">
                  <c:v>Estableix jornada continuada</c:v>
                </c:pt>
              </c:strCache>
            </c:strRef>
          </c:tx>
          <c:invertIfNegative val="0"/>
          <c:dLbls>
            <c:dLbl>
              <c:idx val="0"/>
              <c:tx>
                <c:rich>
                  <a:bodyPr/>
                  <a:lstStyle/>
                  <a:p>
                    <a:r>
                      <a:rPr lang="en-US" sz="900"/>
                      <a:t>39,60%</a:t>
                    </a:r>
                    <a:endParaRPr lang="en-US"/>
                  </a:p>
                </c:rich>
              </c:tx>
              <c:showLegendKey val="0"/>
              <c:showVal val="1"/>
              <c:showCatName val="0"/>
              <c:showSerName val="0"/>
              <c:showPercent val="0"/>
              <c:showBubbleSize val="0"/>
            </c:dLbl>
            <c:dLbl>
              <c:idx val="1"/>
              <c:tx>
                <c:rich>
                  <a:bodyPr/>
                  <a:lstStyle/>
                  <a:p>
                    <a:r>
                      <a:rPr lang="en-US" sz="900"/>
                      <a:t>26,19%</a:t>
                    </a:r>
                    <a:endParaRPr lang="en-US"/>
                  </a:p>
                </c:rich>
              </c:tx>
              <c:showLegendKey val="0"/>
              <c:showVal val="1"/>
              <c:showCatName val="0"/>
              <c:showSerName val="0"/>
              <c:showPercent val="0"/>
              <c:showBubbleSize val="0"/>
            </c:dLbl>
            <c:dLbl>
              <c:idx val="2"/>
              <c:tx>
                <c:rich>
                  <a:bodyPr/>
                  <a:lstStyle/>
                  <a:p>
                    <a:r>
                      <a:rPr lang="en-US" sz="900"/>
                      <a:t>32,89%</a:t>
                    </a:r>
                    <a:endParaRPr lang="en-US"/>
                  </a:p>
                </c:rich>
              </c:tx>
              <c:showLegendKey val="0"/>
              <c:showVal val="1"/>
              <c:showCatName val="0"/>
              <c:showSerName val="0"/>
              <c:showPercent val="0"/>
              <c:showBubbleSize val="0"/>
            </c:dLbl>
            <c:dLbl>
              <c:idx val="3"/>
              <c:tx>
                <c:rich>
                  <a:bodyPr/>
                  <a:lstStyle/>
                  <a:p>
                    <a:r>
                      <a:rPr lang="en-US" sz="900"/>
                      <a:t>34,70%</a:t>
                    </a:r>
                    <a:endParaRPr lang="en-US"/>
                  </a:p>
                </c:rich>
              </c:tx>
              <c:showLegendKey val="0"/>
              <c:showVal val="1"/>
              <c:showCatName val="0"/>
              <c:showSerName val="0"/>
              <c:showPercent val="0"/>
              <c:showBubbleSize val="0"/>
            </c:dLbl>
            <c:txPr>
              <a:bodyPr/>
              <a:lstStyle/>
              <a:p>
                <a:pPr>
                  <a:defRPr sz="900"/>
                </a:pPr>
                <a:endParaRPr lang="es-ES"/>
              </a:p>
            </c:txPr>
            <c:showLegendKey val="0"/>
            <c:showVal val="1"/>
            <c:showCatName val="0"/>
            <c:showSerName val="0"/>
            <c:showPercent val="0"/>
            <c:showBubbleSize val="0"/>
            <c:showLeaderLines val="0"/>
          </c:dLbls>
          <c:cat>
            <c:strRef>
              <c:f>'Distribución irregular jornada'!$F$44:$I$44</c:f>
              <c:strCache>
                <c:ptCount val="4"/>
                <c:pt idx="0">
                  <c:v>Estatal</c:v>
                </c:pt>
                <c:pt idx="1">
                  <c:v>Autonòmic</c:v>
                </c:pt>
                <c:pt idx="2">
                  <c:v>Provincial </c:v>
                </c:pt>
                <c:pt idx="3">
                  <c:v>Total</c:v>
                </c:pt>
              </c:strCache>
            </c:strRef>
          </c:cat>
          <c:val>
            <c:numRef>
              <c:f>'Distribución irregular jornada'!$F$45:$I$45</c:f>
              <c:numCache>
                <c:formatCode>0.00</c:formatCode>
                <c:ptCount val="4"/>
                <c:pt idx="0">
                  <c:v>39.603960396039597</c:v>
                </c:pt>
                <c:pt idx="1">
                  <c:v>26.19047619047619</c:v>
                </c:pt>
                <c:pt idx="2">
                  <c:v>32.89473684210526</c:v>
                </c:pt>
                <c:pt idx="3">
                  <c:v>34.703196347031962</c:v>
                </c:pt>
              </c:numCache>
            </c:numRef>
          </c:val>
        </c:ser>
        <c:ser>
          <c:idx val="1"/>
          <c:order val="1"/>
          <c:tx>
            <c:strRef>
              <c:f>'Distribución irregular jornada'!$E$46</c:f>
              <c:strCache>
                <c:ptCount val="1"/>
                <c:pt idx="0">
                  <c:v>Preveu jornada partida</c:v>
                </c:pt>
              </c:strCache>
            </c:strRef>
          </c:tx>
          <c:invertIfNegative val="0"/>
          <c:dLbls>
            <c:dLbl>
              <c:idx val="0"/>
              <c:tx>
                <c:rich>
                  <a:bodyPr/>
                  <a:lstStyle/>
                  <a:p>
                    <a:r>
                      <a:rPr lang="en-US" sz="900"/>
                      <a:t>48,51%</a:t>
                    </a:r>
                    <a:endParaRPr lang="en-US"/>
                  </a:p>
                </c:rich>
              </c:tx>
              <c:showLegendKey val="0"/>
              <c:showVal val="1"/>
              <c:showCatName val="0"/>
              <c:showSerName val="0"/>
              <c:showPercent val="0"/>
              <c:showBubbleSize val="0"/>
            </c:dLbl>
            <c:dLbl>
              <c:idx val="1"/>
              <c:layout>
                <c:manualLayout>
                  <c:x val="1.2330171307827291E-2"/>
                  <c:y val="0"/>
                </c:manualLayout>
              </c:layout>
              <c:tx>
                <c:rich>
                  <a:bodyPr/>
                  <a:lstStyle/>
                  <a:p>
                    <a:r>
                      <a:rPr lang="en-US" sz="900"/>
                      <a:t>23,81%</a:t>
                    </a:r>
                    <a:endParaRPr lang="en-US"/>
                  </a:p>
                </c:rich>
              </c:tx>
              <c:showLegendKey val="0"/>
              <c:showVal val="1"/>
              <c:showCatName val="0"/>
              <c:showSerName val="0"/>
              <c:showPercent val="0"/>
              <c:showBubbleSize val="0"/>
            </c:dLbl>
            <c:dLbl>
              <c:idx val="2"/>
              <c:tx>
                <c:rich>
                  <a:bodyPr/>
                  <a:lstStyle/>
                  <a:p>
                    <a:r>
                      <a:rPr lang="en-US" sz="900"/>
                      <a:t>36,84%</a:t>
                    </a:r>
                    <a:endParaRPr lang="en-US"/>
                  </a:p>
                </c:rich>
              </c:tx>
              <c:showLegendKey val="0"/>
              <c:showVal val="1"/>
              <c:showCatName val="0"/>
              <c:showSerName val="0"/>
              <c:showPercent val="0"/>
              <c:showBubbleSize val="0"/>
            </c:dLbl>
            <c:dLbl>
              <c:idx val="3"/>
              <c:tx>
                <c:rich>
                  <a:bodyPr/>
                  <a:lstStyle/>
                  <a:p>
                    <a:r>
                      <a:rPr lang="en-US" sz="900"/>
                      <a:t>39,73%</a:t>
                    </a:r>
                    <a:endParaRPr lang="en-US"/>
                  </a:p>
                </c:rich>
              </c:tx>
              <c:showLegendKey val="0"/>
              <c:showVal val="1"/>
              <c:showCatName val="0"/>
              <c:showSerName val="0"/>
              <c:showPercent val="0"/>
              <c:showBubbleSize val="0"/>
            </c:dLbl>
            <c:txPr>
              <a:bodyPr/>
              <a:lstStyle/>
              <a:p>
                <a:pPr>
                  <a:defRPr sz="900"/>
                </a:pPr>
                <a:endParaRPr lang="es-ES"/>
              </a:p>
            </c:txPr>
            <c:showLegendKey val="0"/>
            <c:showVal val="1"/>
            <c:showCatName val="0"/>
            <c:showSerName val="0"/>
            <c:showPercent val="0"/>
            <c:showBubbleSize val="0"/>
            <c:showLeaderLines val="0"/>
          </c:dLbls>
          <c:cat>
            <c:strRef>
              <c:f>'Distribución irregular jornada'!$F$44:$I$44</c:f>
              <c:strCache>
                <c:ptCount val="4"/>
                <c:pt idx="0">
                  <c:v>Estatal</c:v>
                </c:pt>
                <c:pt idx="1">
                  <c:v>Autonòmic</c:v>
                </c:pt>
                <c:pt idx="2">
                  <c:v>Provincial </c:v>
                </c:pt>
                <c:pt idx="3">
                  <c:v>Total</c:v>
                </c:pt>
              </c:strCache>
            </c:strRef>
          </c:cat>
          <c:val>
            <c:numRef>
              <c:f>'Distribución irregular jornada'!$F$46:$I$46</c:f>
              <c:numCache>
                <c:formatCode>0.00</c:formatCode>
                <c:ptCount val="4"/>
                <c:pt idx="0">
                  <c:v>48.51485148514849</c:v>
                </c:pt>
                <c:pt idx="1">
                  <c:v>23.8095238095238</c:v>
                </c:pt>
                <c:pt idx="2">
                  <c:v>36.842105263157897</c:v>
                </c:pt>
                <c:pt idx="3">
                  <c:v>39.726027397260268</c:v>
                </c:pt>
              </c:numCache>
            </c:numRef>
          </c:val>
        </c:ser>
        <c:dLbls>
          <c:showLegendKey val="0"/>
          <c:showVal val="0"/>
          <c:showCatName val="0"/>
          <c:showSerName val="0"/>
          <c:showPercent val="0"/>
          <c:showBubbleSize val="0"/>
        </c:dLbls>
        <c:gapWidth val="150"/>
        <c:axId val="170362752"/>
        <c:axId val="170364288"/>
      </c:barChart>
      <c:catAx>
        <c:axId val="170362752"/>
        <c:scaling>
          <c:orientation val="minMax"/>
        </c:scaling>
        <c:delete val="0"/>
        <c:axPos val="b"/>
        <c:majorTickMark val="out"/>
        <c:minorTickMark val="none"/>
        <c:tickLblPos val="nextTo"/>
        <c:crossAx val="170364288"/>
        <c:crosses val="autoZero"/>
        <c:auto val="1"/>
        <c:lblAlgn val="ctr"/>
        <c:lblOffset val="100"/>
        <c:noMultiLvlLbl val="0"/>
      </c:catAx>
      <c:valAx>
        <c:axId val="170364288"/>
        <c:scaling>
          <c:orientation val="minMax"/>
        </c:scaling>
        <c:delete val="0"/>
        <c:axPos val="l"/>
        <c:numFmt formatCode="0.00" sourceLinked="1"/>
        <c:majorTickMark val="out"/>
        <c:minorTickMark val="none"/>
        <c:tickLblPos val="nextTo"/>
        <c:crossAx val="170362752"/>
        <c:crosses val="autoZero"/>
        <c:crossBetween val="between"/>
      </c:valAx>
    </c:plotArea>
    <c:legend>
      <c:legendPos val="r"/>
      <c:layout>
        <c:manualLayout>
          <c:xMode val="edge"/>
          <c:yMode val="edge"/>
          <c:x val="0.22954803498958701"/>
          <c:y val="5.4504568594857798E-2"/>
          <c:w val="0.75073296082012397"/>
          <c:h val="0.115318760562598"/>
        </c:manualLayout>
      </c:layout>
      <c:overlay val="0"/>
    </c:legend>
    <c:plotVisOnly val="1"/>
    <c:dispBlanksAs val="gap"/>
    <c:showDLblsOverMax val="0"/>
  </c:chart>
  <c:spPr>
    <a:solidFill>
      <a:schemeClr val="lt1"/>
    </a:solidFill>
    <a:ln w="3175" cap="flat" cmpd="sng" algn="ctr">
      <a:solidFill>
        <a:schemeClr val="accent2"/>
      </a:solidFill>
      <a:prstDash val="solid"/>
    </a:ln>
    <a:effectLst/>
  </c:spPr>
  <c:txPr>
    <a:bodyPr/>
    <a:lstStyle/>
    <a:p>
      <a:pPr algn="ctr">
        <a:defRPr>
          <a:solidFill>
            <a:schemeClr val="dk1"/>
          </a:solidFill>
          <a:latin typeface="Rotis Sans Serif Std" pitchFamily="34" charset="0"/>
          <a:ea typeface="+mn-ea"/>
          <a:cs typeface="+mn-cs"/>
        </a:defRPr>
      </a:pPr>
      <a:endParaRPr lang="es-E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rot="0" vert="horz"/>
          <a:lstStyle/>
          <a:p>
            <a:pPr>
              <a:defRPr sz="1400"/>
            </a:pPr>
            <a:r>
              <a:rPr lang="es-ES" sz="1400"/>
              <a:t>Es regula la distribució irregular de la jornada? (%)</a:t>
            </a:r>
          </a:p>
        </c:rich>
      </c:tx>
      <c:overlay val="0"/>
    </c:title>
    <c:autoTitleDeleted val="0"/>
    <c:plotArea>
      <c:layout/>
      <c:barChart>
        <c:barDir val="col"/>
        <c:grouping val="clustered"/>
        <c:varyColors val="0"/>
        <c:ser>
          <c:idx val="0"/>
          <c:order val="0"/>
          <c:invertIfNegative val="0"/>
          <c:dLbls>
            <c:dLbl>
              <c:idx val="0"/>
              <c:layout>
                <c:manualLayout>
                  <c:x val="0"/>
                  <c:y val="-1.48514851485148E-2"/>
                </c:manualLayout>
              </c:layout>
              <c:tx>
                <c:rich>
                  <a:bodyPr/>
                  <a:lstStyle/>
                  <a:p>
                    <a:r>
                      <a:rPr lang="en-US"/>
                      <a:t>63,37%</a:t>
                    </a:r>
                  </a:p>
                </c:rich>
              </c:tx>
              <c:dLblPos val="outEnd"/>
              <c:showLegendKey val="0"/>
              <c:showVal val="1"/>
              <c:showCatName val="0"/>
              <c:showSerName val="0"/>
              <c:showPercent val="0"/>
              <c:showBubbleSize val="0"/>
            </c:dLbl>
            <c:dLbl>
              <c:idx val="1"/>
              <c:layout>
                <c:manualLayout>
                  <c:x val="7.2463768115942004E-3"/>
                  <c:y val="1.48514851485148E-2"/>
                </c:manualLayout>
              </c:layout>
              <c:tx>
                <c:rich>
                  <a:bodyPr/>
                  <a:lstStyle/>
                  <a:p>
                    <a:r>
                      <a:rPr lang="en-US"/>
                      <a:t>36,63%</a:t>
                    </a:r>
                  </a:p>
                </c:rich>
              </c:tx>
              <c:dLblPos val="outEnd"/>
              <c:showLegendKey val="0"/>
              <c:showVal val="1"/>
              <c:showCatName val="0"/>
              <c:showSerName val="0"/>
              <c:showPercent val="0"/>
              <c:showBubbleSize val="0"/>
            </c:dLbl>
            <c:dLbl>
              <c:idx val="2"/>
              <c:layout>
                <c:manualLayout>
                  <c:x val="1.4492753623188401E-2"/>
                  <c:y val="2.4752475247524702E-2"/>
                </c:manualLayout>
              </c:layout>
              <c:tx>
                <c:rich>
                  <a:bodyPr/>
                  <a:lstStyle/>
                  <a:p>
                    <a:r>
                      <a:rPr lang="en-US"/>
                      <a:t>57,14%</a:t>
                    </a:r>
                  </a:p>
                </c:rich>
              </c:tx>
              <c:dLblPos val="outEnd"/>
              <c:showLegendKey val="0"/>
              <c:showVal val="1"/>
              <c:showCatName val="0"/>
              <c:showSerName val="0"/>
              <c:showPercent val="0"/>
              <c:showBubbleSize val="0"/>
            </c:dLbl>
            <c:dLbl>
              <c:idx val="3"/>
              <c:layout>
                <c:manualLayout>
                  <c:x val="0"/>
                  <c:y val="9.9009900990098994E-3"/>
                </c:manualLayout>
              </c:layout>
              <c:tx>
                <c:rich>
                  <a:bodyPr/>
                  <a:lstStyle/>
                  <a:p>
                    <a:r>
                      <a:rPr lang="en-US"/>
                      <a:t>42,86%</a:t>
                    </a:r>
                  </a:p>
                </c:rich>
              </c:tx>
              <c:dLblPos val="outEnd"/>
              <c:showLegendKey val="0"/>
              <c:showVal val="1"/>
              <c:showCatName val="0"/>
              <c:showSerName val="0"/>
              <c:showPercent val="0"/>
              <c:showBubbleSize val="0"/>
            </c:dLbl>
            <c:dLbl>
              <c:idx val="4"/>
              <c:layout>
                <c:manualLayout>
                  <c:x val="7.2463768115941102E-3"/>
                  <c:y val="9.9009900990098508E-3"/>
                </c:manualLayout>
              </c:layout>
              <c:tx>
                <c:rich>
                  <a:bodyPr/>
                  <a:lstStyle/>
                  <a:p>
                    <a:r>
                      <a:rPr lang="en-US"/>
                      <a:t>48,68%</a:t>
                    </a:r>
                  </a:p>
                </c:rich>
              </c:tx>
              <c:dLblPos val="outEnd"/>
              <c:showLegendKey val="0"/>
              <c:showVal val="1"/>
              <c:showCatName val="0"/>
              <c:showSerName val="0"/>
              <c:showPercent val="0"/>
              <c:showBubbleSize val="0"/>
            </c:dLbl>
            <c:dLbl>
              <c:idx val="5"/>
              <c:layout>
                <c:manualLayout>
                  <c:x val="1.4492753623188401E-2"/>
                  <c:y val="2.4752475247524702E-2"/>
                </c:manualLayout>
              </c:layout>
              <c:tx>
                <c:rich>
                  <a:bodyPr/>
                  <a:lstStyle/>
                  <a:p>
                    <a:r>
                      <a:rPr lang="en-US"/>
                      <a:t>51,32%</a:t>
                    </a:r>
                  </a:p>
                </c:rich>
              </c:tx>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multiLvlStrRef>
              <c:f>'Distribución irregular jornada'!$N$32:$S$33</c:f>
              <c:multiLvlStrCache>
                <c:ptCount val="6"/>
                <c:lvl>
                  <c:pt idx="0">
                    <c:v>SI </c:v>
                  </c:pt>
                  <c:pt idx="1">
                    <c:v>NO</c:v>
                  </c:pt>
                  <c:pt idx="2">
                    <c:v>SI</c:v>
                  </c:pt>
                  <c:pt idx="3">
                    <c:v>NO</c:v>
                  </c:pt>
                  <c:pt idx="4">
                    <c:v>SI</c:v>
                  </c:pt>
                  <c:pt idx="5">
                    <c:v>NO</c:v>
                  </c:pt>
                </c:lvl>
                <c:lvl>
                  <c:pt idx="0">
                    <c:v>Àmbit Estatal</c:v>
                  </c:pt>
                  <c:pt idx="2">
                    <c:v>Àmbit Autonòmic</c:v>
                  </c:pt>
                  <c:pt idx="4">
                    <c:v>Àmbit Provincial</c:v>
                  </c:pt>
                </c:lvl>
              </c:multiLvlStrCache>
            </c:multiLvlStrRef>
          </c:cat>
          <c:val>
            <c:numRef>
              <c:f>'Distribución irregular jornada'!$N$34:$S$34</c:f>
              <c:numCache>
                <c:formatCode>0.00</c:formatCode>
                <c:ptCount val="6"/>
                <c:pt idx="0">
                  <c:v>63.366336633663373</c:v>
                </c:pt>
                <c:pt idx="1">
                  <c:v>36.633663366336627</c:v>
                </c:pt>
                <c:pt idx="2">
                  <c:v>57.142857142857139</c:v>
                </c:pt>
                <c:pt idx="3">
                  <c:v>42.857142857142847</c:v>
                </c:pt>
                <c:pt idx="4">
                  <c:v>48.684210526315788</c:v>
                </c:pt>
                <c:pt idx="5">
                  <c:v>51.315789473684212</c:v>
                </c:pt>
              </c:numCache>
            </c:numRef>
          </c:val>
          <c:extLst xmlns:c16r2="http://schemas.microsoft.com/office/drawing/2015/06/chart">
            <c:ext xmlns:c16="http://schemas.microsoft.com/office/drawing/2014/chart" uri="{C3380CC4-5D6E-409C-BE32-E72D297353CC}">
              <c16:uniqueId val="{00000000-07A0-4CC0-8F0C-2E3FD8E30CE0}"/>
            </c:ext>
          </c:extLst>
        </c:ser>
        <c:dLbls>
          <c:dLblPos val="inEnd"/>
          <c:showLegendKey val="0"/>
          <c:showVal val="1"/>
          <c:showCatName val="0"/>
          <c:showSerName val="0"/>
          <c:showPercent val="0"/>
          <c:showBubbleSize val="0"/>
        </c:dLbls>
        <c:gapWidth val="80"/>
        <c:overlap val="25"/>
        <c:axId val="170392192"/>
        <c:axId val="172189184"/>
      </c:barChart>
      <c:catAx>
        <c:axId val="170392192"/>
        <c:scaling>
          <c:orientation val="minMax"/>
        </c:scaling>
        <c:delete val="0"/>
        <c:axPos val="b"/>
        <c:numFmt formatCode="General" sourceLinked="1"/>
        <c:majorTickMark val="none"/>
        <c:minorTickMark val="none"/>
        <c:tickLblPos val="nextTo"/>
        <c:txPr>
          <a:bodyPr rot="-60000000" vert="horz"/>
          <a:lstStyle/>
          <a:p>
            <a:pPr>
              <a:defRPr/>
            </a:pPr>
            <a:endParaRPr lang="es-ES"/>
          </a:p>
        </c:txPr>
        <c:crossAx val="172189184"/>
        <c:crosses val="autoZero"/>
        <c:auto val="1"/>
        <c:lblAlgn val="ctr"/>
        <c:lblOffset val="100"/>
        <c:noMultiLvlLbl val="0"/>
      </c:catAx>
      <c:valAx>
        <c:axId val="172189184"/>
        <c:scaling>
          <c:orientation val="minMax"/>
        </c:scaling>
        <c:delete val="0"/>
        <c:axPos val="l"/>
        <c:numFmt formatCode="0.00" sourceLinked="1"/>
        <c:majorTickMark val="none"/>
        <c:minorTickMark val="none"/>
        <c:tickLblPos val="nextTo"/>
        <c:txPr>
          <a:bodyPr rot="-60000000" vert="horz"/>
          <a:lstStyle/>
          <a:p>
            <a:pPr>
              <a:defRPr/>
            </a:pPr>
            <a:endParaRPr lang="es-ES"/>
          </a:p>
        </c:txPr>
        <c:crossAx val="170392192"/>
        <c:crosses val="autoZero"/>
        <c:crossBetween val="between"/>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600"/>
            </a:pPr>
            <a:r>
              <a:rPr lang="en-US" sz="1600"/>
              <a:t>Taxa d'atur</a:t>
            </a:r>
          </a:p>
        </c:rich>
      </c:tx>
      <c:layout/>
      <c:overlay val="0"/>
    </c:title>
    <c:autoTitleDeleted val="0"/>
    <c:plotArea>
      <c:layout>
        <c:manualLayout>
          <c:layoutTarget val="inner"/>
          <c:xMode val="edge"/>
          <c:yMode val="edge"/>
          <c:x val="6.2446850393700799E-2"/>
          <c:y val="8.5088751257871395E-2"/>
          <c:w val="0.90048705333920998"/>
          <c:h val="0.77377029452346102"/>
        </c:manualLayout>
      </c:layout>
      <c:lineChart>
        <c:grouping val="standard"/>
        <c:varyColors val="0"/>
        <c:ser>
          <c:idx val="0"/>
          <c:order val="0"/>
          <c:tx>
            <c:strRef>
              <c:f>'EPA - España-Cataluña'!$A$6</c:f>
              <c:strCache>
                <c:ptCount val="1"/>
                <c:pt idx="0">
                  <c:v>Espanya</c:v>
                </c:pt>
              </c:strCache>
            </c:strRef>
          </c:tx>
          <c:marker>
            <c:symbol val="none"/>
          </c:marker>
          <c:dLbls>
            <c:dLbl>
              <c:idx val="0"/>
              <c:layout>
                <c:manualLayout>
                  <c:x val="-1.84442499341749E-2"/>
                  <c:y val="-7.1156277051291295E-2"/>
                </c:manualLayout>
              </c:layout>
              <c:showLegendKey val="0"/>
              <c:showVal val="1"/>
              <c:showCatName val="0"/>
              <c:showSerName val="0"/>
              <c:showPercent val="0"/>
              <c:showBubbleSize val="0"/>
            </c:dLbl>
            <c:dLbl>
              <c:idx val="3"/>
              <c:layout>
                <c:manualLayout>
                  <c:x val="-9.2220523525019804E-3"/>
                  <c:y val="-3.9531265028495202E-2"/>
                </c:manualLayout>
              </c:layout>
              <c:showLegendKey val="0"/>
              <c:showVal val="1"/>
              <c:showCatName val="0"/>
              <c:showSerName val="0"/>
              <c:showPercent val="0"/>
              <c:showBubbleSize val="0"/>
            </c:dLbl>
            <c:dLbl>
              <c:idx val="8"/>
              <c:layout>
                <c:manualLayout>
                  <c:x val="-5.5332314115011903E-3"/>
                  <c:y val="-4.3484391531344702E-2"/>
                </c:manualLayout>
              </c:layout>
              <c:showLegendKey val="0"/>
              <c:showVal val="1"/>
              <c:showCatName val="0"/>
              <c:showSerName val="0"/>
              <c:showPercent val="0"/>
              <c:showBubbleSize val="0"/>
            </c:dLbl>
            <c:dLbl>
              <c:idx val="12"/>
              <c:layout>
                <c:manualLayout>
                  <c:x val="1.8444104705004E-3"/>
                  <c:y val="-1.5812506011398102E-2"/>
                </c:manualLayout>
              </c:layout>
              <c:showLegendKey val="0"/>
              <c:showVal val="1"/>
              <c:showCatName val="0"/>
              <c:showSerName val="0"/>
              <c:showPercent val="0"/>
              <c:showBubbleSize val="0"/>
            </c:dLbl>
            <c:dLbl>
              <c:idx val="16"/>
              <c:layout/>
              <c:showLegendKey val="0"/>
              <c:showVal val="1"/>
              <c:showCatName val="0"/>
              <c:showSerName val="0"/>
              <c:showPercent val="0"/>
              <c:showBubbleSize val="0"/>
            </c:dLbl>
            <c:dLbl>
              <c:idx val="20"/>
              <c:layout/>
              <c:showLegendKey val="0"/>
              <c:showVal val="1"/>
              <c:showCatName val="0"/>
              <c:showSerName val="0"/>
              <c:showPercent val="0"/>
              <c:showBubbleSize val="0"/>
            </c:dLbl>
            <c:dLbl>
              <c:idx val="24"/>
              <c:layout>
                <c:manualLayout>
                  <c:x val="-5.5333766406721E-3"/>
                  <c:y val="-2.3719070286900502E-2"/>
                </c:manualLayout>
              </c:layout>
              <c:showLegendKey val="0"/>
              <c:showVal val="1"/>
              <c:showCatName val="0"/>
              <c:showSerName val="0"/>
              <c:showPercent val="0"/>
              <c:showBubbleSize val="0"/>
            </c:dLbl>
            <c:dLbl>
              <c:idx val="28"/>
              <c:layout/>
              <c:spPr/>
              <c:txPr>
                <a:bodyPr/>
                <a:lstStyle/>
                <a:p>
                  <a:pPr>
                    <a:defRPr b="1"/>
                  </a:pPr>
                  <a:endParaRPr lang="es-ES"/>
                </a:p>
              </c:txPr>
              <c:showLegendKey val="0"/>
              <c:showVal val="1"/>
              <c:showCatName val="0"/>
              <c:showSerName val="0"/>
              <c:showPercent val="0"/>
              <c:showBubbleSize val="0"/>
            </c:dLbl>
            <c:showLegendKey val="0"/>
            <c:showVal val="0"/>
            <c:showCatName val="0"/>
            <c:showSerName val="0"/>
            <c:showPercent val="0"/>
            <c:showBubbleSize val="0"/>
          </c:dLbls>
          <c:cat>
            <c:strRef>
              <c:f>'EPA - España-Cataluña'!$C$5:$AF$5</c:f>
              <c:strCache>
                <c:ptCount val="30"/>
                <c:pt idx="0">
                  <c:v>2T 2011</c:v>
                </c:pt>
                <c:pt idx="1">
                  <c:v>3T 2011</c:v>
                </c:pt>
                <c:pt idx="2">
                  <c:v>4T 2011</c:v>
                </c:pt>
                <c:pt idx="3">
                  <c:v>1T 2012</c:v>
                </c:pt>
                <c:pt idx="4">
                  <c:v>2T 2012</c:v>
                </c:pt>
                <c:pt idx="5">
                  <c:v>3T 2012</c:v>
                </c:pt>
                <c:pt idx="6">
                  <c:v>4T 2012</c:v>
                </c:pt>
                <c:pt idx="7">
                  <c:v>1T 2013</c:v>
                </c:pt>
                <c:pt idx="8">
                  <c:v>2T 2013</c:v>
                </c:pt>
                <c:pt idx="9">
                  <c:v>3T 2013</c:v>
                </c:pt>
                <c:pt idx="10">
                  <c:v>4T 2013</c:v>
                </c:pt>
                <c:pt idx="11">
                  <c:v>1T 2014</c:v>
                </c:pt>
                <c:pt idx="12">
                  <c:v>2T 2014</c:v>
                </c:pt>
                <c:pt idx="13">
                  <c:v>3T 2014</c:v>
                </c:pt>
                <c:pt idx="14">
                  <c:v>4T 2014</c:v>
                </c:pt>
                <c:pt idx="15">
                  <c:v>1T 2015</c:v>
                </c:pt>
                <c:pt idx="16">
                  <c:v>2T 2015</c:v>
                </c:pt>
                <c:pt idx="17">
                  <c:v>3T 2015</c:v>
                </c:pt>
                <c:pt idx="18">
                  <c:v>4T 2015</c:v>
                </c:pt>
                <c:pt idx="19">
                  <c:v>1T 2016</c:v>
                </c:pt>
                <c:pt idx="20">
                  <c:v>2T 2016</c:v>
                </c:pt>
                <c:pt idx="21">
                  <c:v>3T 2016</c:v>
                </c:pt>
                <c:pt idx="22">
                  <c:v>4T 2016 </c:v>
                </c:pt>
                <c:pt idx="23">
                  <c:v>1T 2017</c:v>
                </c:pt>
                <c:pt idx="24">
                  <c:v>2T 2017</c:v>
                </c:pt>
                <c:pt idx="25">
                  <c:v>3T 2017</c:v>
                </c:pt>
                <c:pt idx="26">
                  <c:v>4T 2017</c:v>
                </c:pt>
                <c:pt idx="27">
                  <c:v>1T2018</c:v>
                </c:pt>
                <c:pt idx="28">
                  <c:v>2T2018</c:v>
                </c:pt>
                <c:pt idx="29">
                  <c:v>3T2018</c:v>
                </c:pt>
              </c:strCache>
            </c:strRef>
          </c:cat>
          <c:val>
            <c:numRef>
              <c:f>'EPA - España-Cataluña'!$C$6:$AF$6</c:f>
              <c:numCache>
                <c:formatCode>General</c:formatCode>
                <c:ptCount val="30"/>
                <c:pt idx="0">
                  <c:v>20.64</c:v>
                </c:pt>
                <c:pt idx="1">
                  <c:v>21.28</c:v>
                </c:pt>
                <c:pt idx="2">
                  <c:v>22.56</c:v>
                </c:pt>
                <c:pt idx="3">
                  <c:v>24.19</c:v>
                </c:pt>
                <c:pt idx="4" formatCode="0.00">
                  <c:v>24.4</c:v>
                </c:pt>
                <c:pt idx="5">
                  <c:v>24.79</c:v>
                </c:pt>
                <c:pt idx="6">
                  <c:v>25.77</c:v>
                </c:pt>
                <c:pt idx="7">
                  <c:v>26.94</c:v>
                </c:pt>
                <c:pt idx="8">
                  <c:v>26.26</c:v>
                </c:pt>
                <c:pt idx="9">
                  <c:v>25.98</c:v>
                </c:pt>
                <c:pt idx="10">
                  <c:v>26.03</c:v>
                </c:pt>
                <c:pt idx="11">
                  <c:v>25.93</c:v>
                </c:pt>
                <c:pt idx="12">
                  <c:v>24.47</c:v>
                </c:pt>
                <c:pt idx="13">
                  <c:v>23.67</c:v>
                </c:pt>
                <c:pt idx="14" formatCode="0.00">
                  <c:v>23.7</c:v>
                </c:pt>
                <c:pt idx="15">
                  <c:v>23.78</c:v>
                </c:pt>
                <c:pt idx="16">
                  <c:v>22.37</c:v>
                </c:pt>
                <c:pt idx="17" formatCode="0.00">
                  <c:v>21.18</c:v>
                </c:pt>
                <c:pt idx="18" formatCode="0.00">
                  <c:v>20.9</c:v>
                </c:pt>
                <c:pt idx="19" formatCode="0.00">
                  <c:v>21</c:v>
                </c:pt>
                <c:pt idx="20" formatCode="0.00">
                  <c:v>20</c:v>
                </c:pt>
                <c:pt idx="21">
                  <c:v>18.91</c:v>
                </c:pt>
                <c:pt idx="22">
                  <c:v>18.63</c:v>
                </c:pt>
                <c:pt idx="23" formatCode="0.00">
                  <c:v>18.75</c:v>
                </c:pt>
                <c:pt idx="24" formatCode="0.00">
                  <c:v>17.22</c:v>
                </c:pt>
                <c:pt idx="25" formatCode="0.00">
                  <c:v>16.38</c:v>
                </c:pt>
                <c:pt idx="26" formatCode="0.00">
                  <c:v>16.55</c:v>
                </c:pt>
                <c:pt idx="27" formatCode="0.00">
                  <c:v>16.739999999999998</c:v>
                </c:pt>
                <c:pt idx="28" formatCode="0.00">
                  <c:v>15.28</c:v>
                </c:pt>
              </c:numCache>
            </c:numRef>
          </c:val>
          <c:smooth val="0"/>
        </c:ser>
        <c:ser>
          <c:idx val="1"/>
          <c:order val="1"/>
          <c:tx>
            <c:strRef>
              <c:f>'EPA - España-Cataluña'!$A$7</c:f>
              <c:strCache>
                <c:ptCount val="1"/>
                <c:pt idx="0">
                  <c:v>Catalunya</c:v>
                </c:pt>
              </c:strCache>
            </c:strRef>
          </c:tx>
          <c:marker>
            <c:symbol val="none"/>
          </c:marker>
          <c:dLbls>
            <c:dLbl>
              <c:idx val="0"/>
              <c:layout>
                <c:manualLayout>
                  <c:x val="-2.2132925646004799E-2"/>
                  <c:y val="3.1625012022796099E-2"/>
                </c:manualLayout>
              </c:layout>
              <c:showLegendKey val="0"/>
              <c:showVal val="1"/>
              <c:showCatName val="0"/>
              <c:showSerName val="0"/>
              <c:showPercent val="0"/>
              <c:showBubbleSize val="0"/>
            </c:dLbl>
            <c:dLbl>
              <c:idx val="3"/>
              <c:layout>
                <c:manualLayout>
                  <c:x val="-1.29108732935028E-2"/>
                  <c:y val="4.7437518034194201E-2"/>
                </c:manualLayout>
              </c:layout>
              <c:showLegendKey val="0"/>
              <c:showVal val="1"/>
              <c:showCatName val="0"/>
              <c:showSerName val="0"/>
              <c:showPercent val="0"/>
              <c:showBubbleSize val="0"/>
            </c:dLbl>
            <c:dLbl>
              <c:idx val="8"/>
              <c:layout/>
              <c:showLegendKey val="0"/>
              <c:showVal val="1"/>
              <c:showCatName val="0"/>
              <c:showSerName val="0"/>
              <c:showPercent val="0"/>
              <c:showBubbleSize val="0"/>
            </c:dLbl>
            <c:dLbl>
              <c:idx val="12"/>
              <c:layout>
                <c:manualLayout>
                  <c:x val="3.6888209410007298E-3"/>
                  <c:y val="-1.5812506011398102E-2"/>
                </c:manualLayout>
              </c:layout>
              <c:showLegendKey val="0"/>
              <c:showVal val="1"/>
              <c:showCatName val="0"/>
              <c:showSerName val="0"/>
              <c:showPercent val="0"/>
              <c:showBubbleSize val="0"/>
            </c:dLbl>
            <c:dLbl>
              <c:idx val="16"/>
              <c:layout/>
              <c:showLegendKey val="0"/>
              <c:showVal val="1"/>
              <c:showCatName val="0"/>
              <c:showSerName val="0"/>
              <c:showPercent val="0"/>
              <c:showBubbleSize val="0"/>
            </c:dLbl>
            <c:dLbl>
              <c:idx val="20"/>
              <c:layout/>
              <c:showLegendKey val="0"/>
              <c:showVal val="1"/>
              <c:showCatName val="0"/>
              <c:showSerName val="0"/>
              <c:showPercent val="0"/>
              <c:showBubbleSize val="0"/>
            </c:dLbl>
            <c:dLbl>
              <c:idx val="24"/>
              <c:layout>
                <c:manualLayout>
                  <c:x val="-1.8444104705004E-3"/>
                  <c:y val="-1.1859379508548601E-2"/>
                </c:manualLayout>
              </c:layout>
              <c:showLegendKey val="0"/>
              <c:showVal val="1"/>
              <c:showCatName val="0"/>
              <c:showSerName val="0"/>
              <c:showPercent val="0"/>
              <c:showBubbleSize val="0"/>
            </c:dLbl>
            <c:dLbl>
              <c:idx val="28"/>
              <c:layout/>
              <c:spPr/>
              <c:txPr>
                <a:bodyPr/>
                <a:lstStyle/>
                <a:p>
                  <a:pPr>
                    <a:defRPr b="1"/>
                  </a:pPr>
                  <a:endParaRPr lang="es-ES"/>
                </a:p>
              </c:txPr>
              <c:showLegendKey val="0"/>
              <c:showVal val="1"/>
              <c:showCatName val="0"/>
              <c:showSerName val="0"/>
              <c:showPercent val="0"/>
              <c:showBubbleSize val="0"/>
            </c:dLbl>
            <c:showLegendKey val="0"/>
            <c:showVal val="0"/>
            <c:showCatName val="0"/>
            <c:showSerName val="0"/>
            <c:showPercent val="0"/>
            <c:showBubbleSize val="0"/>
          </c:dLbls>
          <c:cat>
            <c:strRef>
              <c:f>'EPA - España-Cataluña'!$C$5:$AF$5</c:f>
              <c:strCache>
                <c:ptCount val="30"/>
                <c:pt idx="0">
                  <c:v>2T 2011</c:v>
                </c:pt>
                <c:pt idx="1">
                  <c:v>3T 2011</c:v>
                </c:pt>
                <c:pt idx="2">
                  <c:v>4T 2011</c:v>
                </c:pt>
                <c:pt idx="3">
                  <c:v>1T 2012</c:v>
                </c:pt>
                <c:pt idx="4">
                  <c:v>2T 2012</c:v>
                </c:pt>
                <c:pt idx="5">
                  <c:v>3T 2012</c:v>
                </c:pt>
                <c:pt idx="6">
                  <c:v>4T 2012</c:v>
                </c:pt>
                <c:pt idx="7">
                  <c:v>1T 2013</c:v>
                </c:pt>
                <c:pt idx="8">
                  <c:v>2T 2013</c:v>
                </c:pt>
                <c:pt idx="9">
                  <c:v>3T 2013</c:v>
                </c:pt>
                <c:pt idx="10">
                  <c:v>4T 2013</c:v>
                </c:pt>
                <c:pt idx="11">
                  <c:v>1T 2014</c:v>
                </c:pt>
                <c:pt idx="12">
                  <c:v>2T 2014</c:v>
                </c:pt>
                <c:pt idx="13">
                  <c:v>3T 2014</c:v>
                </c:pt>
                <c:pt idx="14">
                  <c:v>4T 2014</c:v>
                </c:pt>
                <c:pt idx="15">
                  <c:v>1T 2015</c:v>
                </c:pt>
                <c:pt idx="16">
                  <c:v>2T 2015</c:v>
                </c:pt>
                <c:pt idx="17">
                  <c:v>3T 2015</c:v>
                </c:pt>
                <c:pt idx="18">
                  <c:v>4T 2015</c:v>
                </c:pt>
                <c:pt idx="19">
                  <c:v>1T 2016</c:v>
                </c:pt>
                <c:pt idx="20">
                  <c:v>2T 2016</c:v>
                </c:pt>
                <c:pt idx="21">
                  <c:v>3T 2016</c:v>
                </c:pt>
                <c:pt idx="22">
                  <c:v>4T 2016 </c:v>
                </c:pt>
                <c:pt idx="23">
                  <c:v>1T 2017</c:v>
                </c:pt>
                <c:pt idx="24">
                  <c:v>2T 2017</c:v>
                </c:pt>
                <c:pt idx="25">
                  <c:v>3T 2017</c:v>
                </c:pt>
                <c:pt idx="26">
                  <c:v>4T 2017</c:v>
                </c:pt>
                <c:pt idx="27">
                  <c:v>1T2018</c:v>
                </c:pt>
                <c:pt idx="28">
                  <c:v>2T2018</c:v>
                </c:pt>
                <c:pt idx="29">
                  <c:v>3T2018</c:v>
                </c:pt>
              </c:strCache>
            </c:strRef>
          </c:cat>
          <c:val>
            <c:numRef>
              <c:f>'EPA - España-Cataluña'!$C$7:$AF$7</c:f>
              <c:numCache>
                <c:formatCode>General</c:formatCode>
                <c:ptCount val="30"/>
                <c:pt idx="0">
                  <c:v>17.93</c:v>
                </c:pt>
                <c:pt idx="1">
                  <c:v>19.38</c:v>
                </c:pt>
                <c:pt idx="2">
                  <c:v>20.399999999999999</c:v>
                </c:pt>
                <c:pt idx="3" formatCode="0.00">
                  <c:v>22</c:v>
                </c:pt>
                <c:pt idx="4">
                  <c:v>21.79</c:v>
                </c:pt>
                <c:pt idx="5">
                  <c:v>22.46</c:v>
                </c:pt>
                <c:pt idx="6">
                  <c:v>23.81</c:v>
                </c:pt>
                <c:pt idx="7">
                  <c:v>24.45</c:v>
                </c:pt>
                <c:pt idx="8">
                  <c:v>23.61</c:v>
                </c:pt>
                <c:pt idx="9">
                  <c:v>22.55</c:v>
                </c:pt>
                <c:pt idx="10">
                  <c:v>21.87</c:v>
                </c:pt>
                <c:pt idx="11" formatCode="0.00">
                  <c:v>22.1</c:v>
                </c:pt>
                <c:pt idx="12" formatCode="0.00">
                  <c:v>20.22</c:v>
                </c:pt>
                <c:pt idx="13" formatCode="0.00">
                  <c:v>19.100000000000001</c:v>
                </c:pt>
                <c:pt idx="14" formatCode="0.00">
                  <c:v>19.88</c:v>
                </c:pt>
                <c:pt idx="15" formatCode="0.00">
                  <c:v>20.05</c:v>
                </c:pt>
                <c:pt idx="16" formatCode="0.00">
                  <c:v>19.100000000000001</c:v>
                </c:pt>
                <c:pt idx="17" formatCode="0.00">
                  <c:v>17.489999999999998</c:v>
                </c:pt>
                <c:pt idx="18" formatCode="0.00">
                  <c:v>17.73</c:v>
                </c:pt>
                <c:pt idx="19">
                  <c:v>17.420000000000002</c:v>
                </c:pt>
                <c:pt idx="20">
                  <c:v>15.95</c:v>
                </c:pt>
                <c:pt idx="21">
                  <c:v>14.63</c:v>
                </c:pt>
                <c:pt idx="22">
                  <c:v>14.85</c:v>
                </c:pt>
                <c:pt idx="23" formatCode="0.00">
                  <c:v>15.28</c:v>
                </c:pt>
                <c:pt idx="24" formatCode="0.00">
                  <c:v>13.2</c:v>
                </c:pt>
                <c:pt idx="25" formatCode="0.00">
                  <c:v>12.54</c:v>
                </c:pt>
                <c:pt idx="26" formatCode="0.00">
                  <c:v>12.63</c:v>
                </c:pt>
                <c:pt idx="27" formatCode="0.00">
                  <c:v>12.19</c:v>
                </c:pt>
                <c:pt idx="28" formatCode="0.00">
                  <c:v>11.4</c:v>
                </c:pt>
              </c:numCache>
            </c:numRef>
          </c:val>
          <c:smooth val="0"/>
        </c:ser>
        <c:dLbls>
          <c:showLegendKey val="0"/>
          <c:showVal val="0"/>
          <c:showCatName val="0"/>
          <c:showSerName val="0"/>
          <c:showPercent val="0"/>
          <c:showBubbleSize val="0"/>
        </c:dLbls>
        <c:marker val="1"/>
        <c:smooth val="0"/>
        <c:axId val="147049472"/>
        <c:axId val="147403520"/>
      </c:lineChart>
      <c:dateAx>
        <c:axId val="147049472"/>
        <c:scaling>
          <c:orientation val="minMax"/>
        </c:scaling>
        <c:delete val="0"/>
        <c:axPos val="b"/>
        <c:majorTickMark val="out"/>
        <c:minorTickMark val="none"/>
        <c:tickLblPos val="nextTo"/>
        <c:txPr>
          <a:bodyPr/>
          <a:lstStyle/>
          <a:p>
            <a:pPr>
              <a:defRPr sz="900"/>
            </a:pPr>
            <a:endParaRPr lang="es-ES"/>
          </a:p>
        </c:txPr>
        <c:crossAx val="147403520"/>
        <c:crosses val="autoZero"/>
        <c:auto val="0"/>
        <c:lblOffset val="100"/>
        <c:baseTimeUnit val="days"/>
        <c:majorUnit val="4"/>
        <c:minorUnit val="2"/>
      </c:dateAx>
      <c:valAx>
        <c:axId val="147403520"/>
        <c:scaling>
          <c:orientation val="minMax"/>
          <c:min val="5"/>
        </c:scaling>
        <c:delete val="0"/>
        <c:axPos val="l"/>
        <c:numFmt formatCode="General" sourceLinked="1"/>
        <c:majorTickMark val="out"/>
        <c:minorTickMark val="none"/>
        <c:tickLblPos val="nextTo"/>
        <c:crossAx val="147049472"/>
        <c:crosses val="autoZero"/>
        <c:crossBetween val="between"/>
      </c:valAx>
    </c:plotArea>
    <c:legend>
      <c:legendPos val="r"/>
      <c:layout>
        <c:manualLayout>
          <c:xMode val="edge"/>
          <c:yMode val="edge"/>
          <c:x val="0.63860359828507596"/>
          <c:y val="0.62811569400559697"/>
          <c:w val="0.18293088363954499"/>
          <c:h val="0.1674343832021"/>
        </c:manualLayout>
      </c:layout>
      <c:overlay val="0"/>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600"/>
            </a:pPr>
            <a:r>
              <a:rPr lang="es-ES" sz="1600"/>
              <a:t>Preavís en la distribució irregular de la jornada</a:t>
            </a:r>
          </a:p>
        </c:rich>
      </c:tx>
      <c:overlay val="0"/>
    </c:title>
    <c:autoTitleDeleted val="0"/>
    <c:plotArea>
      <c:layout/>
      <c:barChart>
        <c:barDir val="bar"/>
        <c:grouping val="clustered"/>
        <c:varyColors val="0"/>
        <c:ser>
          <c:idx val="0"/>
          <c:order val="0"/>
          <c:invertIfNegative val="0"/>
          <c:dLbls>
            <c:dLbl>
              <c:idx val="0"/>
              <c:tx>
                <c:rich>
                  <a:bodyPr/>
                  <a:lstStyle/>
                  <a:p>
                    <a:r>
                      <a:rPr lang="en-US"/>
                      <a:t>10,71%</a:t>
                    </a:r>
                  </a:p>
                </c:rich>
              </c:tx>
              <c:showLegendKey val="0"/>
              <c:showVal val="1"/>
              <c:showCatName val="0"/>
              <c:showSerName val="0"/>
              <c:showPercent val="0"/>
              <c:showBubbleSize val="0"/>
            </c:dLbl>
            <c:dLbl>
              <c:idx val="1"/>
              <c:tx>
                <c:rich>
                  <a:bodyPr/>
                  <a:lstStyle/>
                  <a:p>
                    <a:r>
                      <a:rPr lang="en-US"/>
                      <a:t>64,29%</a:t>
                    </a:r>
                  </a:p>
                </c:rich>
              </c:tx>
              <c:showLegendKey val="0"/>
              <c:showVal val="1"/>
              <c:showCatName val="0"/>
              <c:showSerName val="0"/>
              <c:showPercent val="0"/>
              <c:showBubbleSize val="0"/>
            </c:dLbl>
            <c:dLbl>
              <c:idx val="2"/>
              <c:tx>
                <c:rich>
                  <a:bodyPr/>
                  <a:lstStyle/>
                  <a:p>
                    <a:r>
                      <a:rPr lang="en-US"/>
                      <a:t>25,00%</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'Distribución irregular jornada '!$A$6:$A$8</c:f>
              <c:strCache>
                <c:ptCount val="3"/>
                <c:pt idx="0">
                  <c:v>Menys de 5 dies</c:v>
                </c:pt>
                <c:pt idx="1">
                  <c:v>5 dies </c:v>
                </c:pt>
                <c:pt idx="2">
                  <c:v>Més de 5 dies </c:v>
                </c:pt>
              </c:strCache>
            </c:strRef>
          </c:cat>
          <c:val>
            <c:numRef>
              <c:f>'Distribución irregular jornada '!$Q$2:$Q$4</c:f>
              <c:numCache>
                <c:formatCode>0.00</c:formatCode>
                <c:ptCount val="3"/>
                <c:pt idx="0">
                  <c:v>10.71428571428571</c:v>
                </c:pt>
                <c:pt idx="1">
                  <c:v>64.285714285714306</c:v>
                </c:pt>
                <c:pt idx="2">
                  <c:v>25</c:v>
                </c:pt>
              </c:numCache>
            </c:numRef>
          </c:val>
          <c:extLst xmlns:c16r2="http://schemas.microsoft.com/office/drawing/2015/06/chart">
            <c:ext xmlns:c16="http://schemas.microsoft.com/office/drawing/2014/chart" uri="{C3380CC4-5D6E-409C-BE32-E72D297353CC}">
              <c16:uniqueId val="{00000000-D84C-471B-A0C0-66568B5659D1}"/>
            </c:ext>
          </c:extLst>
        </c:ser>
        <c:dLbls>
          <c:showLegendKey val="0"/>
          <c:showVal val="0"/>
          <c:showCatName val="0"/>
          <c:showSerName val="0"/>
          <c:showPercent val="0"/>
          <c:showBubbleSize val="0"/>
        </c:dLbls>
        <c:gapWidth val="150"/>
        <c:axId val="172218240"/>
        <c:axId val="172219776"/>
      </c:barChart>
      <c:catAx>
        <c:axId val="172218240"/>
        <c:scaling>
          <c:orientation val="minMax"/>
        </c:scaling>
        <c:delete val="0"/>
        <c:axPos val="l"/>
        <c:numFmt formatCode="General" sourceLinked="0"/>
        <c:majorTickMark val="out"/>
        <c:minorTickMark val="none"/>
        <c:tickLblPos val="nextTo"/>
        <c:crossAx val="172219776"/>
        <c:crosses val="autoZero"/>
        <c:auto val="1"/>
        <c:lblAlgn val="ctr"/>
        <c:lblOffset val="100"/>
        <c:noMultiLvlLbl val="0"/>
      </c:catAx>
      <c:valAx>
        <c:axId val="172219776"/>
        <c:scaling>
          <c:orientation val="minMax"/>
        </c:scaling>
        <c:delete val="1"/>
        <c:axPos val="b"/>
        <c:numFmt formatCode="0.00" sourceLinked="1"/>
        <c:majorTickMark val="out"/>
        <c:minorTickMark val="none"/>
        <c:tickLblPos val="nextTo"/>
        <c:crossAx val="172218240"/>
        <c:crosses val="autoZero"/>
        <c:crossBetween val="between"/>
      </c:valAx>
    </c:plotArea>
    <c:plotVisOnly val="1"/>
    <c:dispBlanksAs val="gap"/>
    <c:showDLblsOverMax val="0"/>
  </c:chart>
  <c:spPr>
    <a:ln>
      <a:solidFill>
        <a:srgbClr val="C00000"/>
      </a:solidFill>
    </a:ln>
  </c:spPr>
  <c:txPr>
    <a:bodyPr/>
    <a:lstStyle/>
    <a:p>
      <a:pPr>
        <a:defRPr>
          <a:latin typeface="Rotis Sans Serif Std Light" pitchFamily="34" charset="0"/>
        </a:defRPr>
      </a:pPr>
      <a:endParaRPr lang="es-E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a:pPr>
            <a:r>
              <a:rPr lang="es-ES" sz="1600"/>
              <a:t>Percentatge establert en la distribució irregular de la jornada </a:t>
            </a:r>
          </a:p>
        </c:rich>
      </c:tx>
      <c:overlay val="0"/>
    </c:title>
    <c:autoTitleDeleted val="0"/>
    <c:plotArea>
      <c:layout/>
      <c:barChart>
        <c:barDir val="bar"/>
        <c:grouping val="clustered"/>
        <c:varyColors val="0"/>
        <c:ser>
          <c:idx val="0"/>
          <c:order val="0"/>
          <c:invertIfNegative val="0"/>
          <c:dLbls>
            <c:dLbl>
              <c:idx val="0"/>
              <c:tx>
                <c:rich>
                  <a:bodyPr/>
                  <a:lstStyle/>
                  <a:p>
                    <a:r>
                      <a:rPr lang="en-US"/>
                      <a:t>23,08%</a:t>
                    </a:r>
                  </a:p>
                </c:rich>
              </c:tx>
              <c:showLegendKey val="0"/>
              <c:showVal val="1"/>
              <c:showCatName val="0"/>
              <c:showSerName val="0"/>
              <c:showPercent val="0"/>
              <c:showBubbleSize val="0"/>
            </c:dLbl>
            <c:dLbl>
              <c:idx val="1"/>
              <c:tx>
                <c:rich>
                  <a:bodyPr/>
                  <a:lstStyle/>
                  <a:p>
                    <a:r>
                      <a:rPr lang="en-US"/>
                      <a:t>50%</a:t>
                    </a:r>
                  </a:p>
                </c:rich>
              </c:tx>
              <c:showLegendKey val="0"/>
              <c:showVal val="1"/>
              <c:showCatName val="0"/>
              <c:showSerName val="0"/>
              <c:showPercent val="0"/>
              <c:showBubbleSize val="0"/>
            </c:dLbl>
            <c:dLbl>
              <c:idx val="2"/>
              <c:tx>
                <c:rich>
                  <a:bodyPr/>
                  <a:lstStyle/>
                  <a:p>
                    <a:r>
                      <a:rPr lang="en-US"/>
                      <a:t>26,92%</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'Distribución irregular jornada '!$A$19:$A$21</c:f>
              <c:strCache>
                <c:ptCount val="3"/>
                <c:pt idx="0">
                  <c:v>Menys del 10%</c:v>
                </c:pt>
                <c:pt idx="1">
                  <c:v>El 10%</c:v>
                </c:pt>
                <c:pt idx="2">
                  <c:v>Més del 10%</c:v>
                </c:pt>
              </c:strCache>
            </c:strRef>
          </c:cat>
          <c:val>
            <c:numRef>
              <c:f>'Distribución irregular jornada '!$Q$20:$Q$22</c:f>
              <c:numCache>
                <c:formatCode>0.00</c:formatCode>
                <c:ptCount val="3"/>
                <c:pt idx="0">
                  <c:v>23.07692307692308</c:v>
                </c:pt>
                <c:pt idx="1">
                  <c:v>50</c:v>
                </c:pt>
                <c:pt idx="2">
                  <c:v>26.92307692307692</c:v>
                </c:pt>
              </c:numCache>
            </c:numRef>
          </c:val>
          <c:extLst xmlns:c16r2="http://schemas.microsoft.com/office/drawing/2015/06/chart">
            <c:ext xmlns:c16="http://schemas.microsoft.com/office/drawing/2014/chart" uri="{C3380CC4-5D6E-409C-BE32-E72D297353CC}">
              <c16:uniqueId val="{00000000-D6D7-43AF-9942-A7CF53BBE361}"/>
            </c:ext>
          </c:extLst>
        </c:ser>
        <c:dLbls>
          <c:showLegendKey val="0"/>
          <c:showVal val="0"/>
          <c:showCatName val="0"/>
          <c:showSerName val="0"/>
          <c:showPercent val="0"/>
          <c:showBubbleSize val="0"/>
        </c:dLbls>
        <c:gapWidth val="150"/>
        <c:axId val="172142592"/>
        <c:axId val="172144128"/>
      </c:barChart>
      <c:catAx>
        <c:axId val="172142592"/>
        <c:scaling>
          <c:orientation val="minMax"/>
        </c:scaling>
        <c:delete val="0"/>
        <c:axPos val="l"/>
        <c:numFmt formatCode="General" sourceLinked="0"/>
        <c:majorTickMark val="none"/>
        <c:minorTickMark val="none"/>
        <c:tickLblPos val="nextTo"/>
        <c:crossAx val="172144128"/>
        <c:crosses val="autoZero"/>
        <c:auto val="1"/>
        <c:lblAlgn val="ctr"/>
        <c:lblOffset val="100"/>
        <c:noMultiLvlLbl val="0"/>
      </c:catAx>
      <c:valAx>
        <c:axId val="172144128"/>
        <c:scaling>
          <c:orientation val="minMax"/>
        </c:scaling>
        <c:delete val="1"/>
        <c:axPos val="b"/>
        <c:numFmt formatCode="0.00" sourceLinked="1"/>
        <c:majorTickMark val="none"/>
        <c:minorTickMark val="none"/>
        <c:tickLblPos val="nextTo"/>
        <c:crossAx val="172142592"/>
        <c:crosses val="autoZero"/>
        <c:crossBetween val="between"/>
      </c:valAx>
    </c:plotArea>
    <c:plotVisOnly val="1"/>
    <c:dispBlanksAs val="gap"/>
    <c:showDLblsOverMax val="0"/>
  </c:chart>
  <c:spPr>
    <a:ln>
      <a:solidFill>
        <a:srgbClr val="C00000"/>
      </a:solidFill>
    </a:ln>
  </c:spPr>
  <c:txPr>
    <a:bodyPr/>
    <a:lstStyle/>
    <a:p>
      <a:pPr>
        <a:defRPr>
          <a:latin typeface="Rotis Sans Serif Std Light" pitchFamily="34" charset="0"/>
        </a:defRPr>
      </a:pPr>
      <a:endParaRPr lang="es-E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ES"/>
              <a:t>Límit de la jornada diaria </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dLbl>
              <c:idx val="0"/>
              <c:tx>
                <c:rich>
                  <a:bodyPr/>
                  <a:lstStyle/>
                  <a:p>
                    <a:r>
                      <a:rPr lang="en-US">
                        <a:solidFill>
                          <a:sysClr val="windowText" lastClr="000000"/>
                        </a:solidFill>
                      </a:rPr>
                      <a:t>13,22%</a:t>
                    </a:r>
                    <a:endParaRPr lang="en-US"/>
                  </a:p>
                </c:rich>
              </c:tx>
              <c:showLegendKey val="0"/>
              <c:showVal val="1"/>
              <c:showCatName val="0"/>
              <c:showSerName val="0"/>
              <c:showPercent val="0"/>
              <c:showBubbleSize val="0"/>
            </c:dLbl>
            <c:dLbl>
              <c:idx val="1"/>
              <c:tx>
                <c:rich>
                  <a:bodyPr/>
                  <a:lstStyle/>
                  <a:p>
                    <a:r>
                      <a:rPr lang="en-US">
                        <a:solidFill>
                          <a:sysClr val="windowText" lastClr="000000"/>
                        </a:solidFill>
                      </a:rPr>
                      <a:t>67,77%</a:t>
                    </a:r>
                    <a:endParaRPr lang="en-US"/>
                  </a:p>
                </c:rich>
              </c:tx>
              <c:showLegendKey val="0"/>
              <c:showVal val="1"/>
              <c:showCatName val="0"/>
              <c:showSerName val="0"/>
              <c:showPercent val="0"/>
              <c:showBubbleSize val="0"/>
            </c:dLbl>
            <c:dLbl>
              <c:idx val="2"/>
              <c:tx>
                <c:rich>
                  <a:bodyPr/>
                  <a:lstStyle/>
                  <a:p>
                    <a:r>
                      <a:rPr lang="en-US">
                        <a:solidFill>
                          <a:sysClr val="windowText" lastClr="000000"/>
                        </a:solidFill>
                      </a:rPr>
                      <a:t>19,01%</a:t>
                    </a:r>
                    <a:endParaRPr lang="en-US"/>
                  </a:p>
                </c:rich>
              </c:tx>
              <c:showLegendKey val="0"/>
              <c:showVal val="1"/>
              <c:showCatName val="0"/>
              <c:showSerName val="0"/>
              <c:showPercent val="0"/>
              <c:showBubbleSize val="0"/>
            </c:dLbl>
            <c:txPr>
              <a:bodyPr/>
              <a:lstStyle/>
              <a:p>
                <a:pPr>
                  <a:defRPr>
                    <a:solidFill>
                      <a:sysClr val="windowText" lastClr="000000"/>
                    </a:solidFill>
                  </a:defRPr>
                </a:pPr>
                <a:endParaRPr lang="es-ES"/>
              </a:p>
            </c:txPr>
            <c:showLegendKey val="0"/>
            <c:showVal val="1"/>
            <c:showCatName val="0"/>
            <c:showSerName val="0"/>
            <c:showPercent val="0"/>
            <c:showBubbleSize val="0"/>
            <c:showLeaderLines val="0"/>
          </c:dLbls>
          <c:cat>
            <c:strRef>
              <c:f>'Límite de la jornada'!$E$16:$E$18</c:f>
              <c:strCache>
                <c:ptCount val="3"/>
                <c:pt idx="0">
                  <c:v>Menys de 9 hores</c:v>
                </c:pt>
                <c:pt idx="1">
                  <c:v>9 hores</c:v>
                </c:pt>
                <c:pt idx="2">
                  <c:v>Més de 9 hores</c:v>
                </c:pt>
              </c:strCache>
            </c:strRef>
          </c:cat>
          <c:val>
            <c:numRef>
              <c:f>'Límite de la jornada'!$M$16:$M$18</c:f>
              <c:numCache>
                <c:formatCode>0.00</c:formatCode>
                <c:ptCount val="3"/>
                <c:pt idx="0">
                  <c:v>13.223140495867771</c:v>
                </c:pt>
                <c:pt idx="1">
                  <c:v>67.7685950413223</c:v>
                </c:pt>
                <c:pt idx="2">
                  <c:v>19.008264462809919</c:v>
                </c:pt>
              </c:numCache>
            </c:numRef>
          </c:val>
          <c:extLst xmlns:c16r2="http://schemas.microsoft.com/office/drawing/2015/06/chart">
            <c:ext xmlns:c16="http://schemas.microsoft.com/office/drawing/2014/chart" uri="{C3380CC4-5D6E-409C-BE32-E72D297353CC}">
              <c16:uniqueId val="{00000000-7EA0-4862-A3C7-2C449F8B7BF1}"/>
            </c:ext>
          </c:extLst>
        </c:ser>
        <c:dLbls>
          <c:showLegendKey val="0"/>
          <c:showVal val="0"/>
          <c:showCatName val="0"/>
          <c:showSerName val="0"/>
          <c:showPercent val="0"/>
          <c:showBubbleSize val="0"/>
        </c:dLbls>
        <c:gapWidth val="182"/>
        <c:axId val="172361600"/>
        <c:axId val="172363136"/>
      </c:barChart>
      <c:catAx>
        <c:axId val="172361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s-ES"/>
          </a:p>
        </c:txPr>
        <c:crossAx val="172363136"/>
        <c:crosses val="autoZero"/>
        <c:auto val="1"/>
        <c:lblAlgn val="ctr"/>
        <c:lblOffset val="100"/>
        <c:noMultiLvlLbl val="0"/>
      </c:catAx>
      <c:valAx>
        <c:axId val="172363136"/>
        <c:scaling>
          <c:orientation val="minMax"/>
        </c:scaling>
        <c:delete val="1"/>
        <c:axPos val="b"/>
        <c:numFmt formatCode="0.00" sourceLinked="1"/>
        <c:majorTickMark val="none"/>
        <c:minorTickMark val="none"/>
        <c:tickLblPos val="nextTo"/>
        <c:crossAx val="172361600"/>
        <c:crosses val="autoZero"/>
        <c:crossBetween val="between"/>
      </c:valAx>
      <c:spPr>
        <a:noFill/>
        <a:ln>
          <a:noFill/>
        </a:ln>
        <a:effectLst/>
      </c:spPr>
    </c:plotArea>
    <c:plotVisOnly val="1"/>
    <c:dispBlanksAs val="gap"/>
    <c:showDLblsOverMax val="0"/>
  </c:chart>
  <c:spPr>
    <a:solidFill>
      <a:schemeClr val="lt1"/>
    </a:solidFill>
    <a:ln w="3175" cap="flat" cmpd="sng" algn="ctr">
      <a:solidFill>
        <a:srgbClr val="C00000"/>
      </a:solidFill>
      <a:prstDash val="solid"/>
    </a:ln>
    <a:effectLst/>
  </c:spPr>
  <c:txPr>
    <a:bodyPr/>
    <a:lstStyle/>
    <a:p>
      <a:pPr>
        <a:defRPr>
          <a:solidFill>
            <a:schemeClr val="dk1"/>
          </a:solidFill>
          <a:latin typeface="Rotis Sans Serif Std" pitchFamily="34" charset="0"/>
          <a:ea typeface="+mn-ea"/>
          <a:cs typeface="+mn-cs"/>
        </a:defRPr>
      </a:pPr>
      <a:endParaRPr lang="es-ES"/>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Hores extraordinàries </a:t>
            </a:r>
          </a:p>
        </c:rich>
      </c:tx>
      <c:layout/>
      <c:overlay val="0"/>
    </c:title>
    <c:autoTitleDeleted val="0"/>
    <c:plotArea>
      <c:layout/>
      <c:barChart>
        <c:barDir val="col"/>
        <c:grouping val="clustered"/>
        <c:varyColors val="0"/>
        <c:ser>
          <c:idx val="0"/>
          <c:order val="0"/>
          <c:invertIfNegative val="0"/>
          <c:dLbls>
            <c:dLbl>
              <c:idx val="0"/>
              <c:layout/>
              <c:tx>
                <c:rich>
                  <a:bodyPr/>
                  <a:lstStyle/>
                  <a:p>
                    <a:r>
                      <a:rPr lang="en-US"/>
                      <a:t>20,55%</a:t>
                    </a:r>
                  </a:p>
                </c:rich>
              </c:tx>
              <c:showLegendKey val="0"/>
              <c:showVal val="1"/>
              <c:showCatName val="0"/>
              <c:showSerName val="0"/>
              <c:showPercent val="0"/>
              <c:showBubbleSize val="0"/>
            </c:dLbl>
            <c:dLbl>
              <c:idx val="1"/>
              <c:layout/>
              <c:tx>
                <c:rich>
                  <a:bodyPr/>
                  <a:lstStyle/>
                  <a:p>
                    <a:r>
                      <a:rPr lang="en-US"/>
                      <a:t>15,53%</a:t>
                    </a:r>
                  </a:p>
                </c:rich>
              </c:tx>
              <c:showLegendKey val="0"/>
              <c:showVal val="1"/>
              <c:showCatName val="0"/>
              <c:showSerName val="0"/>
              <c:showPercent val="0"/>
              <c:showBubbleSize val="0"/>
            </c:dLbl>
            <c:dLbl>
              <c:idx val="2"/>
              <c:layout/>
              <c:tx>
                <c:rich>
                  <a:bodyPr/>
                  <a:lstStyle/>
                  <a:p>
                    <a:r>
                      <a:rPr lang="en-US"/>
                      <a:t>36,53%</a:t>
                    </a:r>
                  </a:p>
                </c:rich>
              </c:tx>
              <c:showLegendKey val="0"/>
              <c:showVal val="1"/>
              <c:showCatName val="0"/>
              <c:showSerName val="0"/>
              <c:showPercent val="0"/>
              <c:showBubbleSize val="0"/>
            </c:dLbl>
            <c:dLbl>
              <c:idx val="3"/>
              <c:layout/>
              <c:tx>
                <c:rich>
                  <a:bodyPr/>
                  <a:lstStyle/>
                  <a:p>
                    <a:r>
                      <a:rPr lang="en-US"/>
                      <a:t>27,40%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'Horas extraordinarias'!$O$9:$O$12</c:f>
              <c:strCache>
                <c:ptCount val="4"/>
                <c:pt idx="0">
                  <c:v>Es compensen preferentment amb descansos </c:v>
                </c:pt>
                <c:pt idx="1">
                  <c:v>Es compensen preferentment en metàl·lic</c:v>
                </c:pt>
                <c:pt idx="2">
                  <c:v>Es compensen indistintament amb descansos o en metàl·lic</c:v>
                </c:pt>
                <c:pt idx="3">
                  <c:v>No s'estableix per conveni la seva compensació</c:v>
                </c:pt>
              </c:strCache>
            </c:strRef>
          </c:cat>
          <c:val>
            <c:numRef>
              <c:f>'Horas extraordinarias'!$P$9:$P$12</c:f>
              <c:numCache>
                <c:formatCode>0.00</c:formatCode>
                <c:ptCount val="4"/>
                <c:pt idx="0">
                  <c:v>20.547945205479451</c:v>
                </c:pt>
                <c:pt idx="1">
                  <c:v>15.52511415525114</c:v>
                </c:pt>
                <c:pt idx="2">
                  <c:v>36.529680365296812</c:v>
                </c:pt>
                <c:pt idx="3">
                  <c:v>27.397260273972599</c:v>
                </c:pt>
              </c:numCache>
            </c:numRef>
          </c:val>
        </c:ser>
        <c:dLbls>
          <c:showLegendKey val="0"/>
          <c:showVal val="1"/>
          <c:showCatName val="0"/>
          <c:showSerName val="0"/>
          <c:showPercent val="0"/>
          <c:showBubbleSize val="0"/>
        </c:dLbls>
        <c:gapWidth val="150"/>
        <c:overlap val="-25"/>
        <c:axId val="172398848"/>
        <c:axId val="172418176"/>
      </c:barChart>
      <c:catAx>
        <c:axId val="172398848"/>
        <c:scaling>
          <c:orientation val="minMax"/>
        </c:scaling>
        <c:delete val="0"/>
        <c:axPos val="b"/>
        <c:majorTickMark val="none"/>
        <c:minorTickMark val="none"/>
        <c:tickLblPos val="nextTo"/>
        <c:crossAx val="172418176"/>
        <c:crosses val="autoZero"/>
        <c:auto val="1"/>
        <c:lblAlgn val="ctr"/>
        <c:lblOffset val="100"/>
        <c:noMultiLvlLbl val="0"/>
      </c:catAx>
      <c:valAx>
        <c:axId val="172418176"/>
        <c:scaling>
          <c:orientation val="minMax"/>
        </c:scaling>
        <c:delete val="1"/>
        <c:axPos val="l"/>
        <c:numFmt formatCode="0.00" sourceLinked="1"/>
        <c:majorTickMark val="out"/>
        <c:minorTickMark val="none"/>
        <c:tickLblPos val="nextTo"/>
        <c:crossAx val="172398848"/>
        <c:crosses val="autoZero"/>
        <c:crossBetween val="between"/>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a:pPr>
            <a:r>
              <a:rPr lang="es-ES" sz="1400"/>
              <a:t>Compensació hores extraordinaries amb descans </a:t>
            </a:r>
            <a:r>
              <a:rPr lang="es-ES" sz="1400" b="0"/>
              <a:t>1 hora ordinària = 100% </a:t>
            </a:r>
          </a:p>
        </c:rich>
      </c:tx>
      <c:layout/>
      <c:overlay val="0"/>
      <c:spPr>
        <a:noFill/>
        <a:ln>
          <a:noFill/>
        </a:ln>
        <a:effectLst/>
      </c:spPr>
    </c:title>
    <c:autoTitleDeleted val="0"/>
    <c:plotArea>
      <c:layout>
        <c:manualLayout>
          <c:layoutTarget val="inner"/>
          <c:xMode val="edge"/>
          <c:yMode val="edge"/>
          <c:x val="0.174697517318532"/>
          <c:y val="0.231064814814815"/>
          <c:w val="0.76366313841917299"/>
          <c:h val="0.66153579760863201"/>
        </c:manualLayout>
      </c:layout>
      <c:barChart>
        <c:barDir val="bar"/>
        <c:grouping val="clustered"/>
        <c:varyColors val="0"/>
        <c:ser>
          <c:idx val="0"/>
          <c:order val="0"/>
          <c:spPr>
            <a:solidFill>
              <a:schemeClr val="accent1"/>
            </a:solidFill>
            <a:ln>
              <a:noFill/>
            </a:ln>
            <a:effectLst/>
          </c:spPr>
          <c:invertIfNegative val="0"/>
          <c:cat>
            <c:strRef>
              <c:f>'Horas extraordinarias'!$N$26:$N$29</c:f>
              <c:strCache>
                <c:ptCount val="4"/>
                <c:pt idx="0">
                  <c:v>100-149%</c:v>
                </c:pt>
                <c:pt idx="1">
                  <c:v>150%</c:v>
                </c:pt>
                <c:pt idx="2">
                  <c:v>151-175%</c:v>
                </c:pt>
                <c:pt idx="3">
                  <c:v>Més de 175%</c:v>
                </c:pt>
              </c:strCache>
            </c:strRef>
          </c:cat>
          <c:val>
            <c:numRef>
              <c:f>'Horas extraordinarias'!$O$26:$O$29</c:f>
              <c:numCache>
                <c:formatCode>General</c:formatCode>
                <c:ptCount val="4"/>
              </c:numCache>
            </c:numRef>
          </c:val>
          <c:extLst xmlns:c16r2="http://schemas.microsoft.com/office/drawing/2015/06/chart">
            <c:ext xmlns:c16="http://schemas.microsoft.com/office/drawing/2014/chart" uri="{C3380CC4-5D6E-409C-BE32-E72D297353CC}">
              <c16:uniqueId val="{00000000-FD33-4A6C-86C0-ED98F13F3522}"/>
            </c:ext>
          </c:extLst>
        </c:ser>
        <c:ser>
          <c:idx val="1"/>
          <c:order val="1"/>
          <c:spPr>
            <a:solidFill>
              <a:schemeClr val="accent2"/>
            </a:solidFill>
            <a:ln>
              <a:noFill/>
            </a:ln>
            <a:effectLst/>
          </c:spPr>
          <c:invertIfNegative val="0"/>
          <c:dLbls>
            <c:dLbl>
              <c:idx val="0"/>
              <c:layout/>
              <c:tx>
                <c:rich>
                  <a:bodyPr/>
                  <a:lstStyle/>
                  <a:p>
                    <a:r>
                      <a:rPr lang="en-US"/>
                      <a:t>33,3%</a:t>
                    </a:r>
                  </a:p>
                </c:rich>
              </c:tx>
              <c:showLegendKey val="0"/>
              <c:showVal val="1"/>
              <c:showCatName val="0"/>
              <c:showSerName val="0"/>
              <c:showPercent val="0"/>
              <c:showBubbleSize val="0"/>
            </c:dLbl>
            <c:dLbl>
              <c:idx val="1"/>
              <c:layout/>
              <c:tx>
                <c:rich>
                  <a:bodyPr/>
                  <a:lstStyle/>
                  <a:p>
                    <a:r>
                      <a:rPr lang="en-US"/>
                      <a:t>33,33%</a:t>
                    </a:r>
                  </a:p>
                </c:rich>
              </c:tx>
              <c:showLegendKey val="0"/>
              <c:showVal val="1"/>
              <c:showCatName val="0"/>
              <c:showSerName val="0"/>
              <c:showPercent val="0"/>
              <c:showBubbleSize val="0"/>
            </c:dLbl>
            <c:dLbl>
              <c:idx val="2"/>
              <c:layout/>
              <c:tx>
                <c:rich>
                  <a:bodyPr/>
                  <a:lstStyle/>
                  <a:p>
                    <a:r>
                      <a:rPr lang="en-US"/>
                      <a:t>27,59%</a:t>
                    </a:r>
                  </a:p>
                </c:rich>
              </c:tx>
              <c:showLegendKey val="0"/>
              <c:showVal val="1"/>
              <c:showCatName val="0"/>
              <c:showSerName val="0"/>
              <c:showPercent val="0"/>
              <c:showBubbleSize val="0"/>
            </c:dLbl>
            <c:dLbl>
              <c:idx val="3"/>
              <c:layout/>
              <c:tx>
                <c:rich>
                  <a:bodyPr/>
                  <a:lstStyle/>
                  <a:p>
                    <a:r>
                      <a:rPr lang="en-US"/>
                      <a:t>5,75%</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'Horas extraordinarias'!$N$26:$N$29</c:f>
              <c:strCache>
                <c:ptCount val="4"/>
                <c:pt idx="0">
                  <c:v>100-149%</c:v>
                </c:pt>
                <c:pt idx="1">
                  <c:v>150%</c:v>
                </c:pt>
                <c:pt idx="2">
                  <c:v>151-175%</c:v>
                </c:pt>
                <c:pt idx="3">
                  <c:v>Més de 175%</c:v>
                </c:pt>
              </c:strCache>
            </c:strRef>
          </c:cat>
          <c:val>
            <c:numRef>
              <c:f>'Horas extraordinarias'!$P$26:$P$29</c:f>
              <c:numCache>
                <c:formatCode>0.00</c:formatCode>
                <c:ptCount val="4"/>
                <c:pt idx="0">
                  <c:v>33.333333333333343</c:v>
                </c:pt>
                <c:pt idx="1">
                  <c:v>33.333333333333343</c:v>
                </c:pt>
                <c:pt idx="2">
                  <c:v>27.586206896551719</c:v>
                </c:pt>
                <c:pt idx="3">
                  <c:v>5.7471264367816088</c:v>
                </c:pt>
              </c:numCache>
            </c:numRef>
          </c:val>
          <c:extLst xmlns:c16r2="http://schemas.microsoft.com/office/drawing/2015/06/chart">
            <c:ext xmlns:c16="http://schemas.microsoft.com/office/drawing/2014/chart" uri="{C3380CC4-5D6E-409C-BE32-E72D297353CC}">
              <c16:uniqueId val="{00000005-FD33-4A6C-86C0-ED98F13F3522}"/>
            </c:ext>
          </c:extLst>
        </c:ser>
        <c:dLbls>
          <c:showLegendKey val="0"/>
          <c:showVal val="0"/>
          <c:showCatName val="0"/>
          <c:showSerName val="0"/>
          <c:showPercent val="0"/>
          <c:showBubbleSize val="0"/>
        </c:dLbls>
        <c:gapWidth val="182"/>
        <c:axId val="172468864"/>
        <c:axId val="172491136"/>
      </c:barChart>
      <c:catAx>
        <c:axId val="172468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ES"/>
          </a:p>
        </c:txPr>
        <c:crossAx val="172491136"/>
        <c:crosses val="autoZero"/>
        <c:auto val="1"/>
        <c:lblAlgn val="ctr"/>
        <c:lblOffset val="100"/>
        <c:noMultiLvlLbl val="0"/>
      </c:catAx>
      <c:valAx>
        <c:axId val="172491136"/>
        <c:scaling>
          <c:orientation val="minMax"/>
        </c:scaling>
        <c:delete val="1"/>
        <c:axPos val="b"/>
        <c:numFmt formatCode="General" sourceLinked="1"/>
        <c:majorTickMark val="none"/>
        <c:minorTickMark val="none"/>
        <c:tickLblPos val="nextTo"/>
        <c:crossAx val="172468864"/>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C00000"/>
      </a:solidFill>
      <a:round/>
    </a:ln>
    <a:effectLst/>
  </c:spPr>
  <c:txPr>
    <a:bodyPr/>
    <a:lstStyle/>
    <a:p>
      <a:pPr>
        <a:defRPr>
          <a:solidFill>
            <a:sysClr val="windowText" lastClr="000000"/>
          </a:solidFill>
          <a:latin typeface="Rotis Sans Serif Std" pitchFamily="34" charset="0"/>
        </a:defRPr>
      </a:pPr>
      <a:endParaRPr lang="es-ES"/>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sz="1400">
                <a:latin typeface="Rotis Sans Serif Std" pitchFamily="34" charset="0"/>
              </a:defRPr>
            </a:pPr>
            <a:r>
              <a:rPr lang="en-US" sz="1400">
                <a:latin typeface="Rotis Sans Serif Std" pitchFamily="34" charset="0"/>
              </a:rPr>
              <a:t>% ocupats</a:t>
            </a:r>
            <a:r>
              <a:rPr lang="en-US" sz="1400" baseline="0">
                <a:latin typeface="Rotis Sans Serif Std" pitchFamily="34" charset="0"/>
              </a:rPr>
              <a:t> que assoleix desconnectar durant les vacances per grups d'edat</a:t>
            </a:r>
            <a:endParaRPr lang="en-US" sz="1400">
              <a:latin typeface="Rotis Sans Serif Std" pitchFamily="34" charset="0"/>
            </a:endParaRPr>
          </a:p>
        </c:rich>
      </c:tx>
      <c:layout/>
      <c:overlay val="0"/>
    </c:title>
    <c:autoTitleDeleted val="0"/>
    <c:plotArea>
      <c:layout>
        <c:manualLayout>
          <c:layoutTarget val="inner"/>
          <c:xMode val="edge"/>
          <c:yMode val="edge"/>
          <c:x val="6.4467230775257567E-2"/>
          <c:y val="0.2337587618847006"/>
          <c:w val="0.90070689857797626"/>
          <c:h val="0.49436539530258822"/>
        </c:manualLayout>
      </c:layout>
      <c:barChart>
        <c:barDir val="col"/>
        <c:grouping val="clustered"/>
        <c:varyColors val="0"/>
        <c:ser>
          <c:idx val="0"/>
          <c:order val="0"/>
          <c:tx>
            <c:strRef>
              <c:f>[Graficos.xlsx]Hoja1!$C$5</c:f>
              <c:strCache>
                <c:ptCount val="1"/>
                <c:pt idx="0">
                  <c:v>SÍ</c:v>
                </c:pt>
              </c:strCache>
            </c:strRef>
          </c:tx>
          <c:invertIfNegative val="0"/>
          <c:dLbls>
            <c:txPr>
              <a:bodyPr/>
              <a:lstStyle/>
              <a:p>
                <a:pPr>
                  <a:defRPr>
                    <a:latin typeface="Rotis Sans Serif Std" pitchFamily="34" charset="0"/>
                  </a:defRPr>
                </a:pPr>
                <a:endParaRPr lang="es-ES"/>
              </a:p>
            </c:txPr>
            <c:dLblPos val="inEnd"/>
            <c:showLegendKey val="0"/>
            <c:showVal val="1"/>
            <c:showCatName val="0"/>
            <c:showSerName val="0"/>
            <c:showPercent val="0"/>
            <c:showBubbleSize val="0"/>
            <c:showLeaderLines val="0"/>
          </c:dLbls>
          <c:cat>
            <c:strRef>
              <c:f>[Graficos.xlsx]Hoja1!$A$6:$B$9</c:f>
              <c:strCache>
                <c:ptCount val="4"/>
                <c:pt idx="0">
                  <c:v>Menys de 25 anys</c:v>
                </c:pt>
                <c:pt idx="1">
                  <c:v>Entre 25 i 45 anys</c:v>
                </c:pt>
                <c:pt idx="2">
                  <c:v>Majors de 45 anys</c:v>
                </c:pt>
                <c:pt idx="3">
                  <c:v>TOTAL</c:v>
                </c:pt>
              </c:strCache>
            </c:strRef>
          </c:cat>
          <c:val>
            <c:numRef>
              <c:f>[Graficos.xlsx]Hoja1!$C$6:$C$9</c:f>
              <c:numCache>
                <c:formatCode>General</c:formatCode>
                <c:ptCount val="4"/>
                <c:pt idx="0">
                  <c:v>69.2</c:v>
                </c:pt>
                <c:pt idx="1">
                  <c:v>77</c:v>
                </c:pt>
                <c:pt idx="2">
                  <c:v>84.6</c:v>
                </c:pt>
                <c:pt idx="3">
                  <c:v>77.8</c:v>
                </c:pt>
              </c:numCache>
            </c:numRef>
          </c:val>
        </c:ser>
        <c:ser>
          <c:idx val="1"/>
          <c:order val="1"/>
          <c:tx>
            <c:strRef>
              <c:f>[Graficos.xlsx]Hoja1!$D$5</c:f>
              <c:strCache>
                <c:ptCount val="1"/>
                <c:pt idx="0">
                  <c:v>NO</c:v>
                </c:pt>
              </c:strCache>
            </c:strRef>
          </c:tx>
          <c:invertIfNegative val="0"/>
          <c:dLbls>
            <c:txPr>
              <a:bodyPr/>
              <a:lstStyle/>
              <a:p>
                <a:pPr>
                  <a:defRPr>
                    <a:latin typeface="Rotis Sans Serif Std" pitchFamily="34" charset="0"/>
                  </a:defRPr>
                </a:pPr>
                <a:endParaRPr lang="es-ES"/>
              </a:p>
            </c:txPr>
            <c:dLblPos val="inEnd"/>
            <c:showLegendKey val="0"/>
            <c:showVal val="1"/>
            <c:showCatName val="0"/>
            <c:showSerName val="0"/>
            <c:showPercent val="0"/>
            <c:showBubbleSize val="0"/>
            <c:showLeaderLines val="0"/>
          </c:dLbls>
          <c:cat>
            <c:strRef>
              <c:f>[Graficos.xlsx]Hoja1!$A$6:$B$9</c:f>
              <c:strCache>
                <c:ptCount val="4"/>
                <c:pt idx="0">
                  <c:v>Menys de 25 anys</c:v>
                </c:pt>
                <c:pt idx="1">
                  <c:v>Entre 25 i 45 anys</c:v>
                </c:pt>
                <c:pt idx="2">
                  <c:v>Majors de 45 anys</c:v>
                </c:pt>
                <c:pt idx="3">
                  <c:v>TOTAL</c:v>
                </c:pt>
              </c:strCache>
            </c:strRef>
          </c:cat>
          <c:val>
            <c:numRef>
              <c:f>[Graficos.xlsx]Hoja1!$D$6:$D$9</c:f>
              <c:numCache>
                <c:formatCode>General</c:formatCode>
                <c:ptCount val="4"/>
                <c:pt idx="0">
                  <c:v>30.8</c:v>
                </c:pt>
                <c:pt idx="1">
                  <c:v>23</c:v>
                </c:pt>
                <c:pt idx="2">
                  <c:v>15.4</c:v>
                </c:pt>
                <c:pt idx="3">
                  <c:v>22.2</c:v>
                </c:pt>
              </c:numCache>
            </c:numRef>
          </c:val>
        </c:ser>
        <c:dLbls>
          <c:showLegendKey val="0"/>
          <c:showVal val="0"/>
          <c:showCatName val="0"/>
          <c:showSerName val="0"/>
          <c:showPercent val="0"/>
          <c:showBubbleSize val="0"/>
        </c:dLbls>
        <c:gapWidth val="75"/>
        <c:overlap val="-25"/>
        <c:axId val="172508672"/>
        <c:axId val="172510208"/>
      </c:barChart>
      <c:catAx>
        <c:axId val="172508672"/>
        <c:scaling>
          <c:orientation val="minMax"/>
        </c:scaling>
        <c:delete val="0"/>
        <c:axPos val="b"/>
        <c:majorTickMark val="none"/>
        <c:minorTickMark val="none"/>
        <c:tickLblPos val="nextTo"/>
        <c:txPr>
          <a:bodyPr rot="0" vert="horz"/>
          <a:lstStyle/>
          <a:p>
            <a:pPr>
              <a:defRPr>
                <a:latin typeface="Rotis Sans Serif Std" pitchFamily="34" charset="0"/>
              </a:defRPr>
            </a:pPr>
            <a:endParaRPr lang="es-ES"/>
          </a:p>
        </c:txPr>
        <c:crossAx val="172510208"/>
        <c:crosses val="autoZero"/>
        <c:auto val="1"/>
        <c:lblAlgn val="ctr"/>
        <c:lblOffset val="100"/>
        <c:noMultiLvlLbl val="0"/>
      </c:catAx>
      <c:valAx>
        <c:axId val="172510208"/>
        <c:scaling>
          <c:orientation val="minMax"/>
        </c:scaling>
        <c:delete val="1"/>
        <c:axPos val="l"/>
        <c:numFmt formatCode="General" sourceLinked="1"/>
        <c:majorTickMark val="none"/>
        <c:minorTickMark val="none"/>
        <c:tickLblPos val="nextTo"/>
        <c:crossAx val="172508672"/>
        <c:crosses val="autoZero"/>
        <c:crossBetween val="between"/>
      </c:valAx>
      <c:spPr>
        <a:noFill/>
        <a:ln w="25400">
          <a:noFill/>
        </a:ln>
      </c:spPr>
    </c:plotArea>
    <c:legend>
      <c:legendPos val="b"/>
      <c:layout>
        <c:manualLayout>
          <c:xMode val="edge"/>
          <c:yMode val="edge"/>
          <c:x val="0.42861323978862109"/>
          <c:y val="0.8617532502314762"/>
          <c:w val="0.12287877547711519"/>
          <c:h val="7.5952369704687744E-2"/>
        </c:manualLayout>
      </c:layout>
      <c:overlay val="0"/>
      <c:txPr>
        <a:bodyPr/>
        <a:lstStyle/>
        <a:p>
          <a:pPr>
            <a:defRPr>
              <a:latin typeface="Rotis Sans Serif Std" pitchFamily="34" charset="0"/>
            </a:defRPr>
          </a:pPr>
          <a:endParaRPr lang="es-ES"/>
        </a:p>
      </c:txPr>
    </c:legend>
    <c:plotVisOnly val="1"/>
    <c:dispBlanksAs val="gap"/>
    <c:showDLblsOverMax val="0"/>
  </c:chart>
  <c:spPr>
    <a:ln>
      <a:solidFill>
        <a:srgbClr val="C00000"/>
      </a:solidFill>
    </a:ln>
  </c:sp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s-ES"/>
              <a:t>Causes al·legades</a:t>
            </a:r>
          </a:p>
        </c:rich>
      </c:tx>
      <c:layout/>
      <c:overlay val="0"/>
    </c:title>
    <c:autoTitleDeleted val="0"/>
    <c:plotArea>
      <c:layout/>
      <c:pieChart>
        <c:varyColors val="1"/>
        <c:ser>
          <c:idx val="0"/>
          <c:order val="0"/>
          <c:dLbls>
            <c:dLbl>
              <c:idx val="0"/>
              <c:layout>
                <c:manualLayout>
                  <c:x val="-0.14056167979002623"/>
                  <c:y val="2.3157261592300964E-2"/>
                </c:manualLayout>
              </c:layout>
              <c:tx>
                <c:rich>
                  <a:bodyPr/>
                  <a:lstStyle/>
                  <a:p>
                    <a:r>
                      <a:rPr lang="en-US">
                        <a:latin typeface="Rotis Sans Serif Std" pitchFamily="34" charset="0"/>
                      </a:rPr>
                      <a:t>49,5%</a:t>
                    </a:r>
                    <a:endParaRPr lang="en-US"/>
                  </a:p>
                </c:rich>
              </c:tx>
              <c:showLegendKey val="0"/>
              <c:showVal val="0"/>
              <c:showCatName val="0"/>
              <c:showSerName val="0"/>
              <c:showPercent val="1"/>
              <c:showBubbleSize val="0"/>
            </c:dLbl>
            <c:dLbl>
              <c:idx val="1"/>
              <c:layout>
                <c:manualLayout>
                  <c:x val="0.1016920384951881"/>
                  <c:y val="-0.1514381014873141"/>
                </c:manualLayout>
              </c:layout>
              <c:showLegendKey val="0"/>
              <c:showVal val="0"/>
              <c:showCatName val="0"/>
              <c:showSerName val="0"/>
              <c:showPercent val="1"/>
              <c:showBubbleSize val="0"/>
            </c:dLbl>
            <c:dLbl>
              <c:idx val="2"/>
              <c:layout/>
              <c:tx>
                <c:rich>
                  <a:bodyPr/>
                  <a:lstStyle/>
                  <a:p>
                    <a:r>
                      <a:rPr lang="en-US">
                        <a:latin typeface="Rotis Sans Serif Std" pitchFamily="34" charset="0"/>
                      </a:rPr>
                      <a:t>14,7%</a:t>
                    </a:r>
                    <a:endParaRPr lang="en-US"/>
                  </a:p>
                </c:rich>
              </c:tx>
              <c:showLegendKey val="0"/>
              <c:showVal val="0"/>
              <c:showCatName val="0"/>
              <c:showSerName val="0"/>
              <c:showPercent val="1"/>
              <c:showBubbleSize val="0"/>
            </c:dLbl>
            <c:dLbl>
              <c:idx val="3"/>
              <c:layout/>
              <c:tx>
                <c:rich>
                  <a:bodyPr/>
                  <a:lstStyle/>
                  <a:p>
                    <a:r>
                      <a:rPr lang="en-US">
                        <a:latin typeface="Rotis Sans Serif Std" pitchFamily="34" charset="0"/>
                      </a:rPr>
                      <a:t>6,8%</a:t>
                    </a:r>
                    <a:endParaRPr lang="en-US"/>
                  </a:p>
                </c:rich>
              </c:tx>
              <c:showLegendKey val="0"/>
              <c:showVal val="0"/>
              <c:showCatName val="0"/>
              <c:showSerName val="0"/>
              <c:showPercent val="1"/>
              <c:showBubbleSize val="0"/>
            </c:dLbl>
            <c:dLbl>
              <c:idx val="4"/>
              <c:layout/>
              <c:tx>
                <c:rich>
                  <a:bodyPr/>
                  <a:lstStyle/>
                  <a:p>
                    <a:r>
                      <a:rPr lang="en-US">
                        <a:latin typeface="Rotis Sans Serif Std" pitchFamily="34" charset="0"/>
                      </a:rPr>
                      <a:t>4,1%</a:t>
                    </a:r>
                    <a:endParaRPr lang="en-US"/>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[Graficos.xlsx]Hoja1!$A$26:$A$30</c:f>
              <c:strCache>
                <c:ptCount val="5"/>
                <c:pt idx="0">
                  <c:v>Dificultat de desvincular-se de temes laborals</c:v>
                </c:pt>
                <c:pt idx="1">
                  <c:v>Comunicació per iniciativa de l'empresa</c:v>
                </c:pt>
                <c:pt idx="2">
                  <c:v>No hi ha altre persona que desenvolupi les tasques</c:v>
                </c:pt>
                <c:pt idx="3">
                  <c:v>Impossibilitat de delegar en un company</c:v>
                </c:pt>
                <c:pt idx="4">
                  <c:v>Comunicació per iniciativa del treballador</c:v>
                </c:pt>
              </c:strCache>
            </c:strRef>
          </c:cat>
          <c:val>
            <c:numRef>
              <c:f>[Graficos.xlsx]Hoja1!$B$26:$B$30</c:f>
              <c:numCache>
                <c:formatCode>General</c:formatCode>
                <c:ptCount val="5"/>
                <c:pt idx="0">
                  <c:v>49.5</c:v>
                </c:pt>
                <c:pt idx="1">
                  <c:v>25</c:v>
                </c:pt>
                <c:pt idx="2">
                  <c:v>14.7</c:v>
                </c:pt>
                <c:pt idx="3">
                  <c:v>6.8</c:v>
                </c:pt>
                <c:pt idx="4">
                  <c:v>4.0999999999999996</c:v>
                </c:pt>
              </c:numCache>
            </c:numRef>
          </c:val>
        </c:ser>
        <c:ser>
          <c:idx val="1"/>
          <c:order val="1"/>
          <c:dLbls>
            <c:showLegendKey val="0"/>
            <c:showVal val="0"/>
            <c:showCatName val="0"/>
            <c:showSerName val="0"/>
            <c:showPercent val="1"/>
            <c:showBubbleSize val="0"/>
            <c:showLeaderLines val="1"/>
          </c:dLbls>
          <c:cat>
            <c:strRef>
              <c:f>[Graficos.xlsx]Hoja1!$A$26:$A$30</c:f>
              <c:strCache>
                <c:ptCount val="5"/>
                <c:pt idx="0">
                  <c:v>Dificultat de desvincular-se de temes laborals</c:v>
                </c:pt>
                <c:pt idx="1">
                  <c:v>Comunicació per iniciativa de l'empresa</c:v>
                </c:pt>
                <c:pt idx="2">
                  <c:v>No hi ha altre persona que desenvolupi les tasques</c:v>
                </c:pt>
                <c:pt idx="3">
                  <c:v>Impossibilitat de delegar en un company</c:v>
                </c:pt>
                <c:pt idx="4">
                  <c:v>Comunicació per iniciativa del treballador</c:v>
                </c:pt>
              </c:strCache>
            </c:strRef>
          </c:cat>
          <c:val>
            <c:numRef>
              <c:f>[Graficos.xlsx]Hoja1!$C$26:$C$30</c:f>
              <c:numCache>
                <c:formatCode>General</c:formatCode>
                <c:ptCount val="5"/>
              </c:numCache>
            </c:numRef>
          </c:val>
        </c:ser>
        <c:ser>
          <c:idx val="2"/>
          <c:order val="2"/>
          <c:dLbls>
            <c:showLegendKey val="0"/>
            <c:showVal val="0"/>
            <c:showCatName val="0"/>
            <c:showSerName val="0"/>
            <c:showPercent val="1"/>
            <c:showBubbleSize val="0"/>
            <c:showLeaderLines val="1"/>
          </c:dLbls>
          <c:cat>
            <c:strRef>
              <c:f>[Graficos.xlsx]Hoja1!$A$26:$A$30</c:f>
              <c:strCache>
                <c:ptCount val="5"/>
                <c:pt idx="0">
                  <c:v>Dificultat de desvincular-se de temes laborals</c:v>
                </c:pt>
                <c:pt idx="1">
                  <c:v>Comunicació per iniciativa de l'empresa</c:v>
                </c:pt>
                <c:pt idx="2">
                  <c:v>No hi ha altre persona que desenvolupi les tasques</c:v>
                </c:pt>
                <c:pt idx="3">
                  <c:v>Impossibilitat de delegar en un company</c:v>
                </c:pt>
                <c:pt idx="4">
                  <c:v>Comunicació per iniciativa del treballador</c:v>
                </c:pt>
              </c:strCache>
            </c:strRef>
          </c:cat>
          <c:val>
            <c:numRef>
              <c:f>[Graficos.xlsx]Hoja1!$D$26:$D$30</c:f>
              <c:numCache>
                <c:formatCode>General</c:formatCode>
                <c:ptCount val="5"/>
              </c:numCache>
            </c:numRef>
          </c:val>
        </c:ser>
        <c:ser>
          <c:idx val="3"/>
          <c:order val="3"/>
          <c:dLbls>
            <c:showLegendKey val="0"/>
            <c:showVal val="0"/>
            <c:showCatName val="0"/>
            <c:showSerName val="0"/>
            <c:showPercent val="1"/>
            <c:showBubbleSize val="0"/>
            <c:showLeaderLines val="1"/>
          </c:dLbls>
          <c:cat>
            <c:strRef>
              <c:f>[Graficos.xlsx]Hoja1!$A$26:$A$30</c:f>
              <c:strCache>
                <c:ptCount val="5"/>
                <c:pt idx="0">
                  <c:v>Dificultat de desvincular-se de temes laborals</c:v>
                </c:pt>
                <c:pt idx="1">
                  <c:v>Comunicació per iniciativa de l'empresa</c:v>
                </c:pt>
                <c:pt idx="2">
                  <c:v>No hi ha altre persona que desenvolupi les tasques</c:v>
                </c:pt>
                <c:pt idx="3">
                  <c:v>Impossibilitat de delegar en un company</c:v>
                </c:pt>
                <c:pt idx="4">
                  <c:v>Comunicació per iniciativa del treballador</c:v>
                </c:pt>
              </c:strCache>
            </c:strRef>
          </c:cat>
          <c:val>
            <c:numRef>
              <c:f>[Graficos.xlsx]Hoja1!$E$26:$E$30</c:f>
              <c:numCache>
                <c:formatCode>General</c:formatCode>
                <c:ptCount val="5"/>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sz="1600"/>
            </a:pPr>
            <a:r>
              <a:rPr lang="es-ES" sz="1600"/>
              <a:t>Formes de comunicació amb l'empresa</a:t>
            </a:r>
          </a:p>
        </c:rich>
      </c:tx>
      <c:layout/>
      <c:overlay val="0"/>
    </c:title>
    <c:autoTitleDeleted val="0"/>
    <c:plotArea>
      <c:layout/>
      <c:barChart>
        <c:barDir val="col"/>
        <c:grouping val="clustered"/>
        <c:varyColors val="0"/>
        <c:ser>
          <c:idx val="0"/>
          <c:order val="0"/>
          <c:invertIfNegative val="0"/>
          <c:dLbls>
            <c:dLbl>
              <c:idx val="0"/>
              <c:layout/>
              <c:tx>
                <c:rich>
                  <a:bodyPr/>
                  <a:lstStyle/>
                  <a:p>
                    <a:r>
                      <a:rPr lang="en-US">
                        <a:latin typeface="Rotis Sans Serif Std" pitchFamily="34" charset="0"/>
                      </a:rPr>
                      <a:t>53,10%</a:t>
                    </a:r>
                    <a:endParaRPr lang="en-US"/>
                  </a:p>
                </c:rich>
              </c:tx>
              <c:showLegendKey val="0"/>
              <c:showVal val="1"/>
              <c:showCatName val="0"/>
              <c:showSerName val="0"/>
              <c:showPercent val="0"/>
              <c:showBubbleSize val="0"/>
            </c:dLbl>
            <c:dLbl>
              <c:idx val="1"/>
              <c:layout/>
              <c:tx>
                <c:rich>
                  <a:bodyPr/>
                  <a:lstStyle/>
                  <a:p>
                    <a:r>
                      <a:rPr lang="en-US">
                        <a:latin typeface="Rotis Sans Serif Std" pitchFamily="34" charset="0"/>
                      </a:rPr>
                      <a:t>49%</a:t>
                    </a:r>
                    <a:endParaRPr lang="en-US"/>
                  </a:p>
                </c:rich>
              </c:tx>
              <c:showLegendKey val="0"/>
              <c:showVal val="1"/>
              <c:showCatName val="0"/>
              <c:showSerName val="0"/>
              <c:showPercent val="0"/>
              <c:showBubbleSize val="0"/>
            </c:dLbl>
            <c:dLbl>
              <c:idx val="2"/>
              <c:layout>
                <c:manualLayout>
                  <c:x val="2.2147856517935258E-3"/>
                  <c:y val="-6.5611909783624047E-3"/>
                </c:manualLayout>
              </c:layout>
              <c:tx>
                <c:rich>
                  <a:bodyPr/>
                  <a:lstStyle/>
                  <a:p>
                    <a:r>
                      <a:rPr lang="en-US">
                        <a:latin typeface="Rotis Sans Serif Std" pitchFamily="34" charset="0"/>
                      </a:rPr>
                      <a:t>35,90%</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[Graficos.xlsx]Hoja1!$A$49:$A$51</c:f>
              <c:strCache>
                <c:ptCount val="3"/>
                <c:pt idx="0">
                  <c:v>Trucades telefòniques</c:v>
                </c:pt>
                <c:pt idx="1">
                  <c:v>Serveis de missatgeria instantània</c:v>
                </c:pt>
                <c:pt idx="2">
                  <c:v>Correu electrònic</c:v>
                </c:pt>
              </c:strCache>
            </c:strRef>
          </c:cat>
          <c:val>
            <c:numRef>
              <c:f>[Graficos.xlsx]Hoja1!$B$49;[Graficos.xlsx]Hoja1!$B$50;[Graficos.xlsx]Hoja1!$B$51</c:f>
              <c:numCache>
                <c:formatCode>0%</c:formatCode>
                <c:ptCount val="3"/>
                <c:pt idx="0" formatCode="0.00%">
                  <c:v>0.53100000000000003</c:v>
                </c:pt>
                <c:pt idx="1">
                  <c:v>0.49</c:v>
                </c:pt>
                <c:pt idx="2" formatCode="0.00%">
                  <c:v>0.35899999999999999</c:v>
                </c:pt>
              </c:numCache>
            </c:numRef>
          </c:val>
        </c:ser>
        <c:dLbls>
          <c:showLegendKey val="0"/>
          <c:showVal val="0"/>
          <c:showCatName val="0"/>
          <c:showSerName val="0"/>
          <c:showPercent val="0"/>
          <c:showBubbleSize val="0"/>
        </c:dLbls>
        <c:gapWidth val="100"/>
        <c:axId val="137881472"/>
        <c:axId val="137883008"/>
      </c:barChart>
      <c:catAx>
        <c:axId val="137881472"/>
        <c:scaling>
          <c:orientation val="minMax"/>
        </c:scaling>
        <c:delete val="0"/>
        <c:axPos val="b"/>
        <c:majorTickMark val="out"/>
        <c:minorTickMark val="none"/>
        <c:tickLblPos val="nextTo"/>
        <c:crossAx val="137883008"/>
        <c:crosses val="autoZero"/>
        <c:auto val="1"/>
        <c:lblAlgn val="ctr"/>
        <c:lblOffset val="100"/>
        <c:noMultiLvlLbl val="0"/>
      </c:catAx>
      <c:valAx>
        <c:axId val="137883008"/>
        <c:scaling>
          <c:orientation val="minMax"/>
        </c:scaling>
        <c:delete val="0"/>
        <c:axPos val="l"/>
        <c:numFmt formatCode="0.00%" sourceLinked="1"/>
        <c:majorTickMark val="out"/>
        <c:minorTickMark val="none"/>
        <c:tickLblPos val="nextTo"/>
        <c:crossAx val="137881472"/>
        <c:crosses val="autoZero"/>
        <c:crossBetween val="between"/>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sz="1600">
                <a:latin typeface="Rotis Sans Serif Std" pitchFamily="34" charset="0"/>
              </a:defRPr>
            </a:pPr>
            <a:r>
              <a:rPr lang="es-ES" sz="1600">
                <a:latin typeface="Rotis Sans Serif Std" pitchFamily="34" charset="0"/>
              </a:rPr>
              <a:t>% Desconnexió</a:t>
            </a:r>
            <a:r>
              <a:rPr lang="es-ES" sz="1600" baseline="0">
                <a:latin typeface="Rotis Sans Serif Std" pitchFamily="34" charset="0"/>
              </a:rPr>
              <a:t> per ocupació del treballador</a:t>
            </a:r>
            <a:endParaRPr lang="es-ES" sz="1600">
              <a:latin typeface="Rotis Sans Serif Std" pitchFamily="34" charset="0"/>
            </a:endParaRPr>
          </a:p>
        </c:rich>
      </c:tx>
      <c:layout/>
      <c:overlay val="0"/>
    </c:title>
    <c:autoTitleDeleted val="0"/>
    <c:plotArea>
      <c:layout/>
      <c:barChart>
        <c:barDir val="col"/>
        <c:grouping val="clustered"/>
        <c:varyColors val="0"/>
        <c:ser>
          <c:idx val="0"/>
          <c:order val="0"/>
          <c:tx>
            <c:strRef>
              <c:f>[Graficos.xlsx]Hoja1!$B$61</c:f>
              <c:strCache>
                <c:ptCount val="1"/>
                <c:pt idx="0">
                  <c:v>DESCONNECTA</c:v>
                </c:pt>
              </c:strCache>
            </c:strRef>
          </c:tx>
          <c:invertIfNegative val="0"/>
          <c:dLbls>
            <c:txPr>
              <a:bodyPr/>
              <a:lstStyle/>
              <a:p>
                <a:pPr>
                  <a:defRPr>
                    <a:latin typeface="Rotis Sans Serif Std" pitchFamily="34" charset="0"/>
                  </a:defRPr>
                </a:pPr>
                <a:endParaRPr lang="es-ES"/>
              </a:p>
            </c:txPr>
            <c:showLegendKey val="0"/>
            <c:showVal val="1"/>
            <c:showCatName val="0"/>
            <c:showSerName val="0"/>
            <c:showPercent val="0"/>
            <c:showBubbleSize val="0"/>
            <c:showLeaderLines val="0"/>
          </c:dLbls>
          <c:cat>
            <c:strRef>
              <c:f>[Graficos.xlsx]Hoja1!$A$62:$A$65</c:f>
              <c:strCache>
                <c:ptCount val="4"/>
                <c:pt idx="0">
                  <c:v>Alt directiu</c:v>
                </c:pt>
                <c:pt idx="1">
                  <c:v>Directiu</c:v>
                </c:pt>
                <c:pt idx="2">
                  <c:v>Manager</c:v>
                </c:pt>
                <c:pt idx="3">
                  <c:v>Tècnic</c:v>
                </c:pt>
              </c:strCache>
            </c:strRef>
          </c:cat>
          <c:val>
            <c:numRef>
              <c:f>[Graficos.xlsx]Hoja1!$B$62:$B$65</c:f>
              <c:numCache>
                <c:formatCode>General</c:formatCode>
                <c:ptCount val="4"/>
                <c:pt idx="0">
                  <c:v>37.5</c:v>
                </c:pt>
                <c:pt idx="1">
                  <c:v>14.3</c:v>
                </c:pt>
                <c:pt idx="2">
                  <c:v>65.099999999999994</c:v>
                </c:pt>
                <c:pt idx="3">
                  <c:v>72.8</c:v>
                </c:pt>
              </c:numCache>
            </c:numRef>
          </c:val>
        </c:ser>
        <c:ser>
          <c:idx val="1"/>
          <c:order val="1"/>
          <c:tx>
            <c:strRef>
              <c:f>[Graficos.xlsx]Hoja1!$C$61</c:f>
              <c:strCache>
                <c:ptCount val="1"/>
                <c:pt idx="0">
                  <c:v>NO DESCONNECTA</c:v>
                </c:pt>
              </c:strCache>
            </c:strRef>
          </c:tx>
          <c:invertIfNegative val="0"/>
          <c:dLbls>
            <c:txPr>
              <a:bodyPr/>
              <a:lstStyle/>
              <a:p>
                <a:pPr>
                  <a:defRPr>
                    <a:latin typeface="Rotis Sans Serif Std" pitchFamily="34" charset="0"/>
                  </a:defRPr>
                </a:pPr>
                <a:endParaRPr lang="es-ES"/>
              </a:p>
            </c:txPr>
            <c:showLegendKey val="0"/>
            <c:showVal val="1"/>
            <c:showCatName val="0"/>
            <c:showSerName val="0"/>
            <c:showPercent val="0"/>
            <c:showBubbleSize val="0"/>
            <c:showLeaderLines val="0"/>
          </c:dLbls>
          <c:cat>
            <c:strRef>
              <c:f>[Graficos.xlsx]Hoja1!$A$62:$A$65</c:f>
              <c:strCache>
                <c:ptCount val="4"/>
                <c:pt idx="0">
                  <c:v>Alt directiu</c:v>
                </c:pt>
                <c:pt idx="1">
                  <c:v>Directiu</c:v>
                </c:pt>
                <c:pt idx="2">
                  <c:v>Manager</c:v>
                </c:pt>
                <c:pt idx="3">
                  <c:v>Tècnic</c:v>
                </c:pt>
              </c:strCache>
            </c:strRef>
          </c:cat>
          <c:val>
            <c:numRef>
              <c:f>[Graficos.xlsx]Hoja1!$C$62:$C$65</c:f>
              <c:numCache>
                <c:formatCode>General</c:formatCode>
                <c:ptCount val="4"/>
                <c:pt idx="0">
                  <c:v>62.5</c:v>
                </c:pt>
                <c:pt idx="1">
                  <c:v>85.7</c:v>
                </c:pt>
                <c:pt idx="2">
                  <c:v>34.9</c:v>
                </c:pt>
                <c:pt idx="3">
                  <c:v>27.2</c:v>
                </c:pt>
              </c:numCache>
            </c:numRef>
          </c:val>
        </c:ser>
        <c:dLbls>
          <c:showLegendKey val="0"/>
          <c:showVal val="0"/>
          <c:showCatName val="0"/>
          <c:showSerName val="0"/>
          <c:showPercent val="0"/>
          <c:showBubbleSize val="0"/>
        </c:dLbls>
        <c:gapWidth val="150"/>
        <c:axId val="172913792"/>
        <c:axId val="172915328"/>
      </c:barChart>
      <c:catAx>
        <c:axId val="172913792"/>
        <c:scaling>
          <c:orientation val="minMax"/>
        </c:scaling>
        <c:delete val="0"/>
        <c:axPos val="b"/>
        <c:majorTickMark val="none"/>
        <c:minorTickMark val="none"/>
        <c:tickLblPos val="nextTo"/>
        <c:txPr>
          <a:bodyPr/>
          <a:lstStyle/>
          <a:p>
            <a:pPr>
              <a:defRPr>
                <a:latin typeface="Rotis Sans Serif Std" pitchFamily="34" charset="0"/>
              </a:defRPr>
            </a:pPr>
            <a:endParaRPr lang="es-ES"/>
          </a:p>
        </c:txPr>
        <c:crossAx val="172915328"/>
        <c:crosses val="autoZero"/>
        <c:auto val="1"/>
        <c:lblAlgn val="ctr"/>
        <c:lblOffset val="100"/>
        <c:noMultiLvlLbl val="0"/>
      </c:catAx>
      <c:valAx>
        <c:axId val="172915328"/>
        <c:scaling>
          <c:orientation val="minMax"/>
        </c:scaling>
        <c:delete val="1"/>
        <c:axPos val="l"/>
        <c:numFmt formatCode="General" sourceLinked="1"/>
        <c:majorTickMark val="none"/>
        <c:minorTickMark val="none"/>
        <c:tickLblPos val="nextTo"/>
        <c:crossAx val="172913792"/>
        <c:crosses val="autoZero"/>
        <c:crossBetween val="between"/>
      </c:valAx>
    </c:plotArea>
    <c:legend>
      <c:legendPos val="r"/>
      <c:layout/>
      <c:overlay val="0"/>
      <c:txPr>
        <a:bodyPr/>
        <a:lstStyle/>
        <a:p>
          <a:pPr>
            <a:defRPr>
              <a:latin typeface="Rotis Sans Serif Std" pitchFamily="34" charset="0"/>
            </a:defRPr>
          </a:pPr>
          <a:endParaRPr lang="es-ES"/>
        </a:p>
      </c:txPr>
    </c:legend>
    <c:plotVisOnly val="1"/>
    <c:dispBlanksAs val="gap"/>
    <c:showDLblsOverMax val="0"/>
  </c:chart>
  <c:spPr>
    <a:ln>
      <a:solidFill>
        <a:srgbClr val="C00000"/>
      </a:solidFill>
    </a:ln>
  </c:sp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600"/>
            </a:pPr>
            <a:r>
              <a:rPr lang="en-US" sz="1600"/>
              <a:t>Percentantge de treballadors que fan teletreball </a:t>
            </a:r>
          </a:p>
        </c:rich>
      </c:tx>
      <c:layout>
        <c:manualLayout>
          <c:xMode val="edge"/>
          <c:yMode val="edge"/>
          <c:x val="0.30043893070242284"/>
          <c:y val="6.2305188352761394E-2"/>
        </c:manualLayout>
      </c:layout>
      <c:overlay val="0"/>
    </c:title>
    <c:autoTitleDeleted val="0"/>
    <c:plotArea>
      <c:layout>
        <c:manualLayout>
          <c:layoutTarget val="inner"/>
          <c:xMode val="edge"/>
          <c:yMode val="edge"/>
          <c:x val="1.4548996592817201E-2"/>
          <c:y val="0"/>
          <c:w val="0.97711318693858917"/>
          <c:h val="0.73973171886166134"/>
        </c:manualLayout>
      </c:layout>
      <c:barChart>
        <c:barDir val="col"/>
        <c:grouping val="stacked"/>
        <c:varyColors val="0"/>
        <c:ser>
          <c:idx val="0"/>
          <c:order val="0"/>
          <c:spPr>
            <a:ln w="3175">
              <a:noFill/>
            </a:ln>
          </c:spPr>
          <c:invertIfNegative val="0"/>
          <c:dPt>
            <c:idx val="15"/>
            <c:invertIfNegative val="0"/>
            <c:bubble3D val="0"/>
            <c:spPr>
              <a:solidFill>
                <a:schemeClr val="accent2">
                  <a:lumMod val="40000"/>
                  <a:lumOff val="60000"/>
                </a:schemeClr>
              </a:solidFill>
              <a:ln w="28575">
                <a:noFill/>
              </a:ln>
            </c:spPr>
          </c:dPt>
          <c:dLbls>
            <c:dLbl>
              <c:idx val="0"/>
              <c:layout>
                <c:manualLayout>
                  <c:x val="6.2111801242236021E-3"/>
                  <c:y val="-0.28817280346484103"/>
                </c:manualLayout>
              </c:layout>
              <c:dLblPos val="ctr"/>
              <c:showLegendKey val="0"/>
              <c:showVal val="1"/>
              <c:showCatName val="0"/>
              <c:showSerName val="0"/>
              <c:showPercent val="0"/>
              <c:showBubbleSize val="0"/>
            </c:dLbl>
            <c:dLbl>
              <c:idx val="1"/>
              <c:layout>
                <c:manualLayout>
                  <c:x val="2.070393374741201E-3"/>
                  <c:y val="-0.25124099696415231"/>
                </c:manualLayout>
              </c:layout>
              <c:dLblPos val="ctr"/>
              <c:showLegendKey val="0"/>
              <c:showVal val="1"/>
              <c:showCatName val="0"/>
              <c:showSerName val="0"/>
              <c:showPercent val="0"/>
              <c:showBubbleSize val="0"/>
            </c:dLbl>
            <c:dLbl>
              <c:idx val="2"/>
              <c:layout>
                <c:manualLayout>
                  <c:x val="0"/>
                  <c:y val="-0.22963425916407973"/>
                </c:manualLayout>
              </c:layout>
              <c:dLblPos val="ctr"/>
              <c:showLegendKey val="0"/>
              <c:showVal val="1"/>
              <c:showCatName val="0"/>
              <c:showSerName val="0"/>
              <c:showPercent val="0"/>
              <c:showBubbleSize val="0"/>
            </c:dLbl>
            <c:dLbl>
              <c:idx val="3"/>
              <c:layout>
                <c:manualLayout>
                  <c:x val="0"/>
                  <c:y val="-0.19966502881656764"/>
                </c:manualLayout>
              </c:layout>
              <c:dLblPos val="ctr"/>
              <c:showLegendKey val="0"/>
              <c:showVal val="1"/>
              <c:showCatName val="0"/>
              <c:showSerName val="0"/>
              <c:showPercent val="0"/>
              <c:showBubbleSize val="0"/>
            </c:dLbl>
            <c:dLbl>
              <c:idx val="4"/>
              <c:layout>
                <c:manualLayout>
                  <c:x val="0"/>
                  <c:y val="-0.19270245266339098"/>
                </c:manualLayout>
              </c:layout>
              <c:dLblPos val="ctr"/>
              <c:showLegendKey val="0"/>
              <c:showVal val="1"/>
              <c:showCatName val="0"/>
              <c:showSerName val="0"/>
              <c:showPercent val="0"/>
              <c:showBubbleSize val="0"/>
            </c:dLbl>
            <c:dLbl>
              <c:idx val="5"/>
              <c:layout>
                <c:manualLayout>
                  <c:x val="0"/>
                  <c:y val="-0.18085867203936323"/>
                </c:manualLayout>
              </c:layout>
              <c:dLblPos val="ctr"/>
              <c:showLegendKey val="0"/>
              <c:showVal val="1"/>
              <c:showCatName val="0"/>
              <c:showSerName val="0"/>
              <c:showPercent val="0"/>
              <c:showBubbleSize val="0"/>
            </c:dLbl>
            <c:dLbl>
              <c:idx val="7"/>
              <c:layout>
                <c:manualLayout>
                  <c:x val="6.2111801242236021E-3"/>
                  <c:y val="-0.16553332922157576"/>
                </c:manualLayout>
              </c:layout>
              <c:dLblPos val="ctr"/>
              <c:showLegendKey val="0"/>
              <c:showVal val="1"/>
              <c:showCatName val="0"/>
              <c:showSerName val="0"/>
              <c:showPercent val="0"/>
              <c:showBubbleSize val="0"/>
            </c:dLbl>
            <c:dLbl>
              <c:idx val="8"/>
              <c:layout>
                <c:manualLayout>
                  <c:x val="6.2111801242236402E-3"/>
                  <c:y val="-0.16553332922157576"/>
                </c:manualLayout>
              </c:layout>
              <c:dLblPos val="ctr"/>
              <c:showLegendKey val="0"/>
              <c:showVal val="1"/>
              <c:showCatName val="0"/>
              <c:showSerName val="0"/>
              <c:showPercent val="0"/>
              <c:showBubbleSize val="0"/>
            </c:dLbl>
            <c:spPr>
              <a:noFill/>
            </c:spPr>
            <c:txPr>
              <a:bodyPr/>
              <a:lstStyle/>
              <a:p>
                <a:pPr>
                  <a:defRPr sz="850" b="1"/>
                </a:pPr>
                <a:endParaRPr lang="es-ES"/>
              </a:p>
            </c:txPr>
            <c:dLblPos val="inEnd"/>
            <c:showLegendKey val="0"/>
            <c:showVal val="1"/>
            <c:showCatName val="0"/>
            <c:showSerName val="0"/>
            <c:showPercent val="0"/>
            <c:showBubbleSize val="0"/>
            <c:showLeaderLines val="0"/>
          </c:dLbls>
          <c:cat>
            <c:strRef>
              <c:f>'EPA. Jornada completa'!$G$40:$G$67</c:f>
              <c:strCache>
                <c:ptCount val="28"/>
                <c:pt idx="0">
                  <c:v>Dinamarca</c:v>
                </c:pt>
                <c:pt idx="1">
                  <c:v>Suècia</c:v>
                </c:pt>
                <c:pt idx="2">
                  <c:v>Països Baixos</c:v>
                </c:pt>
                <c:pt idx="3">
                  <c:v>Regne Unit </c:v>
                </c:pt>
                <c:pt idx="4">
                  <c:v>Luxemburg</c:v>
                </c:pt>
                <c:pt idx="5">
                  <c:v>França</c:v>
                </c:pt>
                <c:pt idx="6">
                  <c:v>Estònia</c:v>
                </c:pt>
                <c:pt idx="7">
                  <c:v>Finlàndia </c:v>
                </c:pt>
                <c:pt idx="8">
                  <c:v>Bèlgica</c:v>
                </c:pt>
                <c:pt idx="9">
                  <c:v>Irlanda </c:v>
                </c:pt>
                <c:pt idx="10">
                  <c:v>Malta</c:v>
                </c:pt>
                <c:pt idx="11">
                  <c:v>Eslovènia</c:v>
                </c:pt>
                <c:pt idx="12">
                  <c:v>Àustria</c:v>
                </c:pt>
                <c:pt idx="13">
                  <c:v>Croàcia</c:v>
                </c:pt>
                <c:pt idx="14">
                  <c:v>Xipre</c:v>
                </c:pt>
                <c:pt idx="15">
                  <c:v>Espanya</c:v>
                </c:pt>
                <c:pt idx="16">
                  <c:v>Bulgària</c:v>
                </c:pt>
                <c:pt idx="17">
                  <c:v>Letònia</c:v>
                </c:pt>
                <c:pt idx="18">
                  <c:v>Lituània</c:v>
                </c:pt>
                <c:pt idx="19">
                  <c:v>Romania</c:v>
                </c:pt>
                <c:pt idx="20">
                  <c:v>Alemanya</c:v>
                </c:pt>
                <c:pt idx="21">
                  <c:v>Portugal</c:v>
                </c:pt>
                <c:pt idx="22">
                  <c:v>Hongria</c:v>
                </c:pt>
                <c:pt idx="23">
                  <c:v>Eslovàquia</c:v>
                </c:pt>
                <c:pt idx="24">
                  <c:v>Polònia</c:v>
                </c:pt>
                <c:pt idx="25">
                  <c:v>República Txeca</c:v>
                </c:pt>
                <c:pt idx="26">
                  <c:v>Grècia</c:v>
                </c:pt>
                <c:pt idx="27">
                  <c:v>Itàlia</c:v>
                </c:pt>
              </c:strCache>
            </c:strRef>
          </c:cat>
          <c:val>
            <c:numRef>
              <c:f>'EPA. Jornada completa'!$H$40:$H$67</c:f>
              <c:numCache>
                <c:formatCode>0%</c:formatCode>
                <c:ptCount val="28"/>
                <c:pt idx="0">
                  <c:v>0.37</c:v>
                </c:pt>
                <c:pt idx="1">
                  <c:v>0.33</c:v>
                </c:pt>
                <c:pt idx="2">
                  <c:v>0.3</c:v>
                </c:pt>
                <c:pt idx="3">
                  <c:v>0.26</c:v>
                </c:pt>
                <c:pt idx="4">
                  <c:v>0.26</c:v>
                </c:pt>
                <c:pt idx="5">
                  <c:v>0.25</c:v>
                </c:pt>
                <c:pt idx="6">
                  <c:v>0.24</c:v>
                </c:pt>
                <c:pt idx="7">
                  <c:v>0.24</c:v>
                </c:pt>
                <c:pt idx="8">
                  <c:v>0.24</c:v>
                </c:pt>
                <c:pt idx="9">
                  <c:v>0.22</c:v>
                </c:pt>
                <c:pt idx="10">
                  <c:v>0.22</c:v>
                </c:pt>
                <c:pt idx="11">
                  <c:v>0.21</c:v>
                </c:pt>
                <c:pt idx="12">
                  <c:v>0.2</c:v>
                </c:pt>
                <c:pt idx="13">
                  <c:v>0.2</c:v>
                </c:pt>
                <c:pt idx="14">
                  <c:v>0.17</c:v>
                </c:pt>
                <c:pt idx="15">
                  <c:v>0.13</c:v>
                </c:pt>
                <c:pt idx="16">
                  <c:v>0.13</c:v>
                </c:pt>
                <c:pt idx="17">
                  <c:v>0.13</c:v>
                </c:pt>
                <c:pt idx="18">
                  <c:v>0.13</c:v>
                </c:pt>
                <c:pt idx="19">
                  <c:v>0.12</c:v>
                </c:pt>
                <c:pt idx="20">
                  <c:v>0.12</c:v>
                </c:pt>
                <c:pt idx="21">
                  <c:v>0.11</c:v>
                </c:pt>
                <c:pt idx="22">
                  <c:v>0.11</c:v>
                </c:pt>
                <c:pt idx="23">
                  <c:v>0.1</c:v>
                </c:pt>
                <c:pt idx="24">
                  <c:v>0.1</c:v>
                </c:pt>
                <c:pt idx="25">
                  <c:v>0.1</c:v>
                </c:pt>
                <c:pt idx="26">
                  <c:v>0.09</c:v>
                </c:pt>
                <c:pt idx="27">
                  <c:v>7.0000000000000007E-2</c:v>
                </c:pt>
              </c:numCache>
            </c:numRef>
          </c:val>
        </c:ser>
        <c:dLbls>
          <c:showLegendKey val="0"/>
          <c:showVal val="1"/>
          <c:showCatName val="0"/>
          <c:showSerName val="0"/>
          <c:showPercent val="0"/>
          <c:showBubbleSize val="0"/>
        </c:dLbls>
        <c:gapWidth val="57"/>
        <c:overlap val="-95"/>
        <c:axId val="172935808"/>
        <c:axId val="172943232"/>
      </c:barChart>
      <c:catAx>
        <c:axId val="172935808"/>
        <c:scaling>
          <c:orientation val="minMax"/>
        </c:scaling>
        <c:delete val="0"/>
        <c:axPos val="b"/>
        <c:majorTickMark val="none"/>
        <c:minorTickMark val="none"/>
        <c:tickLblPos val="nextTo"/>
        <c:crossAx val="172943232"/>
        <c:crosses val="autoZero"/>
        <c:auto val="1"/>
        <c:lblAlgn val="ctr"/>
        <c:lblOffset val="100"/>
        <c:noMultiLvlLbl val="0"/>
      </c:catAx>
      <c:valAx>
        <c:axId val="172943232"/>
        <c:scaling>
          <c:orientation val="minMax"/>
        </c:scaling>
        <c:delete val="1"/>
        <c:axPos val="l"/>
        <c:numFmt formatCode="0%" sourceLinked="1"/>
        <c:majorTickMark val="out"/>
        <c:minorTickMark val="none"/>
        <c:tickLblPos val="nextTo"/>
        <c:crossAx val="172935808"/>
        <c:crosses val="autoZero"/>
        <c:crossBetween val="between"/>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Ocupats a temps complert</a:t>
            </a:r>
          </a:p>
        </c:rich>
      </c:tx>
      <c:overlay val="1"/>
    </c:title>
    <c:autoTitleDeleted val="0"/>
    <c:plotArea>
      <c:layout>
        <c:manualLayout>
          <c:layoutTarget val="inner"/>
          <c:xMode val="edge"/>
          <c:yMode val="edge"/>
          <c:x val="0.10967771468430862"/>
          <c:y val="0.13433856766644231"/>
          <c:w val="0.87094374993188084"/>
          <c:h val="0.60023521981926786"/>
        </c:manualLayout>
      </c:layout>
      <c:lineChart>
        <c:grouping val="stacked"/>
        <c:varyColors val="0"/>
        <c:ser>
          <c:idx val="0"/>
          <c:order val="0"/>
          <c:marker>
            <c:symbol val="none"/>
          </c:marker>
          <c:dPt>
            <c:idx val="7"/>
            <c:bubble3D val="0"/>
          </c:dPt>
          <c:dLbls>
            <c:dLbl>
              <c:idx val="0"/>
              <c:layout>
                <c:manualLayout>
                  <c:x val="-3.4484553477473694E-2"/>
                  <c:y val="3.045604936278111E-2"/>
                </c:manualLayout>
              </c:layout>
              <c:dLblPos val="r"/>
              <c:showLegendKey val="0"/>
              <c:showVal val="1"/>
              <c:showCatName val="0"/>
              <c:showSerName val="0"/>
              <c:showPercent val="0"/>
              <c:showBubbleSize val="0"/>
            </c:dLbl>
            <c:dLbl>
              <c:idx val="8"/>
              <c:layout>
                <c:manualLayout>
                  <c:x val="-6.4782483849056008E-2"/>
                  <c:y val="3.045604936278111E-2"/>
                </c:manualLayout>
              </c:layout>
              <c:dLblPos val="r"/>
              <c:showLegendKey val="0"/>
              <c:showVal val="1"/>
              <c:showCatName val="0"/>
              <c:showSerName val="0"/>
              <c:showPercent val="0"/>
              <c:showBubbleSize val="0"/>
            </c:dLbl>
            <c:dLbl>
              <c:idx val="16"/>
              <c:layout>
                <c:manualLayout>
                  <c:x val="-8.1308627688100918E-2"/>
                  <c:y val="0"/>
                </c:manualLayout>
              </c:layout>
              <c:dLblPos val="r"/>
              <c:showLegendKey val="0"/>
              <c:showVal val="1"/>
              <c:showCatName val="0"/>
              <c:showSerName val="0"/>
              <c:showPercent val="0"/>
              <c:showBubbleSize val="0"/>
            </c:dLbl>
            <c:dLbl>
              <c:idx val="24"/>
              <c:layout>
                <c:manualLayout>
                  <c:x val="-5.3765054623026082E-2"/>
                  <c:y val="5.0760082271301847E-2"/>
                </c:manualLayout>
              </c:layout>
              <c:dLblPos val="r"/>
              <c:showLegendKey val="0"/>
              <c:showVal val="1"/>
              <c:showCatName val="0"/>
              <c:showSerName val="0"/>
              <c:showPercent val="0"/>
              <c:showBubbleSize val="0"/>
            </c:dLbl>
            <c:dLbl>
              <c:idx val="30"/>
              <c:delete val="1"/>
            </c:dLbl>
            <c:dLbl>
              <c:idx val="32"/>
              <c:layout>
                <c:manualLayout>
                  <c:x val="-5.3765054623026082E-2"/>
                  <c:y val="-3.5532057589911341E-2"/>
                </c:manualLayout>
              </c:layout>
              <c:dLblPos val="r"/>
              <c:showLegendKey val="0"/>
              <c:showVal val="1"/>
              <c:showCatName val="0"/>
              <c:showSerName val="0"/>
              <c:showPercent val="0"/>
              <c:showBubbleSize val="0"/>
            </c:dLbl>
            <c:dLbl>
              <c:idx val="36"/>
              <c:layout>
                <c:manualLayout>
                  <c:x val="-5.3765054623026082E-2"/>
                  <c:y val="3.045604936278111E-2"/>
                </c:manualLayout>
              </c:layout>
              <c:dLblPos val="r"/>
              <c:showLegendKey val="0"/>
              <c:showVal val="1"/>
              <c:showCatName val="0"/>
              <c:showSerName val="0"/>
              <c:showPercent val="0"/>
              <c:showBubbleSize val="0"/>
            </c:dLbl>
            <c:dLbl>
              <c:idx val="44"/>
              <c:layout>
                <c:manualLayout>
                  <c:x val="-1.0974704155999857E-2"/>
                  <c:y val="4.0608065817041482E-2"/>
                </c:manualLayout>
              </c:layout>
              <c:dLblPos val="r"/>
              <c:showLegendKey val="0"/>
              <c:showVal val="1"/>
              <c:showCatName val="0"/>
              <c:showSerName val="0"/>
              <c:showPercent val="0"/>
              <c:showBubbleSize val="0"/>
            </c:dLbl>
            <c:dLblPos val="ctr"/>
            <c:showLegendKey val="0"/>
            <c:showVal val="0"/>
            <c:showCatName val="0"/>
            <c:showSerName val="0"/>
            <c:showPercent val="0"/>
            <c:showBubbleSize val="0"/>
          </c:dLbls>
          <c:cat>
            <c:strRef>
              <c:f>'EPA. Jornada completa'!$A$6:$A$50</c:f>
              <c:strCache>
                <c:ptCount val="45"/>
                <c:pt idx="0">
                  <c:v>2T 2007</c:v>
                </c:pt>
                <c:pt idx="1">
                  <c:v>3T 2007</c:v>
                </c:pt>
                <c:pt idx="2">
                  <c:v>4T 2007</c:v>
                </c:pt>
                <c:pt idx="3">
                  <c:v>1T 2008</c:v>
                </c:pt>
                <c:pt idx="4">
                  <c:v>2T 2008</c:v>
                </c:pt>
                <c:pt idx="5">
                  <c:v>3T 2008</c:v>
                </c:pt>
                <c:pt idx="6">
                  <c:v>4T 2008</c:v>
                </c:pt>
                <c:pt idx="7">
                  <c:v>1T 2009</c:v>
                </c:pt>
                <c:pt idx="8">
                  <c:v>2T 2009</c:v>
                </c:pt>
                <c:pt idx="9">
                  <c:v>3T 2009</c:v>
                </c:pt>
                <c:pt idx="10">
                  <c:v>4T 2009</c:v>
                </c:pt>
                <c:pt idx="11">
                  <c:v>1T 2010</c:v>
                </c:pt>
                <c:pt idx="12">
                  <c:v>2T 2010</c:v>
                </c:pt>
                <c:pt idx="13">
                  <c:v>3T 2010</c:v>
                </c:pt>
                <c:pt idx="14">
                  <c:v>4T 2010</c:v>
                </c:pt>
                <c:pt idx="15">
                  <c:v>1T 2011</c:v>
                </c:pt>
                <c:pt idx="16">
                  <c:v>2T 2011</c:v>
                </c:pt>
                <c:pt idx="17">
                  <c:v>3T 2011</c:v>
                </c:pt>
                <c:pt idx="18">
                  <c:v>4T 2011</c:v>
                </c:pt>
                <c:pt idx="19">
                  <c:v>1T 2012</c:v>
                </c:pt>
                <c:pt idx="20">
                  <c:v>2T 2012</c:v>
                </c:pt>
                <c:pt idx="21">
                  <c:v>3T 2012</c:v>
                </c:pt>
                <c:pt idx="22">
                  <c:v>4T 2012</c:v>
                </c:pt>
                <c:pt idx="23">
                  <c:v>1T 2013</c:v>
                </c:pt>
                <c:pt idx="24">
                  <c:v>2T 2013</c:v>
                </c:pt>
                <c:pt idx="25">
                  <c:v>3T 2013</c:v>
                </c:pt>
                <c:pt idx="26">
                  <c:v>4T 2013</c:v>
                </c:pt>
                <c:pt idx="27">
                  <c:v>1T 2014</c:v>
                </c:pt>
                <c:pt idx="28">
                  <c:v>2T 2014</c:v>
                </c:pt>
                <c:pt idx="29">
                  <c:v>3T 2014</c:v>
                </c:pt>
                <c:pt idx="30">
                  <c:v>4T 2014</c:v>
                </c:pt>
                <c:pt idx="31">
                  <c:v>1T 2015</c:v>
                </c:pt>
                <c:pt idx="32">
                  <c:v>2T 2015</c:v>
                </c:pt>
                <c:pt idx="33">
                  <c:v>3T 2015</c:v>
                </c:pt>
                <c:pt idx="34">
                  <c:v>4T 2015</c:v>
                </c:pt>
                <c:pt idx="35">
                  <c:v>1T 2016</c:v>
                </c:pt>
                <c:pt idx="36">
                  <c:v>2T 2016</c:v>
                </c:pt>
                <c:pt idx="37">
                  <c:v>3T 2016</c:v>
                </c:pt>
                <c:pt idx="38">
                  <c:v>4T 2016</c:v>
                </c:pt>
                <c:pt idx="39">
                  <c:v>1T 2017</c:v>
                </c:pt>
                <c:pt idx="40">
                  <c:v>2T 2017</c:v>
                </c:pt>
                <c:pt idx="41">
                  <c:v>3T 2017</c:v>
                </c:pt>
                <c:pt idx="42">
                  <c:v>4T 2017</c:v>
                </c:pt>
                <c:pt idx="43">
                  <c:v>1T 2018</c:v>
                </c:pt>
                <c:pt idx="44">
                  <c:v>2T 2018</c:v>
                </c:pt>
              </c:strCache>
            </c:strRef>
          </c:cat>
          <c:val>
            <c:numRef>
              <c:f>'EPA. Jornada completa'!$D$6:$D$50</c:f>
              <c:numCache>
                <c:formatCode>0.00</c:formatCode>
                <c:ptCount val="45"/>
                <c:pt idx="0">
                  <c:v>88.1</c:v>
                </c:pt>
                <c:pt idx="1">
                  <c:v>89.1</c:v>
                </c:pt>
                <c:pt idx="2">
                  <c:v>88.4</c:v>
                </c:pt>
                <c:pt idx="3">
                  <c:v>88.2</c:v>
                </c:pt>
                <c:pt idx="4">
                  <c:v>88.1</c:v>
                </c:pt>
                <c:pt idx="5">
                  <c:v>89.1</c:v>
                </c:pt>
                <c:pt idx="6">
                  <c:v>88.1</c:v>
                </c:pt>
                <c:pt idx="7">
                  <c:v>88.2</c:v>
                </c:pt>
                <c:pt idx="8">
                  <c:v>88.2</c:v>
                </c:pt>
                <c:pt idx="9">
                  <c:v>89</c:v>
                </c:pt>
                <c:pt idx="10">
                  <c:v>88.1</c:v>
                </c:pt>
                <c:pt idx="11">
                  <c:v>87.3</c:v>
                </c:pt>
                <c:pt idx="12">
                  <c:v>87.3</c:v>
                </c:pt>
                <c:pt idx="13">
                  <c:v>88.5</c:v>
                </c:pt>
                <c:pt idx="14">
                  <c:v>87.8</c:v>
                </c:pt>
                <c:pt idx="15">
                  <c:v>86.6</c:v>
                </c:pt>
                <c:pt idx="16">
                  <c:v>86.6</c:v>
                </c:pt>
                <c:pt idx="17">
                  <c:v>87.1</c:v>
                </c:pt>
                <c:pt idx="18">
                  <c:v>86.3</c:v>
                </c:pt>
                <c:pt idx="19">
                  <c:v>86.3</c:v>
                </c:pt>
                <c:pt idx="20">
                  <c:v>85.8</c:v>
                </c:pt>
                <c:pt idx="21">
                  <c:v>86.8</c:v>
                </c:pt>
                <c:pt idx="22">
                  <c:v>85.7</c:v>
                </c:pt>
                <c:pt idx="23">
                  <c:v>85</c:v>
                </c:pt>
                <c:pt idx="24">
                  <c:v>84.4</c:v>
                </c:pt>
                <c:pt idx="25">
                  <c:v>85.3</c:v>
                </c:pt>
                <c:pt idx="26">
                  <c:v>84.2</c:v>
                </c:pt>
                <c:pt idx="27">
                  <c:v>83.9</c:v>
                </c:pt>
                <c:pt idx="28">
                  <c:v>83.8</c:v>
                </c:pt>
                <c:pt idx="29">
                  <c:v>86</c:v>
                </c:pt>
                <c:pt idx="30">
                  <c:v>85.2</c:v>
                </c:pt>
                <c:pt idx="31">
                  <c:v>85.8</c:v>
                </c:pt>
                <c:pt idx="32">
                  <c:v>86.7</c:v>
                </c:pt>
                <c:pt idx="33">
                  <c:v>86.3</c:v>
                </c:pt>
                <c:pt idx="34">
                  <c:v>85.6</c:v>
                </c:pt>
                <c:pt idx="35">
                  <c:v>85.7</c:v>
                </c:pt>
                <c:pt idx="36">
                  <c:v>85.6</c:v>
                </c:pt>
                <c:pt idx="37">
                  <c:v>86.4</c:v>
                </c:pt>
                <c:pt idx="38">
                  <c:v>85.6</c:v>
                </c:pt>
                <c:pt idx="39">
                  <c:v>85.4</c:v>
                </c:pt>
                <c:pt idx="40">
                  <c:v>85.4</c:v>
                </c:pt>
                <c:pt idx="41">
                  <c:v>86</c:v>
                </c:pt>
                <c:pt idx="42">
                  <c:v>86</c:v>
                </c:pt>
                <c:pt idx="43">
                  <c:v>85.8</c:v>
                </c:pt>
                <c:pt idx="44" formatCode="General">
                  <c:v>85.6</c:v>
                </c:pt>
              </c:numCache>
            </c:numRef>
          </c:val>
          <c:smooth val="1"/>
        </c:ser>
        <c:dLbls>
          <c:showLegendKey val="0"/>
          <c:showVal val="0"/>
          <c:showCatName val="0"/>
          <c:showSerName val="0"/>
          <c:showPercent val="0"/>
          <c:showBubbleSize val="0"/>
        </c:dLbls>
        <c:marker val="1"/>
        <c:smooth val="0"/>
        <c:axId val="147432576"/>
        <c:axId val="147434112"/>
      </c:lineChart>
      <c:catAx>
        <c:axId val="147432576"/>
        <c:scaling>
          <c:orientation val="minMax"/>
        </c:scaling>
        <c:delete val="0"/>
        <c:axPos val="b"/>
        <c:majorTickMark val="out"/>
        <c:minorTickMark val="none"/>
        <c:tickLblPos val="nextTo"/>
        <c:crossAx val="147434112"/>
        <c:crosses val="autoZero"/>
        <c:auto val="1"/>
        <c:lblAlgn val="ctr"/>
        <c:lblOffset val="100"/>
        <c:tickLblSkip val="4"/>
        <c:noMultiLvlLbl val="0"/>
      </c:catAx>
      <c:valAx>
        <c:axId val="147434112"/>
        <c:scaling>
          <c:orientation val="minMax"/>
          <c:min val="82"/>
        </c:scaling>
        <c:delete val="0"/>
        <c:axPos val="l"/>
        <c:numFmt formatCode="0.00" sourceLinked="1"/>
        <c:majorTickMark val="out"/>
        <c:minorTickMark val="none"/>
        <c:tickLblPos val="nextTo"/>
        <c:crossAx val="147432576"/>
        <c:crosses val="autoZero"/>
        <c:crossBetween val="between"/>
      </c:valAx>
    </c:plotArea>
    <c:plotVisOnly val="1"/>
    <c:dispBlanksAs val="zero"/>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a:pPr>
            <a:r>
              <a:rPr lang="en-US" sz="1600"/>
              <a:t>Afiliació a la Seguretat Social </a:t>
            </a:r>
          </a:p>
        </c:rich>
      </c:tx>
      <c:overlay val="0"/>
    </c:title>
    <c:autoTitleDeleted val="0"/>
    <c:plotArea>
      <c:layout/>
      <c:lineChart>
        <c:grouping val="standard"/>
        <c:varyColors val="0"/>
        <c:ser>
          <c:idx val="4"/>
          <c:order val="0"/>
          <c:tx>
            <c:strRef>
              <c:f>'Afiliación (2)'!$F$72</c:f>
              <c:strCache>
                <c:ptCount val="1"/>
                <c:pt idx="0">
                  <c:v>2011</c:v>
                </c:pt>
              </c:strCache>
            </c:strRef>
          </c:tx>
          <c:spPr>
            <a:ln w="38100">
              <a:solidFill>
                <a:schemeClr val="accent6">
                  <a:lumMod val="60000"/>
                  <a:lumOff val="40000"/>
                </a:schemeClr>
              </a:solidFill>
            </a:ln>
          </c:spPr>
          <c:marker>
            <c:symbol val="none"/>
          </c:marker>
          <c:cat>
            <c:strRef>
              <c:f>'Afiliación (2)'!$A$73:$A$84</c:f>
              <c:strCache>
                <c:ptCount val="12"/>
                <c:pt idx="0">
                  <c:v>gener </c:v>
                </c:pt>
                <c:pt idx="1">
                  <c:v>febrer</c:v>
                </c:pt>
                <c:pt idx="2">
                  <c:v>març </c:v>
                </c:pt>
                <c:pt idx="3">
                  <c:v>abril</c:v>
                </c:pt>
                <c:pt idx="4">
                  <c:v>maig </c:v>
                </c:pt>
                <c:pt idx="5">
                  <c:v>juny </c:v>
                </c:pt>
                <c:pt idx="6">
                  <c:v>juliol</c:v>
                </c:pt>
                <c:pt idx="7">
                  <c:v>agost</c:v>
                </c:pt>
                <c:pt idx="8">
                  <c:v>setembre</c:v>
                </c:pt>
                <c:pt idx="9">
                  <c:v>octubre</c:v>
                </c:pt>
                <c:pt idx="10">
                  <c:v>novembre</c:v>
                </c:pt>
                <c:pt idx="11">
                  <c:v>desembre</c:v>
                </c:pt>
              </c:strCache>
            </c:strRef>
          </c:cat>
          <c:val>
            <c:numRef>
              <c:f>'Afiliación (2)'!$F$73:$F$84</c:f>
              <c:numCache>
                <c:formatCode>_-* #,##0\ _p_t_a_-;\-* #,##0\ _p_t_a_-;_-* "-"??\ _p_t_a_-;_-@_-</c:formatCode>
                <c:ptCount val="12"/>
                <c:pt idx="0">
                  <c:v>3060196.35</c:v>
                </c:pt>
                <c:pt idx="1">
                  <c:v>3056401.6</c:v>
                </c:pt>
                <c:pt idx="2">
                  <c:v>3063738.69</c:v>
                </c:pt>
                <c:pt idx="3">
                  <c:v>3079162.52</c:v>
                </c:pt>
                <c:pt idx="4">
                  <c:v>3096849.63</c:v>
                </c:pt>
                <c:pt idx="5">
                  <c:v>3103852.27</c:v>
                </c:pt>
                <c:pt idx="6">
                  <c:v>3122368.76</c:v>
                </c:pt>
                <c:pt idx="7">
                  <c:v>3081807</c:v>
                </c:pt>
                <c:pt idx="8">
                  <c:v>3071406.31</c:v>
                </c:pt>
                <c:pt idx="9">
                  <c:v>3048910.4</c:v>
                </c:pt>
                <c:pt idx="10">
                  <c:v>3029474.33</c:v>
                </c:pt>
                <c:pt idx="11">
                  <c:v>3021053.75</c:v>
                </c:pt>
              </c:numCache>
            </c:numRef>
          </c:val>
          <c:smooth val="0"/>
        </c:ser>
        <c:ser>
          <c:idx val="5"/>
          <c:order val="1"/>
          <c:tx>
            <c:strRef>
              <c:f>'Afiliación (2)'!$G$72</c:f>
              <c:strCache>
                <c:ptCount val="1"/>
                <c:pt idx="0">
                  <c:v>2012</c:v>
                </c:pt>
              </c:strCache>
            </c:strRef>
          </c:tx>
          <c:spPr>
            <a:ln w="38100">
              <a:solidFill>
                <a:schemeClr val="accent4"/>
              </a:solidFill>
            </a:ln>
          </c:spPr>
          <c:marker>
            <c:symbol val="none"/>
          </c:marker>
          <c:cat>
            <c:strRef>
              <c:f>'Afiliación (2)'!$A$73:$A$84</c:f>
              <c:strCache>
                <c:ptCount val="12"/>
                <c:pt idx="0">
                  <c:v>gener </c:v>
                </c:pt>
                <c:pt idx="1">
                  <c:v>febrer</c:v>
                </c:pt>
                <c:pt idx="2">
                  <c:v>març </c:v>
                </c:pt>
                <c:pt idx="3">
                  <c:v>abril</c:v>
                </c:pt>
                <c:pt idx="4">
                  <c:v>maig </c:v>
                </c:pt>
                <c:pt idx="5">
                  <c:v>juny </c:v>
                </c:pt>
                <c:pt idx="6">
                  <c:v>juliol</c:v>
                </c:pt>
                <c:pt idx="7">
                  <c:v>agost</c:v>
                </c:pt>
                <c:pt idx="8">
                  <c:v>setembre</c:v>
                </c:pt>
                <c:pt idx="9">
                  <c:v>octubre</c:v>
                </c:pt>
                <c:pt idx="10">
                  <c:v>novembre</c:v>
                </c:pt>
                <c:pt idx="11">
                  <c:v>desembre</c:v>
                </c:pt>
              </c:strCache>
            </c:strRef>
          </c:cat>
          <c:val>
            <c:numRef>
              <c:f>'Afiliación (2)'!$G$73:$G$84</c:f>
              <c:numCache>
                <c:formatCode>_-* #,##0\ _p_t_a_-;\-* #,##0\ _p_t_a_-;_-* "-"??\ _p_t_a_-;_-@_-</c:formatCode>
                <c:ptCount val="12"/>
                <c:pt idx="0">
                  <c:v>2976996.61</c:v>
                </c:pt>
                <c:pt idx="1">
                  <c:v>2972791.76</c:v>
                </c:pt>
                <c:pt idx="2">
                  <c:v>2975425.85</c:v>
                </c:pt>
                <c:pt idx="3">
                  <c:v>2984583.47</c:v>
                </c:pt>
                <c:pt idx="4">
                  <c:v>2999601.4</c:v>
                </c:pt>
                <c:pt idx="5">
                  <c:v>3015443</c:v>
                </c:pt>
                <c:pt idx="6">
                  <c:v>3025110.95</c:v>
                </c:pt>
                <c:pt idx="7">
                  <c:v>2989540.95</c:v>
                </c:pt>
                <c:pt idx="8">
                  <c:v>2966519.1</c:v>
                </c:pt>
                <c:pt idx="9">
                  <c:v>2946257.36</c:v>
                </c:pt>
                <c:pt idx="10">
                  <c:v>2913527.23</c:v>
                </c:pt>
                <c:pt idx="11">
                  <c:v>2895837</c:v>
                </c:pt>
              </c:numCache>
            </c:numRef>
          </c:val>
          <c:smooth val="0"/>
        </c:ser>
        <c:ser>
          <c:idx val="6"/>
          <c:order val="2"/>
          <c:tx>
            <c:strRef>
              <c:f>'Afiliación (2)'!$H$72</c:f>
              <c:strCache>
                <c:ptCount val="1"/>
                <c:pt idx="0">
                  <c:v>2013</c:v>
                </c:pt>
              </c:strCache>
            </c:strRef>
          </c:tx>
          <c:spPr>
            <a:ln>
              <a:solidFill>
                <a:schemeClr val="accent6"/>
              </a:solidFill>
            </a:ln>
          </c:spPr>
          <c:marker>
            <c:symbol val="none"/>
          </c:marker>
          <c:cat>
            <c:strRef>
              <c:f>'Afiliación (2)'!$A$73:$A$84</c:f>
              <c:strCache>
                <c:ptCount val="12"/>
                <c:pt idx="0">
                  <c:v>gener </c:v>
                </c:pt>
                <c:pt idx="1">
                  <c:v>febrer</c:v>
                </c:pt>
                <c:pt idx="2">
                  <c:v>març </c:v>
                </c:pt>
                <c:pt idx="3">
                  <c:v>abril</c:v>
                </c:pt>
                <c:pt idx="4">
                  <c:v>maig </c:v>
                </c:pt>
                <c:pt idx="5">
                  <c:v>juny </c:v>
                </c:pt>
                <c:pt idx="6">
                  <c:v>juliol</c:v>
                </c:pt>
                <c:pt idx="7">
                  <c:v>agost</c:v>
                </c:pt>
                <c:pt idx="8">
                  <c:v>setembre</c:v>
                </c:pt>
                <c:pt idx="9">
                  <c:v>octubre</c:v>
                </c:pt>
                <c:pt idx="10">
                  <c:v>novembre</c:v>
                </c:pt>
                <c:pt idx="11">
                  <c:v>desembre</c:v>
                </c:pt>
              </c:strCache>
            </c:strRef>
          </c:cat>
          <c:val>
            <c:numRef>
              <c:f>'Afiliación (2)'!$H$73:$H$84</c:f>
              <c:numCache>
                <c:formatCode>_-* #,##0\ _p_t_a_-;\-* #,##0\ _p_t_a_-;_-* "-"??\ _p_t_a_-;_-@_-</c:formatCode>
                <c:ptCount val="12"/>
                <c:pt idx="0">
                  <c:v>2854191</c:v>
                </c:pt>
                <c:pt idx="1">
                  <c:v>2851718</c:v>
                </c:pt>
                <c:pt idx="2">
                  <c:v>2857923</c:v>
                </c:pt>
                <c:pt idx="3">
                  <c:v>2870563</c:v>
                </c:pt>
                <c:pt idx="4">
                  <c:v>2896326</c:v>
                </c:pt>
                <c:pt idx="5">
                  <c:v>2918125</c:v>
                </c:pt>
                <c:pt idx="6">
                  <c:v>2936578</c:v>
                </c:pt>
                <c:pt idx="7">
                  <c:v>2907526</c:v>
                </c:pt>
                <c:pt idx="8">
                  <c:v>2893914</c:v>
                </c:pt>
                <c:pt idx="9">
                  <c:v>2889557</c:v>
                </c:pt>
                <c:pt idx="10">
                  <c:v>2878221</c:v>
                </c:pt>
                <c:pt idx="11">
                  <c:v>2879649</c:v>
                </c:pt>
              </c:numCache>
            </c:numRef>
          </c:val>
          <c:smooth val="0"/>
        </c:ser>
        <c:ser>
          <c:idx val="7"/>
          <c:order val="3"/>
          <c:tx>
            <c:strRef>
              <c:f>'Afiliación (2)'!$I$72</c:f>
              <c:strCache>
                <c:ptCount val="1"/>
                <c:pt idx="0">
                  <c:v>2014</c:v>
                </c:pt>
              </c:strCache>
            </c:strRef>
          </c:tx>
          <c:spPr>
            <a:ln w="38100">
              <a:solidFill>
                <a:schemeClr val="tx2"/>
              </a:solidFill>
            </a:ln>
          </c:spPr>
          <c:marker>
            <c:symbol val="none"/>
          </c:marker>
          <c:cat>
            <c:strRef>
              <c:f>'Afiliación (2)'!$A$73:$A$84</c:f>
              <c:strCache>
                <c:ptCount val="12"/>
                <c:pt idx="0">
                  <c:v>gener </c:v>
                </c:pt>
                <c:pt idx="1">
                  <c:v>febrer</c:v>
                </c:pt>
                <c:pt idx="2">
                  <c:v>març </c:v>
                </c:pt>
                <c:pt idx="3">
                  <c:v>abril</c:v>
                </c:pt>
                <c:pt idx="4">
                  <c:v>maig </c:v>
                </c:pt>
                <c:pt idx="5">
                  <c:v>juny </c:v>
                </c:pt>
                <c:pt idx="6">
                  <c:v>juliol</c:v>
                </c:pt>
                <c:pt idx="7">
                  <c:v>agost</c:v>
                </c:pt>
                <c:pt idx="8">
                  <c:v>setembre</c:v>
                </c:pt>
                <c:pt idx="9">
                  <c:v>octubre</c:v>
                </c:pt>
                <c:pt idx="10">
                  <c:v>novembre</c:v>
                </c:pt>
                <c:pt idx="11">
                  <c:v>desembre</c:v>
                </c:pt>
              </c:strCache>
            </c:strRef>
          </c:cat>
          <c:val>
            <c:numRef>
              <c:f>'Afiliación (2)'!$I$73:$I$84</c:f>
              <c:numCache>
                <c:formatCode>_-* #,##0\ _p_t_a_-;\-* #,##0\ _p_t_a_-;_-* "-"??\ _p_t_a_-;_-@_-</c:formatCode>
                <c:ptCount val="12"/>
                <c:pt idx="0">
                  <c:v>2847838</c:v>
                </c:pt>
                <c:pt idx="1">
                  <c:v>2859696</c:v>
                </c:pt>
                <c:pt idx="2">
                  <c:v>2878037</c:v>
                </c:pt>
                <c:pt idx="3">
                  <c:v>2910107</c:v>
                </c:pt>
                <c:pt idx="4">
                  <c:v>2947215</c:v>
                </c:pt>
                <c:pt idx="5">
                  <c:v>2975935</c:v>
                </c:pt>
                <c:pt idx="6">
                  <c:v>2999099</c:v>
                </c:pt>
                <c:pt idx="7">
                  <c:v>2966494</c:v>
                </c:pt>
                <c:pt idx="8">
                  <c:v>2958705</c:v>
                </c:pt>
                <c:pt idx="9">
                  <c:v>2954200</c:v>
                </c:pt>
                <c:pt idx="10">
                  <c:v>2955006</c:v>
                </c:pt>
                <c:pt idx="11">
                  <c:v>2963394</c:v>
                </c:pt>
              </c:numCache>
            </c:numRef>
          </c:val>
          <c:smooth val="0"/>
        </c:ser>
        <c:ser>
          <c:idx val="8"/>
          <c:order val="4"/>
          <c:tx>
            <c:strRef>
              <c:f>'Afiliación (2)'!$J$72</c:f>
              <c:strCache>
                <c:ptCount val="1"/>
                <c:pt idx="0">
                  <c:v>2015</c:v>
                </c:pt>
              </c:strCache>
            </c:strRef>
          </c:tx>
          <c:spPr>
            <a:ln w="38100">
              <a:solidFill>
                <a:srgbClr val="C00000"/>
              </a:solidFill>
            </a:ln>
          </c:spPr>
          <c:marker>
            <c:symbol val="none"/>
          </c:marker>
          <c:cat>
            <c:strRef>
              <c:f>'Afiliación (2)'!$A$73:$A$84</c:f>
              <c:strCache>
                <c:ptCount val="12"/>
                <c:pt idx="0">
                  <c:v>gener </c:v>
                </c:pt>
                <c:pt idx="1">
                  <c:v>febrer</c:v>
                </c:pt>
                <c:pt idx="2">
                  <c:v>març </c:v>
                </c:pt>
                <c:pt idx="3">
                  <c:v>abril</c:v>
                </c:pt>
                <c:pt idx="4">
                  <c:v>maig </c:v>
                </c:pt>
                <c:pt idx="5">
                  <c:v>juny </c:v>
                </c:pt>
                <c:pt idx="6">
                  <c:v>juliol</c:v>
                </c:pt>
                <c:pt idx="7">
                  <c:v>agost</c:v>
                </c:pt>
                <c:pt idx="8">
                  <c:v>setembre</c:v>
                </c:pt>
                <c:pt idx="9">
                  <c:v>octubre</c:v>
                </c:pt>
                <c:pt idx="10">
                  <c:v>novembre</c:v>
                </c:pt>
                <c:pt idx="11">
                  <c:v>desembre</c:v>
                </c:pt>
              </c:strCache>
            </c:strRef>
          </c:cat>
          <c:val>
            <c:numRef>
              <c:f>'Afiliación (2)'!$J$73:$J$84</c:f>
              <c:numCache>
                <c:formatCode>_-* #,##0\ _p_t_a_-;\-* #,##0\ _p_t_a_-;_-* "-"??\ _p_t_a_-;_-@_-</c:formatCode>
                <c:ptCount val="12"/>
                <c:pt idx="0">
                  <c:v>2935259</c:v>
                </c:pt>
                <c:pt idx="1">
                  <c:v>2953336</c:v>
                </c:pt>
                <c:pt idx="2">
                  <c:v>2981471</c:v>
                </c:pt>
                <c:pt idx="3">
                  <c:v>3013794</c:v>
                </c:pt>
                <c:pt idx="4">
                  <c:v>3055926</c:v>
                </c:pt>
                <c:pt idx="5">
                  <c:v>3083289</c:v>
                </c:pt>
                <c:pt idx="6">
                  <c:v>3108430</c:v>
                </c:pt>
                <c:pt idx="7">
                  <c:v>3066078</c:v>
                </c:pt>
                <c:pt idx="8">
                  <c:v>3059297</c:v>
                </c:pt>
                <c:pt idx="9">
                  <c:v>3059301</c:v>
                </c:pt>
                <c:pt idx="10">
                  <c:v>3061878</c:v>
                </c:pt>
                <c:pt idx="11">
                  <c:v>3070251</c:v>
                </c:pt>
              </c:numCache>
            </c:numRef>
          </c:val>
          <c:smooth val="0"/>
        </c:ser>
        <c:ser>
          <c:idx val="0"/>
          <c:order val="5"/>
          <c:tx>
            <c:strRef>
              <c:f>'Afiliación (2)'!$K$72</c:f>
              <c:strCache>
                <c:ptCount val="1"/>
                <c:pt idx="0">
                  <c:v>2016</c:v>
                </c:pt>
              </c:strCache>
            </c:strRef>
          </c:tx>
          <c:marker>
            <c:symbol val="none"/>
          </c:marker>
          <c:cat>
            <c:strRef>
              <c:f>'Afiliación (2)'!$A$73:$A$84</c:f>
              <c:strCache>
                <c:ptCount val="12"/>
                <c:pt idx="0">
                  <c:v>gener </c:v>
                </c:pt>
                <c:pt idx="1">
                  <c:v>febrer</c:v>
                </c:pt>
                <c:pt idx="2">
                  <c:v>març </c:v>
                </c:pt>
                <c:pt idx="3">
                  <c:v>abril</c:v>
                </c:pt>
                <c:pt idx="4">
                  <c:v>maig </c:v>
                </c:pt>
                <c:pt idx="5">
                  <c:v>juny </c:v>
                </c:pt>
                <c:pt idx="6">
                  <c:v>juliol</c:v>
                </c:pt>
                <c:pt idx="7">
                  <c:v>agost</c:v>
                </c:pt>
                <c:pt idx="8">
                  <c:v>setembre</c:v>
                </c:pt>
                <c:pt idx="9">
                  <c:v>octubre</c:v>
                </c:pt>
                <c:pt idx="10">
                  <c:v>novembre</c:v>
                </c:pt>
                <c:pt idx="11">
                  <c:v>desembre</c:v>
                </c:pt>
              </c:strCache>
            </c:strRef>
          </c:cat>
          <c:val>
            <c:numRef>
              <c:f>'Afiliación (2)'!$K$73:$K$84</c:f>
              <c:numCache>
                <c:formatCode>_-* #,##0\ _p_t_a_-;\-* #,##0\ _p_t_a_-;_-* "-"??\ _p_t_a_-;_-@_-</c:formatCode>
                <c:ptCount val="12"/>
                <c:pt idx="0">
                  <c:v>3038263</c:v>
                </c:pt>
                <c:pt idx="1">
                  <c:v>3060397</c:v>
                </c:pt>
                <c:pt idx="2">
                  <c:v>3092230</c:v>
                </c:pt>
                <c:pt idx="3">
                  <c:v>3123421</c:v>
                </c:pt>
                <c:pt idx="4">
                  <c:v>3163759</c:v>
                </c:pt>
                <c:pt idx="5">
                  <c:v>3196447</c:v>
                </c:pt>
                <c:pt idx="6">
                  <c:v>3222344</c:v>
                </c:pt>
                <c:pt idx="7">
                  <c:v>3174840</c:v>
                </c:pt>
                <c:pt idx="8">
                  <c:v>3178578</c:v>
                </c:pt>
                <c:pt idx="9">
                  <c:v>3184436</c:v>
                </c:pt>
                <c:pt idx="10">
                  <c:v>3184748</c:v>
                </c:pt>
                <c:pt idx="11">
                  <c:v>3189437</c:v>
                </c:pt>
              </c:numCache>
            </c:numRef>
          </c:val>
          <c:smooth val="0"/>
        </c:ser>
        <c:ser>
          <c:idx val="1"/>
          <c:order val="6"/>
          <c:tx>
            <c:strRef>
              <c:f>'Afiliación (2)'!$L$72</c:f>
              <c:strCache>
                <c:ptCount val="1"/>
                <c:pt idx="0">
                  <c:v>2017</c:v>
                </c:pt>
              </c:strCache>
            </c:strRef>
          </c:tx>
          <c:marker>
            <c:symbol val="none"/>
          </c:marker>
          <c:cat>
            <c:strRef>
              <c:f>'Afiliación (2)'!$A$73:$A$84</c:f>
              <c:strCache>
                <c:ptCount val="12"/>
                <c:pt idx="0">
                  <c:v>gener </c:v>
                </c:pt>
                <c:pt idx="1">
                  <c:v>febrer</c:v>
                </c:pt>
                <c:pt idx="2">
                  <c:v>març </c:v>
                </c:pt>
                <c:pt idx="3">
                  <c:v>abril</c:v>
                </c:pt>
                <c:pt idx="4">
                  <c:v>maig </c:v>
                </c:pt>
                <c:pt idx="5">
                  <c:v>juny </c:v>
                </c:pt>
                <c:pt idx="6">
                  <c:v>juliol</c:v>
                </c:pt>
                <c:pt idx="7">
                  <c:v>agost</c:v>
                </c:pt>
                <c:pt idx="8">
                  <c:v>setembre</c:v>
                </c:pt>
                <c:pt idx="9">
                  <c:v>octubre</c:v>
                </c:pt>
                <c:pt idx="10">
                  <c:v>novembre</c:v>
                </c:pt>
                <c:pt idx="11">
                  <c:v>desembre</c:v>
                </c:pt>
              </c:strCache>
            </c:strRef>
          </c:cat>
          <c:val>
            <c:numRef>
              <c:f>'Afiliación (2)'!$L$73:$L$84</c:f>
              <c:numCache>
                <c:formatCode>_-* #,##0\ _p_t_a_-;\-* #,##0\ _p_t_a_-;_-* "-"??\ _p_t_a_-;_-@_-</c:formatCode>
                <c:ptCount val="12"/>
                <c:pt idx="0">
                  <c:v>3158369</c:v>
                </c:pt>
                <c:pt idx="1">
                  <c:v>3180957</c:v>
                </c:pt>
                <c:pt idx="2">
                  <c:v>3212076</c:v>
                </c:pt>
                <c:pt idx="3">
                  <c:v>3254091</c:v>
                </c:pt>
                <c:pt idx="4">
                  <c:v>3296354</c:v>
                </c:pt>
                <c:pt idx="5">
                  <c:v>3377734</c:v>
                </c:pt>
                <c:pt idx="6">
                  <c:v>3353781</c:v>
                </c:pt>
                <c:pt idx="7">
                  <c:v>3294418</c:v>
                </c:pt>
                <c:pt idx="8">
                  <c:v>3302372</c:v>
                </c:pt>
                <c:pt idx="9">
                  <c:v>3304074</c:v>
                </c:pt>
                <c:pt idx="10">
                  <c:v>3300036</c:v>
                </c:pt>
                <c:pt idx="11">
                  <c:v>3300184</c:v>
                </c:pt>
              </c:numCache>
            </c:numRef>
          </c:val>
          <c:smooth val="0"/>
        </c:ser>
        <c:ser>
          <c:idx val="2"/>
          <c:order val="7"/>
          <c:tx>
            <c:strRef>
              <c:f>'Afiliación (2)'!$M$72</c:f>
              <c:strCache>
                <c:ptCount val="1"/>
                <c:pt idx="0">
                  <c:v>2018</c:v>
                </c:pt>
              </c:strCache>
            </c:strRef>
          </c:tx>
          <c:marker>
            <c:symbol val="star"/>
            <c:size val="8"/>
          </c:marker>
          <c:cat>
            <c:strRef>
              <c:f>'Afiliación (2)'!$A$73:$A$84</c:f>
              <c:strCache>
                <c:ptCount val="12"/>
                <c:pt idx="0">
                  <c:v>gener </c:v>
                </c:pt>
                <c:pt idx="1">
                  <c:v>febrer</c:v>
                </c:pt>
                <c:pt idx="2">
                  <c:v>març </c:v>
                </c:pt>
                <c:pt idx="3">
                  <c:v>abril</c:v>
                </c:pt>
                <c:pt idx="4">
                  <c:v>maig </c:v>
                </c:pt>
                <c:pt idx="5">
                  <c:v>juny </c:v>
                </c:pt>
                <c:pt idx="6">
                  <c:v>juliol</c:v>
                </c:pt>
                <c:pt idx="7">
                  <c:v>agost</c:v>
                </c:pt>
                <c:pt idx="8">
                  <c:v>setembre</c:v>
                </c:pt>
                <c:pt idx="9">
                  <c:v>octubre</c:v>
                </c:pt>
                <c:pt idx="10">
                  <c:v>novembre</c:v>
                </c:pt>
                <c:pt idx="11">
                  <c:v>desembre</c:v>
                </c:pt>
              </c:strCache>
            </c:strRef>
          </c:cat>
          <c:val>
            <c:numRef>
              <c:f>'Afiliación (2)'!$M$73:$M$84</c:f>
              <c:numCache>
                <c:formatCode>_-* #,##0\ _p_t_a_-;\-* #,##0\ _p_t_a_-;_-* "-"??\ _p_t_a_-;_-@_-</c:formatCode>
                <c:ptCount val="12"/>
                <c:pt idx="0">
                  <c:v>3267647</c:v>
                </c:pt>
                <c:pt idx="1">
                  <c:v>3291909</c:v>
                </c:pt>
                <c:pt idx="2">
                  <c:v>3320827</c:v>
                </c:pt>
                <c:pt idx="3">
                  <c:v>3351587</c:v>
                </c:pt>
                <c:pt idx="4">
                  <c:v>3393908</c:v>
                </c:pt>
                <c:pt idx="5">
                  <c:v>3426477</c:v>
                </c:pt>
                <c:pt idx="6">
                  <c:v>3441292</c:v>
                </c:pt>
                <c:pt idx="7">
                  <c:v>3375401</c:v>
                </c:pt>
                <c:pt idx="8">
                  <c:v>3385164</c:v>
                </c:pt>
              </c:numCache>
            </c:numRef>
          </c:val>
          <c:smooth val="0"/>
        </c:ser>
        <c:dLbls>
          <c:showLegendKey val="0"/>
          <c:showVal val="0"/>
          <c:showCatName val="0"/>
          <c:showSerName val="0"/>
          <c:showPercent val="0"/>
          <c:showBubbleSize val="0"/>
        </c:dLbls>
        <c:marker val="1"/>
        <c:smooth val="0"/>
        <c:axId val="154045824"/>
        <c:axId val="154059904"/>
      </c:lineChart>
      <c:catAx>
        <c:axId val="154045824"/>
        <c:scaling>
          <c:orientation val="minMax"/>
        </c:scaling>
        <c:delete val="0"/>
        <c:axPos val="b"/>
        <c:majorTickMark val="none"/>
        <c:minorTickMark val="none"/>
        <c:tickLblPos val="nextTo"/>
        <c:crossAx val="154059904"/>
        <c:crosses val="autoZero"/>
        <c:auto val="1"/>
        <c:lblAlgn val="ctr"/>
        <c:lblOffset val="100"/>
        <c:noMultiLvlLbl val="0"/>
      </c:catAx>
      <c:valAx>
        <c:axId val="154059904"/>
        <c:scaling>
          <c:orientation val="minMax"/>
          <c:max val="3450000"/>
          <c:min val="2800000"/>
        </c:scaling>
        <c:delete val="0"/>
        <c:axPos val="l"/>
        <c:majorGridlines/>
        <c:numFmt formatCode="_-* #,##0\ _p_t_a_-;\-* #,##0\ _p_t_a_-;_-* &quot;-&quot;??\ _p_t_a_-;_-@_-" sourceLinked="1"/>
        <c:majorTickMark val="none"/>
        <c:minorTickMark val="none"/>
        <c:tickLblPos val="nextTo"/>
        <c:crossAx val="154045824"/>
        <c:crosses val="autoZero"/>
        <c:crossBetween val="between"/>
      </c:valAx>
    </c:plotArea>
    <c:legend>
      <c:legendPos val="r"/>
      <c:overlay val="0"/>
    </c:legend>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400"/>
            </a:pPr>
            <a:r>
              <a:rPr lang="es-ES" sz="1400"/>
              <a:t>Variació interanual de l'afiliació per províncies </a:t>
            </a:r>
          </a:p>
        </c:rich>
      </c:tx>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'Afiliación (2)'!$B$122:$B$125</c:f>
              <c:strCache>
                <c:ptCount val="4"/>
                <c:pt idx="0">
                  <c:v>Barcelona</c:v>
                </c:pt>
                <c:pt idx="1">
                  <c:v>Girona</c:v>
                </c:pt>
                <c:pt idx="2">
                  <c:v>Lleida</c:v>
                </c:pt>
                <c:pt idx="3">
                  <c:v>Tarragona</c:v>
                </c:pt>
              </c:strCache>
            </c:strRef>
          </c:cat>
          <c:val>
            <c:numRef>
              <c:f>'Afiliación (2)'!$C$122:$C$125</c:f>
              <c:numCache>
                <c:formatCode>0.00%</c:formatCode>
                <c:ptCount val="4"/>
                <c:pt idx="0">
                  <c:v>2.7E-2</c:v>
                </c:pt>
                <c:pt idx="1">
                  <c:v>2.1700000000000001E-2</c:v>
                </c:pt>
                <c:pt idx="2">
                  <c:v>1.34E-2</c:v>
                </c:pt>
                <c:pt idx="3">
                  <c:v>2.0500000000000001E-2</c:v>
                </c:pt>
              </c:numCache>
            </c:numRef>
          </c:val>
        </c:ser>
        <c:dLbls>
          <c:showLegendKey val="0"/>
          <c:showVal val="0"/>
          <c:showCatName val="0"/>
          <c:showSerName val="0"/>
          <c:showPercent val="0"/>
          <c:showBubbleSize val="0"/>
        </c:dLbls>
        <c:gapWidth val="75"/>
        <c:overlap val="-25"/>
        <c:axId val="154072960"/>
        <c:axId val="154074496"/>
      </c:barChart>
      <c:catAx>
        <c:axId val="154072960"/>
        <c:scaling>
          <c:orientation val="minMax"/>
        </c:scaling>
        <c:delete val="0"/>
        <c:axPos val="l"/>
        <c:majorTickMark val="none"/>
        <c:minorTickMark val="none"/>
        <c:tickLblPos val="nextTo"/>
        <c:crossAx val="154074496"/>
        <c:crosses val="autoZero"/>
        <c:auto val="1"/>
        <c:lblAlgn val="ctr"/>
        <c:lblOffset val="100"/>
        <c:noMultiLvlLbl val="0"/>
      </c:catAx>
      <c:valAx>
        <c:axId val="154074496"/>
        <c:scaling>
          <c:orientation val="minMax"/>
        </c:scaling>
        <c:delete val="0"/>
        <c:axPos val="b"/>
        <c:numFmt formatCode="0.00%" sourceLinked="1"/>
        <c:majorTickMark val="none"/>
        <c:minorTickMark val="none"/>
        <c:tickLblPos val="nextTo"/>
        <c:spPr>
          <a:ln w="9525">
            <a:noFill/>
          </a:ln>
        </c:spPr>
        <c:crossAx val="154072960"/>
        <c:crosses val="autoZero"/>
        <c:crossBetween val="between"/>
      </c:valAx>
    </c:plotArea>
    <c:plotVisOnly val="1"/>
    <c:dispBlanksAs val="gap"/>
    <c:showDLblsOverMax val="0"/>
  </c:chart>
  <c:spPr>
    <a:ln>
      <a:solidFill>
        <a:srgbClr val="C00000"/>
      </a:solidFill>
    </a:ln>
  </c:spPr>
  <c:txPr>
    <a:bodyPr/>
    <a:lstStyle/>
    <a:p>
      <a:pPr>
        <a:defRPr>
          <a:latin typeface="Rotis Sans Serif Std" pitchFamily="34" charset="0"/>
        </a:defRPr>
      </a:pPr>
      <a:endParaRPr lang="es-E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600"/>
            </a:pPr>
            <a:r>
              <a:rPr lang="es-ES" sz="1600"/>
              <a:t>Contractació Laboral</a:t>
            </a:r>
          </a:p>
        </c:rich>
      </c:tx>
      <c:layout>
        <c:manualLayout>
          <c:xMode val="edge"/>
          <c:yMode val="edge"/>
          <c:x val="0.38013073402427899"/>
          <c:y val="3.37656231136301E-2"/>
        </c:manualLayout>
      </c:layout>
      <c:overlay val="0"/>
    </c:title>
    <c:autoTitleDeleted val="0"/>
    <c:plotArea>
      <c:layout>
        <c:manualLayout>
          <c:layoutTarget val="inner"/>
          <c:xMode val="edge"/>
          <c:yMode val="edge"/>
          <c:x val="0.108769893189333"/>
          <c:y val="0.27191219361052921"/>
          <c:w val="0.7150671071385073"/>
          <c:h val="0.53936233270242429"/>
        </c:manualLayout>
      </c:layout>
      <c:lineChart>
        <c:grouping val="standard"/>
        <c:varyColors val="0"/>
        <c:ser>
          <c:idx val="0"/>
          <c:order val="0"/>
          <c:tx>
            <c:strRef>
              <c:f>'Contratos - evolución '!$B$2</c:f>
              <c:strCache>
                <c:ptCount val="1"/>
                <c:pt idx="0">
                  <c:v>2011</c:v>
                </c:pt>
              </c:strCache>
            </c:strRef>
          </c:tx>
          <c:spPr>
            <a:ln w="38100"/>
          </c:spPr>
          <c:marker>
            <c:symbol val="none"/>
          </c:marker>
          <c:cat>
            <c:strRef>
              <c:f>'Contratos - evolución '!$A$3:$A$14</c:f>
              <c:strCache>
                <c:ptCount val="12"/>
                <c:pt idx="0">
                  <c:v>GENER </c:v>
                </c:pt>
                <c:pt idx="1">
                  <c:v>FEBRER</c:v>
                </c:pt>
                <c:pt idx="2">
                  <c:v>MARÇ</c:v>
                </c:pt>
                <c:pt idx="3">
                  <c:v>ABRIL</c:v>
                </c:pt>
                <c:pt idx="4">
                  <c:v>MAIG</c:v>
                </c:pt>
                <c:pt idx="5">
                  <c:v>JUNY</c:v>
                </c:pt>
                <c:pt idx="6">
                  <c:v>JULIOL</c:v>
                </c:pt>
                <c:pt idx="7">
                  <c:v>AGOST</c:v>
                </c:pt>
                <c:pt idx="8">
                  <c:v>SETEMBRE </c:v>
                </c:pt>
                <c:pt idx="9">
                  <c:v>OCTUBRE </c:v>
                </c:pt>
                <c:pt idx="10">
                  <c:v>NOVEMBRE </c:v>
                </c:pt>
                <c:pt idx="11">
                  <c:v>DESEMBRE</c:v>
                </c:pt>
              </c:strCache>
            </c:strRef>
          </c:cat>
          <c:val>
            <c:numRef>
              <c:f>'Contratos - evolución '!$B$3:$B$14</c:f>
              <c:numCache>
                <c:formatCode>_-* #,##0\ _€_-;\-* #,##0\ _€_-;_-* "-"??\ _€_-;_-@_-</c:formatCode>
                <c:ptCount val="12"/>
                <c:pt idx="0">
                  <c:v>159782</c:v>
                </c:pt>
                <c:pt idx="1">
                  <c:v>150924</c:v>
                </c:pt>
                <c:pt idx="2">
                  <c:v>178035</c:v>
                </c:pt>
                <c:pt idx="3">
                  <c:v>160020</c:v>
                </c:pt>
                <c:pt idx="4">
                  <c:v>195113</c:v>
                </c:pt>
                <c:pt idx="5">
                  <c:v>196745</c:v>
                </c:pt>
                <c:pt idx="6">
                  <c:v>220467</c:v>
                </c:pt>
                <c:pt idx="7">
                  <c:v>151730</c:v>
                </c:pt>
                <c:pt idx="8">
                  <c:v>202532</c:v>
                </c:pt>
                <c:pt idx="9">
                  <c:v>186705</c:v>
                </c:pt>
                <c:pt idx="10">
                  <c:v>176158</c:v>
                </c:pt>
                <c:pt idx="11">
                  <c:v>159238</c:v>
                </c:pt>
              </c:numCache>
            </c:numRef>
          </c:val>
          <c:smooth val="0"/>
        </c:ser>
        <c:ser>
          <c:idx val="1"/>
          <c:order val="1"/>
          <c:tx>
            <c:strRef>
              <c:f>'Contratos - evolución '!$C$2</c:f>
              <c:strCache>
                <c:ptCount val="1"/>
                <c:pt idx="0">
                  <c:v>2012</c:v>
                </c:pt>
              </c:strCache>
            </c:strRef>
          </c:tx>
          <c:spPr>
            <a:ln w="38100"/>
          </c:spPr>
          <c:marker>
            <c:symbol val="none"/>
          </c:marker>
          <c:cat>
            <c:strRef>
              <c:f>'Contratos - evolución '!$A$3:$A$14</c:f>
              <c:strCache>
                <c:ptCount val="12"/>
                <c:pt idx="0">
                  <c:v>GENER </c:v>
                </c:pt>
                <c:pt idx="1">
                  <c:v>FEBRER</c:v>
                </c:pt>
                <c:pt idx="2">
                  <c:v>MARÇ</c:v>
                </c:pt>
                <c:pt idx="3">
                  <c:v>ABRIL</c:v>
                </c:pt>
                <c:pt idx="4">
                  <c:v>MAIG</c:v>
                </c:pt>
                <c:pt idx="5">
                  <c:v>JUNY</c:v>
                </c:pt>
                <c:pt idx="6">
                  <c:v>JULIOL</c:v>
                </c:pt>
                <c:pt idx="7">
                  <c:v>AGOST</c:v>
                </c:pt>
                <c:pt idx="8">
                  <c:v>SETEMBRE </c:v>
                </c:pt>
                <c:pt idx="9">
                  <c:v>OCTUBRE </c:v>
                </c:pt>
                <c:pt idx="10">
                  <c:v>NOVEMBRE </c:v>
                </c:pt>
                <c:pt idx="11">
                  <c:v>DESEMBRE</c:v>
                </c:pt>
              </c:strCache>
            </c:strRef>
          </c:cat>
          <c:val>
            <c:numRef>
              <c:f>'Contratos - evolución '!$C$3:$C$14</c:f>
              <c:numCache>
                <c:formatCode>_-* #,##0\ _€_-;\-* #,##0\ _€_-;_-* "-"??\ _€_-;_-@_-</c:formatCode>
                <c:ptCount val="12"/>
                <c:pt idx="0">
                  <c:v>155298</c:v>
                </c:pt>
                <c:pt idx="1">
                  <c:v>144225</c:v>
                </c:pt>
                <c:pt idx="2">
                  <c:v>156325</c:v>
                </c:pt>
                <c:pt idx="3">
                  <c:v>153967</c:v>
                </c:pt>
                <c:pt idx="4">
                  <c:v>180690</c:v>
                </c:pt>
                <c:pt idx="5">
                  <c:v>200266</c:v>
                </c:pt>
                <c:pt idx="6">
                  <c:v>219518</c:v>
                </c:pt>
                <c:pt idx="7">
                  <c:v>145704</c:v>
                </c:pt>
                <c:pt idx="8">
                  <c:v>172808</c:v>
                </c:pt>
                <c:pt idx="9">
                  <c:v>209010</c:v>
                </c:pt>
                <c:pt idx="10">
                  <c:v>166760</c:v>
                </c:pt>
                <c:pt idx="11">
                  <c:v>143859</c:v>
                </c:pt>
              </c:numCache>
            </c:numRef>
          </c:val>
          <c:smooth val="0"/>
        </c:ser>
        <c:ser>
          <c:idx val="2"/>
          <c:order val="2"/>
          <c:tx>
            <c:strRef>
              <c:f>'Contratos - evolución '!$D$2</c:f>
              <c:strCache>
                <c:ptCount val="1"/>
                <c:pt idx="0">
                  <c:v>2013</c:v>
                </c:pt>
              </c:strCache>
            </c:strRef>
          </c:tx>
          <c:spPr>
            <a:ln w="38100"/>
          </c:spPr>
          <c:marker>
            <c:symbol val="none"/>
          </c:marker>
          <c:cat>
            <c:strRef>
              <c:f>'Contratos - evolución '!$A$3:$A$14</c:f>
              <c:strCache>
                <c:ptCount val="12"/>
                <c:pt idx="0">
                  <c:v>GENER </c:v>
                </c:pt>
                <c:pt idx="1">
                  <c:v>FEBRER</c:v>
                </c:pt>
                <c:pt idx="2">
                  <c:v>MARÇ</c:v>
                </c:pt>
                <c:pt idx="3">
                  <c:v>ABRIL</c:v>
                </c:pt>
                <c:pt idx="4">
                  <c:v>MAIG</c:v>
                </c:pt>
                <c:pt idx="5">
                  <c:v>JUNY</c:v>
                </c:pt>
                <c:pt idx="6">
                  <c:v>JULIOL</c:v>
                </c:pt>
                <c:pt idx="7">
                  <c:v>AGOST</c:v>
                </c:pt>
                <c:pt idx="8">
                  <c:v>SETEMBRE </c:v>
                </c:pt>
                <c:pt idx="9">
                  <c:v>OCTUBRE </c:v>
                </c:pt>
                <c:pt idx="10">
                  <c:v>NOVEMBRE </c:v>
                </c:pt>
                <c:pt idx="11">
                  <c:v>DESEMBRE</c:v>
                </c:pt>
              </c:strCache>
            </c:strRef>
          </c:cat>
          <c:val>
            <c:numRef>
              <c:f>'Contratos - evolución '!$D$3:$D$14</c:f>
              <c:numCache>
                <c:formatCode>_-* #,##0\ _€_-;\-* #,##0\ _€_-;_-* "-"??\ _€_-;_-@_-</c:formatCode>
                <c:ptCount val="12"/>
                <c:pt idx="0">
                  <c:v>169760</c:v>
                </c:pt>
                <c:pt idx="1">
                  <c:v>146079</c:v>
                </c:pt>
                <c:pt idx="2">
                  <c:v>153180</c:v>
                </c:pt>
                <c:pt idx="3">
                  <c:v>165743</c:v>
                </c:pt>
                <c:pt idx="4">
                  <c:v>186596</c:v>
                </c:pt>
                <c:pt idx="5">
                  <c:v>195283</c:v>
                </c:pt>
                <c:pt idx="6">
                  <c:v>242810</c:v>
                </c:pt>
                <c:pt idx="7">
                  <c:v>145432</c:v>
                </c:pt>
                <c:pt idx="8">
                  <c:v>194990</c:v>
                </c:pt>
                <c:pt idx="9">
                  <c:v>223660</c:v>
                </c:pt>
                <c:pt idx="10">
                  <c:v>171808</c:v>
                </c:pt>
                <c:pt idx="11">
                  <c:v>165883</c:v>
                </c:pt>
              </c:numCache>
            </c:numRef>
          </c:val>
          <c:smooth val="0"/>
        </c:ser>
        <c:ser>
          <c:idx val="3"/>
          <c:order val="3"/>
          <c:tx>
            <c:strRef>
              <c:f>'Contratos - evolución '!$E$2</c:f>
              <c:strCache>
                <c:ptCount val="1"/>
                <c:pt idx="0">
                  <c:v>2014</c:v>
                </c:pt>
              </c:strCache>
            </c:strRef>
          </c:tx>
          <c:spPr>
            <a:ln w="38100"/>
          </c:spPr>
          <c:marker>
            <c:symbol val="none"/>
          </c:marker>
          <c:cat>
            <c:strRef>
              <c:f>'Contratos - evolución '!$A$3:$A$14</c:f>
              <c:strCache>
                <c:ptCount val="12"/>
                <c:pt idx="0">
                  <c:v>GENER </c:v>
                </c:pt>
                <c:pt idx="1">
                  <c:v>FEBRER</c:v>
                </c:pt>
                <c:pt idx="2">
                  <c:v>MARÇ</c:v>
                </c:pt>
                <c:pt idx="3">
                  <c:v>ABRIL</c:v>
                </c:pt>
                <c:pt idx="4">
                  <c:v>MAIG</c:v>
                </c:pt>
                <c:pt idx="5">
                  <c:v>JUNY</c:v>
                </c:pt>
                <c:pt idx="6">
                  <c:v>JULIOL</c:v>
                </c:pt>
                <c:pt idx="7">
                  <c:v>AGOST</c:v>
                </c:pt>
                <c:pt idx="8">
                  <c:v>SETEMBRE </c:v>
                </c:pt>
                <c:pt idx="9">
                  <c:v>OCTUBRE </c:v>
                </c:pt>
                <c:pt idx="10">
                  <c:v>NOVEMBRE </c:v>
                </c:pt>
                <c:pt idx="11">
                  <c:v>DESEMBRE</c:v>
                </c:pt>
              </c:strCache>
            </c:strRef>
          </c:cat>
          <c:val>
            <c:numRef>
              <c:f>'Contratos - evolución '!$E$3:$E$14</c:f>
              <c:numCache>
                <c:formatCode>_-* #,##0\ _€_-;\-* #,##0\ _€_-;_-* "-"??\ _€_-;_-@_-</c:formatCode>
                <c:ptCount val="12"/>
                <c:pt idx="0">
                  <c:v>182613</c:v>
                </c:pt>
                <c:pt idx="1">
                  <c:v>161681</c:v>
                </c:pt>
                <c:pt idx="2">
                  <c:v>175114</c:v>
                </c:pt>
                <c:pt idx="3">
                  <c:v>197989</c:v>
                </c:pt>
                <c:pt idx="4">
                  <c:v>207404</c:v>
                </c:pt>
                <c:pt idx="5">
                  <c:v>227619</c:v>
                </c:pt>
                <c:pt idx="6">
                  <c:v>271151</c:v>
                </c:pt>
                <c:pt idx="7">
                  <c:v>157650</c:v>
                </c:pt>
                <c:pt idx="8">
                  <c:v>225717</c:v>
                </c:pt>
                <c:pt idx="9">
                  <c:v>251638</c:v>
                </c:pt>
                <c:pt idx="10">
                  <c:v>197027</c:v>
                </c:pt>
                <c:pt idx="11">
                  <c:v>186014</c:v>
                </c:pt>
              </c:numCache>
            </c:numRef>
          </c:val>
          <c:smooth val="0"/>
        </c:ser>
        <c:ser>
          <c:idx val="4"/>
          <c:order val="4"/>
          <c:tx>
            <c:strRef>
              <c:f>'Contratos - evolución '!$F$2</c:f>
              <c:strCache>
                <c:ptCount val="1"/>
                <c:pt idx="0">
                  <c:v>2015</c:v>
                </c:pt>
              </c:strCache>
            </c:strRef>
          </c:tx>
          <c:spPr>
            <a:ln w="38100"/>
          </c:spPr>
          <c:marker>
            <c:symbol val="none"/>
          </c:marker>
          <c:cat>
            <c:strRef>
              <c:f>'Contratos - evolución '!$A$3:$A$14</c:f>
              <c:strCache>
                <c:ptCount val="12"/>
                <c:pt idx="0">
                  <c:v>GENER </c:v>
                </c:pt>
                <c:pt idx="1">
                  <c:v>FEBRER</c:v>
                </c:pt>
                <c:pt idx="2">
                  <c:v>MARÇ</c:v>
                </c:pt>
                <c:pt idx="3">
                  <c:v>ABRIL</c:v>
                </c:pt>
                <c:pt idx="4">
                  <c:v>MAIG</c:v>
                </c:pt>
                <c:pt idx="5">
                  <c:v>JUNY</c:v>
                </c:pt>
                <c:pt idx="6">
                  <c:v>JULIOL</c:v>
                </c:pt>
                <c:pt idx="7">
                  <c:v>AGOST</c:v>
                </c:pt>
                <c:pt idx="8">
                  <c:v>SETEMBRE </c:v>
                </c:pt>
                <c:pt idx="9">
                  <c:v>OCTUBRE </c:v>
                </c:pt>
                <c:pt idx="10">
                  <c:v>NOVEMBRE </c:v>
                </c:pt>
                <c:pt idx="11">
                  <c:v>DESEMBRE</c:v>
                </c:pt>
              </c:strCache>
            </c:strRef>
          </c:cat>
          <c:val>
            <c:numRef>
              <c:f>'Contratos - evolución '!$F$3:$F$14</c:f>
              <c:numCache>
                <c:formatCode>_-* #,##0\ _€_-;\-* #,##0\ _€_-;_-* "-"??\ _€_-;_-@_-</c:formatCode>
                <c:ptCount val="12"/>
                <c:pt idx="0">
                  <c:v>205752</c:v>
                </c:pt>
                <c:pt idx="1">
                  <c:v>184801</c:v>
                </c:pt>
                <c:pt idx="2">
                  <c:v>218599</c:v>
                </c:pt>
                <c:pt idx="3">
                  <c:v>209507</c:v>
                </c:pt>
                <c:pt idx="4">
                  <c:v>228588</c:v>
                </c:pt>
                <c:pt idx="5">
                  <c:v>261682</c:v>
                </c:pt>
                <c:pt idx="6">
                  <c:v>290500</c:v>
                </c:pt>
                <c:pt idx="7">
                  <c:v>179251</c:v>
                </c:pt>
                <c:pt idx="8">
                  <c:v>247158</c:v>
                </c:pt>
                <c:pt idx="9">
                  <c:v>257351</c:v>
                </c:pt>
                <c:pt idx="10">
                  <c:v>232979</c:v>
                </c:pt>
                <c:pt idx="11">
                  <c:v>215647</c:v>
                </c:pt>
              </c:numCache>
            </c:numRef>
          </c:val>
          <c:smooth val="0"/>
        </c:ser>
        <c:ser>
          <c:idx val="5"/>
          <c:order val="5"/>
          <c:tx>
            <c:strRef>
              <c:f>'Contratos - evolución '!$G$2</c:f>
              <c:strCache>
                <c:ptCount val="1"/>
                <c:pt idx="0">
                  <c:v>2016</c:v>
                </c:pt>
              </c:strCache>
            </c:strRef>
          </c:tx>
          <c:marker>
            <c:symbol val="none"/>
          </c:marker>
          <c:cat>
            <c:strRef>
              <c:f>'Contratos - evolución '!$A$3:$A$14</c:f>
              <c:strCache>
                <c:ptCount val="12"/>
                <c:pt idx="0">
                  <c:v>GENER </c:v>
                </c:pt>
                <c:pt idx="1">
                  <c:v>FEBRER</c:v>
                </c:pt>
                <c:pt idx="2">
                  <c:v>MARÇ</c:v>
                </c:pt>
                <c:pt idx="3">
                  <c:v>ABRIL</c:v>
                </c:pt>
                <c:pt idx="4">
                  <c:v>MAIG</c:v>
                </c:pt>
                <c:pt idx="5">
                  <c:v>JUNY</c:v>
                </c:pt>
                <c:pt idx="6">
                  <c:v>JULIOL</c:v>
                </c:pt>
                <c:pt idx="7">
                  <c:v>AGOST</c:v>
                </c:pt>
                <c:pt idx="8">
                  <c:v>SETEMBRE </c:v>
                </c:pt>
                <c:pt idx="9">
                  <c:v>OCTUBRE </c:v>
                </c:pt>
                <c:pt idx="10">
                  <c:v>NOVEMBRE </c:v>
                </c:pt>
                <c:pt idx="11">
                  <c:v>DESEMBRE</c:v>
                </c:pt>
              </c:strCache>
            </c:strRef>
          </c:cat>
          <c:val>
            <c:numRef>
              <c:f>'Contratos - evolución '!$G$3:$G$14</c:f>
              <c:numCache>
                <c:formatCode>_-* #,##0\ _€_-;\-* #,##0\ _€_-;_-* "-"??\ _€_-;_-@_-</c:formatCode>
                <c:ptCount val="12"/>
                <c:pt idx="0">
                  <c:v>202894</c:v>
                </c:pt>
                <c:pt idx="1">
                  <c:v>215393</c:v>
                </c:pt>
                <c:pt idx="2">
                  <c:v>227813</c:v>
                </c:pt>
                <c:pt idx="3">
                  <c:v>232941</c:v>
                </c:pt>
                <c:pt idx="4">
                  <c:v>260571</c:v>
                </c:pt>
                <c:pt idx="5">
                  <c:v>296891</c:v>
                </c:pt>
                <c:pt idx="6">
                  <c:v>300852</c:v>
                </c:pt>
                <c:pt idx="7">
                  <c:v>209088</c:v>
                </c:pt>
                <c:pt idx="8">
                  <c:v>281932</c:v>
                </c:pt>
                <c:pt idx="9">
                  <c:v>267442</c:v>
                </c:pt>
                <c:pt idx="10">
                  <c:v>265890</c:v>
                </c:pt>
                <c:pt idx="11">
                  <c:v>224851</c:v>
                </c:pt>
              </c:numCache>
            </c:numRef>
          </c:val>
          <c:smooth val="0"/>
        </c:ser>
        <c:ser>
          <c:idx val="6"/>
          <c:order val="6"/>
          <c:tx>
            <c:strRef>
              <c:f>'Contratos - evolución '!$H$2</c:f>
              <c:strCache>
                <c:ptCount val="1"/>
                <c:pt idx="0">
                  <c:v>2017</c:v>
                </c:pt>
              </c:strCache>
            </c:strRef>
          </c:tx>
          <c:marker>
            <c:symbol val="none"/>
          </c:marker>
          <c:cat>
            <c:strRef>
              <c:f>'Contratos - evolución '!$A$3:$A$14</c:f>
              <c:strCache>
                <c:ptCount val="12"/>
                <c:pt idx="0">
                  <c:v>GENER </c:v>
                </c:pt>
                <c:pt idx="1">
                  <c:v>FEBRER</c:v>
                </c:pt>
                <c:pt idx="2">
                  <c:v>MARÇ</c:v>
                </c:pt>
                <c:pt idx="3">
                  <c:v>ABRIL</c:v>
                </c:pt>
                <c:pt idx="4">
                  <c:v>MAIG</c:v>
                </c:pt>
                <c:pt idx="5">
                  <c:v>JUNY</c:v>
                </c:pt>
                <c:pt idx="6">
                  <c:v>JULIOL</c:v>
                </c:pt>
                <c:pt idx="7">
                  <c:v>AGOST</c:v>
                </c:pt>
                <c:pt idx="8">
                  <c:v>SETEMBRE </c:v>
                </c:pt>
                <c:pt idx="9">
                  <c:v>OCTUBRE </c:v>
                </c:pt>
                <c:pt idx="10">
                  <c:v>NOVEMBRE </c:v>
                </c:pt>
                <c:pt idx="11">
                  <c:v>DESEMBRE</c:v>
                </c:pt>
              </c:strCache>
            </c:strRef>
          </c:cat>
          <c:val>
            <c:numRef>
              <c:f>'Contratos - evolución '!$H$3:$H$14</c:f>
              <c:numCache>
                <c:formatCode>_-* #,##0\ _€_-;\-* #,##0\ _€_-;_-* "-"??\ _€_-;_-@_-</c:formatCode>
                <c:ptCount val="12"/>
                <c:pt idx="0">
                  <c:v>226590</c:v>
                </c:pt>
                <c:pt idx="1">
                  <c:v>222369</c:v>
                </c:pt>
                <c:pt idx="2">
                  <c:v>262621</c:v>
                </c:pt>
                <c:pt idx="3">
                  <c:v>241820</c:v>
                </c:pt>
                <c:pt idx="4">
                  <c:v>295142</c:v>
                </c:pt>
                <c:pt idx="5">
                  <c:v>325132</c:v>
                </c:pt>
                <c:pt idx="6">
                  <c:v>315227</c:v>
                </c:pt>
                <c:pt idx="7">
                  <c:v>219884</c:v>
                </c:pt>
                <c:pt idx="8">
                  <c:v>292461</c:v>
                </c:pt>
                <c:pt idx="9">
                  <c:v>297849</c:v>
                </c:pt>
                <c:pt idx="10">
                  <c:v>268606</c:v>
                </c:pt>
                <c:pt idx="11">
                  <c:v>219458</c:v>
                </c:pt>
              </c:numCache>
            </c:numRef>
          </c:val>
          <c:smooth val="0"/>
        </c:ser>
        <c:ser>
          <c:idx val="7"/>
          <c:order val="7"/>
          <c:tx>
            <c:strRef>
              <c:f>'Contratos - evolución '!$I$2</c:f>
              <c:strCache>
                <c:ptCount val="1"/>
                <c:pt idx="0">
                  <c:v>2018</c:v>
                </c:pt>
              </c:strCache>
            </c:strRef>
          </c:tx>
          <c:marker>
            <c:symbol val="star"/>
            <c:size val="7"/>
          </c:marker>
          <c:cat>
            <c:strRef>
              <c:f>'Contratos - evolución '!$A$3:$A$14</c:f>
              <c:strCache>
                <c:ptCount val="12"/>
                <c:pt idx="0">
                  <c:v>GENER </c:v>
                </c:pt>
                <c:pt idx="1">
                  <c:v>FEBRER</c:v>
                </c:pt>
                <c:pt idx="2">
                  <c:v>MARÇ</c:v>
                </c:pt>
                <c:pt idx="3">
                  <c:v>ABRIL</c:v>
                </c:pt>
                <c:pt idx="4">
                  <c:v>MAIG</c:v>
                </c:pt>
                <c:pt idx="5">
                  <c:v>JUNY</c:v>
                </c:pt>
                <c:pt idx="6">
                  <c:v>JULIOL</c:v>
                </c:pt>
                <c:pt idx="7">
                  <c:v>AGOST</c:v>
                </c:pt>
                <c:pt idx="8">
                  <c:v>SETEMBRE </c:v>
                </c:pt>
                <c:pt idx="9">
                  <c:v>OCTUBRE </c:v>
                </c:pt>
                <c:pt idx="10">
                  <c:v>NOVEMBRE </c:v>
                </c:pt>
                <c:pt idx="11">
                  <c:v>DESEMBRE</c:v>
                </c:pt>
              </c:strCache>
            </c:strRef>
          </c:cat>
          <c:val>
            <c:numRef>
              <c:f>'Contratos - evolución '!$I$3:$I$14</c:f>
              <c:numCache>
                <c:formatCode>_-* #,##0\ _p_t_a_-;\-* #,##0\ _p_t_a_-;_-* "-"??\ _p_t_a_-;_-@_-</c:formatCode>
                <c:ptCount val="12"/>
                <c:pt idx="0">
                  <c:v>262626</c:v>
                </c:pt>
                <c:pt idx="1">
                  <c:v>241092</c:v>
                </c:pt>
                <c:pt idx="2">
                  <c:v>264302</c:v>
                </c:pt>
                <c:pt idx="3" formatCode="_-* #,##0\ _€_-;\-* #,##0\ _€_-;_-* &quot;-&quot;??\ _€_-;_-@_-">
                  <c:v>256614</c:v>
                </c:pt>
                <c:pt idx="4" formatCode="_-* #,##0\ _€_-;\-* #,##0\ _€_-;_-* &quot;-&quot;??\ _€_-;_-@_-">
                  <c:v>303805</c:v>
                </c:pt>
                <c:pt idx="5" formatCode="_-* #,##0\ _€_-;\-* #,##0\ _€_-;_-* &quot;-&quot;??\ _€_-;_-@_-">
                  <c:v>322935</c:v>
                </c:pt>
                <c:pt idx="6" formatCode="_-* #,##0\ _€_-;\-* #,##0\ _€_-;_-* &quot;-&quot;??\ _€_-;_-@_-">
                  <c:v>327967</c:v>
                </c:pt>
                <c:pt idx="7" formatCode="_-* #,##0\ _€_-;\-* #,##0\ _€_-;_-* &quot;-&quot;??\ _€_-;_-@_-">
                  <c:v>232827</c:v>
                </c:pt>
                <c:pt idx="8" formatCode="_-* #,##0\ _€_-;\-* #,##0\ _€_-;_-* &quot;-&quot;??\ _€_-;_-@_-">
                  <c:v>279205</c:v>
                </c:pt>
              </c:numCache>
            </c:numRef>
          </c:val>
          <c:smooth val="0"/>
        </c:ser>
        <c:dLbls>
          <c:showLegendKey val="0"/>
          <c:showVal val="0"/>
          <c:showCatName val="0"/>
          <c:showSerName val="0"/>
          <c:showPercent val="0"/>
          <c:showBubbleSize val="0"/>
        </c:dLbls>
        <c:marker val="1"/>
        <c:smooth val="0"/>
        <c:axId val="147517824"/>
        <c:axId val="147519360"/>
      </c:lineChart>
      <c:catAx>
        <c:axId val="147517824"/>
        <c:scaling>
          <c:orientation val="minMax"/>
        </c:scaling>
        <c:delete val="0"/>
        <c:axPos val="b"/>
        <c:majorTickMark val="none"/>
        <c:minorTickMark val="none"/>
        <c:tickLblPos val="nextTo"/>
        <c:txPr>
          <a:bodyPr/>
          <a:lstStyle/>
          <a:p>
            <a:pPr>
              <a:defRPr sz="800"/>
            </a:pPr>
            <a:endParaRPr lang="es-ES"/>
          </a:p>
        </c:txPr>
        <c:crossAx val="147519360"/>
        <c:crosses val="autoZero"/>
        <c:auto val="1"/>
        <c:lblAlgn val="ctr"/>
        <c:lblOffset val="100"/>
        <c:noMultiLvlLbl val="0"/>
      </c:catAx>
      <c:valAx>
        <c:axId val="147519360"/>
        <c:scaling>
          <c:orientation val="minMax"/>
          <c:max val="340000"/>
          <c:min val="100000"/>
        </c:scaling>
        <c:delete val="0"/>
        <c:axPos val="l"/>
        <c:numFmt formatCode="_-* #,##0\ _€_-;\-* #,##0\ _€_-;_-* &quot;-&quot;??\ _€_-;_-@_-" sourceLinked="1"/>
        <c:majorTickMark val="none"/>
        <c:minorTickMark val="none"/>
        <c:tickLblPos val="nextTo"/>
        <c:crossAx val="147517824"/>
        <c:crosses val="autoZero"/>
        <c:crossBetween val="between"/>
        <c:majorUnit val="20000"/>
      </c:valAx>
    </c:plotArea>
    <c:legend>
      <c:legendPos val="r"/>
      <c:layout>
        <c:manualLayout>
          <c:xMode val="edge"/>
          <c:yMode val="edge"/>
          <c:x val="0.85489661661499095"/>
          <c:y val="0.25906194022651702"/>
          <c:w val="0.115713641701101"/>
          <c:h val="0.48894359822755601"/>
        </c:manualLayout>
      </c:layout>
      <c:overlay val="0"/>
      <c:txPr>
        <a:bodyPr/>
        <a:lstStyle/>
        <a:p>
          <a:pPr>
            <a:defRPr sz="900"/>
          </a:pPr>
          <a:endParaRPr lang="es-ES"/>
        </a:p>
      </c:txPr>
    </c:legend>
    <c:plotVisOnly val="1"/>
    <c:dispBlanksAs val="gap"/>
    <c:showDLblsOverMax val="0"/>
  </c:chart>
  <c:spPr>
    <a:ln>
      <a:solidFill>
        <a:srgbClr val="C00000"/>
      </a:solidFill>
    </a:ln>
  </c:spPr>
  <c:txPr>
    <a:bodyPr/>
    <a:lstStyle/>
    <a:p>
      <a:pPr>
        <a:defRPr sz="900">
          <a:latin typeface="Rotis Sans Serif Std" pitchFamily="34" charset="0"/>
        </a:defRPr>
      </a:pPr>
      <a:endParaRPr lang="es-E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0.45208</cdr:x>
      <cdr:y>0.3316</cdr:y>
    </cdr:from>
    <cdr:to>
      <cdr:x>0.60833</cdr:x>
      <cdr:y>0.44618</cdr:y>
    </cdr:to>
    <cdr:sp macro="" textlink="">
      <cdr:nvSpPr>
        <cdr:cNvPr id="2" name="1 CuadroTexto"/>
        <cdr:cNvSpPr txBox="1"/>
      </cdr:nvSpPr>
      <cdr:spPr>
        <a:xfrm xmlns:a="http://schemas.openxmlformats.org/drawingml/2006/main">
          <a:off x="2066924" y="909638"/>
          <a:ext cx="714376"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b="1"/>
        </a:p>
      </cdr:txBody>
    </cdr:sp>
  </cdr:relSizeAnchor>
  <cdr:relSizeAnchor xmlns:cdr="http://schemas.openxmlformats.org/drawingml/2006/chartDrawing">
    <cdr:from>
      <cdr:x>0.45208</cdr:x>
      <cdr:y>0.3316</cdr:y>
    </cdr:from>
    <cdr:to>
      <cdr:x>0.60833</cdr:x>
      <cdr:y>0.44618</cdr:y>
    </cdr:to>
    <cdr:sp macro="" textlink="">
      <cdr:nvSpPr>
        <cdr:cNvPr id="3" name="1 CuadroTexto"/>
        <cdr:cNvSpPr txBox="1"/>
      </cdr:nvSpPr>
      <cdr:spPr>
        <a:xfrm xmlns:a="http://schemas.openxmlformats.org/drawingml/2006/main">
          <a:off x="2066924" y="909638"/>
          <a:ext cx="714376"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b="1"/>
        </a:p>
      </cdr:txBody>
    </cdr:sp>
  </cdr:relSizeAnchor>
  <cdr:relSizeAnchor xmlns:cdr="http://schemas.openxmlformats.org/drawingml/2006/chartDrawing">
    <cdr:from>
      <cdr:x>0.45208</cdr:x>
      <cdr:y>0.3316</cdr:y>
    </cdr:from>
    <cdr:to>
      <cdr:x>0.60833</cdr:x>
      <cdr:y>0.44618</cdr:y>
    </cdr:to>
    <cdr:sp macro="" textlink="">
      <cdr:nvSpPr>
        <cdr:cNvPr id="5" name="1 CuadroTexto"/>
        <cdr:cNvSpPr txBox="1"/>
      </cdr:nvSpPr>
      <cdr:spPr>
        <a:xfrm xmlns:a="http://schemas.openxmlformats.org/drawingml/2006/main">
          <a:off x="2066924" y="909638"/>
          <a:ext cx="714376"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0.48178</cdr:x>
      <cdr:y>0.32101</cdr:y>
    </cdr:from>
    <cdr:to>
      <cdr:x>0.63803</cdr:x>
      <cdr:y>0.43559</cdr:y>
    </cdr:to>
    <cdr:sp macro="" textlink="">
      <cdr:nvSpPr>
        <cdr:cNvPr id="2" name="1 CuadroTexto"/>
        <cdr:cNvSpPr txBox="1"/>
      </cdr:nvSpPr>
      <cdr:spPr>
        <a:xfrm xmlns:a="http://schemas.openxmlformats.org/drawingml/2006/main">
          <a:off x="3269346" y="866739"/>
          <a:ext cx="1060312" cy="3093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b="1">
              <a:latin typeface="Rotis Sans Serif Std" pitchFamily="34" charset="0"/>
            </a:rPr>
            <a:t>-4,19</a:t>
          </a:r>
          <a:r>
            <a:rPr lang="es-ES" sz="1100" b="1"/>
            <a:t>%</a:t>
          </a:r>
        </a:p>
      </cdr:txBody>
    </cdr:sp>
  </cdr:relSizeAnchor>
  <cdr:relSizeAnchor xmlns:cdr="http://schemas.openxmlformats.org/drawingml/2006/chartDrawing">
    <cdr:from>
      <cdr:x>0.48125</cdr:x>
      <cdr:y>0.42882</cdr:y>
    </cdr:from>
    <cdr:to>
      <cdr:x>0.57917</cdr:x>
      <cdr:y>0.48438</cdr:y>
    </cdr:to>
    <cdr:sp macro="" textlink="">
      <cdr:nvSpPr>
        <cdr:cNvPr id="3" name="2 Flecha derecha"/>
        <cdr:cNvSpPr/>
      </cdr:nvSpPr>
      <cdr:spPr>
        <a:xfrm xmlns:a="http://schemas.openxmlformats.org/drawingml/2006/main">
          <a:off x="2200275" y="1176338"/>
          <a:ext cx="447675" cy="152400"/>
        </a:xfrm>
        <a:prstGeom xmlns:a="http://schemas.openxmlformats.org/drawingml/2006/main" prst="rightArrow">
          <a:avLst/>
        </a:prstGeom>
      </cdr:spPr>
      <cdr:style>
        <a:lnRef xmlns:a="http://schemas.openxmlformats.org/drawingml/2006/main" idx="0">
          <a:schemeClr val="accent2"/>
        </a:lnRef>
        <a:fillRef xmlns:a="http://schemas.openxmlformats.org/drawingml/2006/main" idx="3">
          <a:schemeClr val="accent2"/>
        </a:fillRef>
        <a:effectRef xmlns:a="http://schemas.openxmlformats.org/drawingml/2006/main" idx="3">
          <a:schemeClr val="accent2"/>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ES"/>
        </a:p>
      </cdr:txBody>
    </cdr:sp>
  </cdr:relSizeAnchor>
</c:userShapes>
</file>

<file path=word/drawings/drawing3.xml><?xml version="1.0" encoding="utf-8"?>
<c:userShapes xmlns:c="http://schemas.openxmlformats.org/drawingml/2006/chart">
  <cdr:relSizeAnchor xmlns:cdr="http://schemas.openxmlformats.org/drawingml/2006/chartDrawing">
    <cdr:from>
      <cdr:x>0.42798</cdr:x>
      <cdr:y>0.4348</cdr:y>
    </cdr:from>
    <cdr:to>
      <cdr:x>0.5259</cdr:x>
      <cdr:y>0.49036</cdr:y>
    </cdr:to>
    <cdr:sp macro="" textlink="">
      <cdr:nvSpPr>
        <cdr:cNvPr id="3" name="1 Flecha derecha"/>
        <cdr:cNvSpPr/>
      </cdr:nvSpPr>
      <cdr:spPr>
        <a:xfrm xmlns:a="http://schemas.openxmlformats.org/drawingml/2006/main">
          <a:off x="1925910" y="1173948"/>
          <a:ext cx="440640" cy="150012"/>
        </a:xfrm>
        <a:prstGeom xmlns:a="http://schemas.openxmlformats.org/drawingml/2006/main" prst="rightArrow">
          <a:avLst/>
        </a:prstGeom>
      </cdr:spPr>
      <cdr:style>
        <a:lnRef xmlns:a="http://schemas.openxmlformats.org/drawingml/2006/main" idx="0">
          <a:schemeClr val="accent2"/>
        </a:lnRef>
        <a:fillRef xmlns:a="http://schemas.openxmlformats.org/drawingml/2006/main" idx="3">
          <a:schemeClr val="accent2"/>
        </a:fillRef>
        <a:effectRef xmlns:a="http://schemas.openxmlformats.org/drawingml/2006/main" idx="3">
          <a:schemeClr val="accent2"/>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s-ES"/>
        </a:p>
      </cdr:txBody>
    </cdr:sp>
  </cdr:relSizeAnchor>
  <cdr:relSizeAnchor xmlns:cdr="http://schemas.openxmlformats.org/drawingml/2006/chartDrawing">
    <cdr:from>
      <cdr:x>0.36945</cdr:x>
      <cdr:y>0.08028</cdr:y>
    </cdr:from>
    <cdr:to>
      <cdr:x>0.5151</cdr:x>
      <cdr:y>0.18848</cdr:y>
    </cdr:to>
    <cdr:sp macro="" textlink="">
      <cdr:nvSpPr>
        <cdr:cNvPr id="4" name="3 CuadroTexto"/>
        <cdr:cNvSpPr txBox="1"/>
      </cdr:nvSpPr>
      <cdr:spPr>
        <a:xfrm xmlns:a="http://schemas.openxmlformats.org/drawingml/2006/main">
          <a:off x="1981201" y="219075"/>
          <a:ext cx="78105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0.30906</cdr:x>
      <cdr:y>0.0349</cdr:y>
    </cdr:from>
    <cdr:to>
      <cdr:x>0.56661</cdr:x>
      <cdr:y>0.13264</cdr:y>
    </cdr:to>
    <cdr:sp macro="" textlink="">
      <cdr:nvSpPr>
        <cdr:cNvPr id="5" name="4 CuadroTexto"/>
        <cdr:cNvSpPr txBox="1"/>
      </cdr:nvSpPr>
      <cdr:spPr>
        <a:xfrm xmlns:a="http://schemas.openxmlformats.org/drawingml/2006/main">
          <a:off x="1657351" y="95250"/>
          <a:ext cx="1381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0.40142</cdr:x>
      <cdr:y>0.363</cdr:y>
    </cdr:from>
    <cdr:to>
      <cdr:x>0.5524</cdr:x>
      <cdr:y>0.45508</cdr:y>
    </cdr:to>
    <cdr:sp macro="" textlink="">
      <cdr:nvSpPr>
        <cdr:cNvPr id="7" name="6 CuadroTexto"/>
        <cdr:cNvSpPr txBox="1"/>
      </cdr:nvSpPr>
      <cdr:spPr>
        <a:xfrm xmlns:a="http://schemas.openxmlformats.org/drawingml/2006/main">
          <a:off x="1806390" y="980099"/>
          <a:ext cx="679410" cy="24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b="1">
              <a:latin typeface="Rotis Sans Serif Std" pitchFamily="34" charset="0"/>
            </a:rPr>
            <a:t>+18,84</a:t>
          </a:r>
          <a:r>
            <a:rPr lang="es-ES" sz="1100" b="1"/>
            <a:t>%</a:t>
          </a:r>
        </a:p>
      </cdr:txBody>
    </cdr:sp>
  </cdr:relSizeAnchor>
</c:userShapes>
</file>

<file path=word/drawings/drawing4.xml><?xml version="1.0" encoding="utf-8"?>
<c:userShapes xmlns:c="http://schemas.openxmlformats.org/drawingml/2006/chart">
  <cdr:relSizeAnchor xmlns:cdr="http://schemas.openxmlformats.org/drawingml/2006/chartDrawing">
    <cdr:from>
      <cdr:x>0.44355</cdr:x>
      <cdr:y>0.45936</cdr:y>
    </cdr:from>
    <cdr:to>
      <cdr:x>0.59385</cdr:x>
      <cdr:y>0.56738</cdr:y>
    </cdr:to>
    <cdr:sp macro="" textlink="">
      <cdr:nvSpPr>
        <cdr:cNvPr id="2" name="1 CuadroTexto"/>
        <cdr:cNvSpPr txBox="1"/>
      </cdr:nvSpPr>
      <cdr:spPr>
        <a:xfrm xmlns:a="http://schemas.openxmlformats.org/drawingml/2006/main">
          <a:off x="2108200" y="1336675"/>
          <a:ext cx="714376" cy="3143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100" b="1">
              <a:latin typeface="Rotis Sans Serif Std" pitchFamily="34" charset="0"/>
            </a:rPr>
            <a:t>+9,66</a:t>
          </a:r>
          <a:r>
            <a:rPr lang="es-ES" sz="1100" b="1"/>
            <a:t>%</a:t>
          </a:r>
        </a:p>
      </cdr:txBody>
    </cdr:sp>
  </cdr:relSizeAnchor>
  <cdr:relSizeAnchor xmlns:cdr="http://schemas.openxmlformats.org/drawingml/2006/chartDrawing">
    <cdr:from>
      <cdr:x>0.46159</cdr:x>
      <cdr:y>0.56083</cdr:y>
    </cdr:from>
    <cdr:to>
      <cdr:x>0.55578</cdr:x>
      <cdr:y>0.6132</cdr:y>
    </cdr:to>
    <cdr:sp macro="" textlink="">
      <cdr:nvSpPr>
        <cdr:cNvPr id="4" name="1 Flecha derecha"/>
        <cdr:cNvSpPr/>
      </cdr:nvSpPr>
      <cdr:spPr>
        <a:xfrm xmlns:a="http://schemas.openxmlformats.org/drawingml/2006/main">
          <a:off x="2193925" y="1631950"/>
          <a:ext cx="447675" cy="152400"/>
        </a:xfrm>
        <a:prstGeom xmlns:a="http://schemas.openxmlformats.org/drawingml/2006/main" prst="rightArrow">
          <a:avLst/>
        </a:prstGeom>
      </cdr:spPr>
      <cdr:style>
        <a:lnRef xmlns:a="http://schemas.openxmlformats.org/drawingml/2006/main" idx="0">
          <a:schemeClr val="accent1"/>
        </a:lnRef>
        <a:fillRef xmlns:a="http://schemas.openxmlformats.org/drawingml/2006/main" idx="3">
          <a:schemeClr val="accent1"/>
        </a:fillRef>
        <a:effectRef xmlns:a="http://schemas.openxmlformats.org/drawingml/2006/main" idx="3">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s-ES"/>
        </a:p>
      </cdr:txBody>
    </cdr:sp>
  </cdr:relSizeAnchor>
</c:userShapes>
</file>

<file path=word/drawings/drawing5.xml><?xml version="1.0" encoding="utf-8"?>
<c:userShapes xmlns:c="http://schemas.openxmlformats.org/drawingml/2006/chart">
  <cdr:relSizeAnchor xmlns:cdr="http://schemas.openxmlformats.org/drawingml/2006/chartDrawing">
    <cdr:from>
      <cdr:x>0.39375</cdr:x>
      <cdr:y>0.3316</cdr:y>
    </cdr:from>
    <cdr:to>
      <cdr:x>0.57083</cdr:x>
      <cdr:y>0.38368</cdr:y>
    </cdr:to>
    <cdr:sp macro="" textlink="">
      <cdr:nvSpPr>
        <cdr:cNvPr id="2" name="1 CuadroTexto"/>
        <cdr:cNvSpPr txBox="1"/>
      </cdr:nvSpPr>
      <cdr:spPr>
        <a:xfrm xmlns:a="http://schemas.openxmlformats.org/drawingml/2006/main">
          <a:off x="1800225" y="909638"/>
          <a:ext cx="809625" cy="142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0.4125</cdr:x>
      <cdr:y>0.42535</cdr:y>
    </cdr:from>
    <cdr:to>
      <cdr:x>0.58542</cdr:x>
      <cdr:y>0.52604</cdr:y>
    </cdr:to>
    <cdr:sp macro="" textlink="">
      <cdr:nvSpPr>
        <cdr:cNvPr id="4" name="3 CuadroTexto"/>
        <cdr:cNvSpPr txBox="1"/>
      </cdr:nvSpPr>
      <cdr:spPr>
        <a:xfrm xmlns:a="http://schemas.openxmlformats.org/drawingml/2006/main">
          <a:off x="1885950" y="1166813"/>
          <a:ext cx="790575" cy="2762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b="1">
              <a:latin typeface="Rotis Sans Serif Std" pitchFamily="34" charset="0"/>
            </a:rPr>
            <a:t>+24,06</a:t>
          </a:r>
          <a:r>
            <a:rPr lang="es-ES" sz="1100" b="1"/>
            <a:t>%</a:t>
          </a:r>
        </a:p>
      </cdr:txBody>
    </cdr:sp>
  </cdr:relSizeAnchor>
  <cdr:relSizeAnchor xmlns:cdr="http://schemas.openxmlformats.org/drawingml/2006/chartDrawing">
    <cdr:from>
      <cdr:x>0.43819</cdr:x>
      <cdr:y>0.5081</cdr:y>
    </cdr:from>
    <cdr:to>
      <cdr:x>0.53905</cdr:x>
      <cdr:y>0.56365</cdr:y>
    </cdr:to>
    <cdr:sp macro="" textlink="">
      <cdr:nvSpPr>
        <cdr:cNvPr id="5" name="1 Flecha derecha"/>
        <cdr:cNvSpPr/>
      </cdr:nvSpPr>
      <cdr:spPr>
        <a:xfrm xmlns:a="http://schemas.openxmlformats.org/drawingml/2006/main">
          <a:off x="2003420" y="1393829"/>
          <a:ext cx="461132" cy="152385"/>
        </a:xfrm>
        <a:prstGeom xmlns:a="http://schemas.openxmlformats.org/drawingml/2006/main" prst="rightArrow">
          <a:avLst/>
        </a:prstGeom>
      </cdr:spPr>
      <cdr:style>
        <a:lnRef xmlns:a="http://schemas.openxmlformats.org/drawingml/2006/main" idx="0">
          <a:schemeClr val="accent1"/>
        </a:lnRef>
        <a:fillRef xmlns:a="http://schemas.openxmlformats.org/drawingml/2006/main" idx="3">
          <a:schemeClr val="accent1"/>
        </a:fillRef>
        <a:effectRef xmlns:a="http://schemas.openxmlformats.org/drawingml/2006/main" idx="3">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s-E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E889-0FCD-480F-9F79-ACF1CCFC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72</Pages>
  <Words>18394</Words>
  <Characters>99317</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lepetitpixel sl</Company>
  <LinksUpToDate>false</LinksUpToDate>
  <CharactersWithSpaces>117477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langa bellatriu</dc:creator>
  <cp:lastModifiedBy>Enric Boluda</cp:lastModifiedBy>
  <cp:revision>83</cp:revision>
  <cp:lastPrinted>2018-10-05T07:42:00Z</cp:lastPrinted>
  <dcterms:created xsi:type="dcterms:W3CDTF">2018-09-25T06:35:00Z</dcterms:created>
  <dcterms:modified xsi:type="dcterms:W3CDTF">2018-10-08T07:49:00Z</dcterms:modified>
</cp:coreProperties>
</file>